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BAA" w:rsidRDefault="007E2BAA" w:rsidP="007F433F">
      <w:pPr>
        <w:jc w:val="center"/>
        <w:rPr>
          <w:rFonts w:asciiTheme="majorBidi" w:hAnsiTheme="majorBidi" w:cstheme="majorBidi"/>
          <w:b/>
          <w:bCs/>
          <w:sz w:val="28"/>
          <w:szCs w:val="28"/>
        </w:rPr>
      </w:pPr>
      <w:bookmarkStart w:id="0" w:name="_Hlk517966388"/>
    </w:p>
    <w:p w:rsidR="007F433F" w:rsidRPr="0035576A" w:rsidRDefault="007F433F" w:rsidP="007F433F">
      <w:pPr>
        <w:jc w:val="center"/>
        <w:rPr>
          <w:rFonts w:asciiTheme="majorBidi" w:hAnsiTheme="majorBidi" w:cstheme="majorBidi"/>
          <w:b/>
          <w:bCs/>
          <w:sz w:val="28"/>
          <w:szCs w:val="28"/>
        </w:rPr>
      </w:pPr>
      <w:r w:rsidRPr="0035576A">
        <w:rPr>
          <w:rFonts w:asciiTheme="majorBidi" w:hAnsiTheme="majorBidi" w:cstheme="majorBidi"/>
          <w:b/>
          <w:bCs/>
          <w:sz w:val="28"/>
          <w:szCs w:val="28"/>
        </w:rPr>
        <w:t>Risk Analysis of Pension Funds Investment choices</w:t>
      </w:r>
    </w:p>
    <w:p w:rsidR="007F433F" w:rsidRPr="00546D83" w:rsidRDefault="007F433F" w:rsidP="007F433F">
      <w:pPr>
        <w:rPr>
          <w:rFonts w:asciiTheme="majorBidi" w:hAnsiTheme="majorBidi" w:cstheme="majorBidi"/>
          <w:sz w:val="24"/>
          <w:szCs w:val="24"/>
        </w:rPr>
      </w:pPr>
    </w:p>
    <w:p w:rsidR="007F433F" w:rsidRPr="00CD3D13" w:rsidRDefault="007F433F" w:rsidP="007F433F">
      <w:pPr>
        <w:tabs>
          <w:tab w:val="left" w:pos="930"/>
          <w:tab w:val="center" w:pos="4510"/>
        </w:tabs>
        <w:spacing w:after="200" w:line="276" w:lineRule="auto"/>
        <w:jc w:val="center"/>
        <w:rPr>
          <w:rFonts w:asciiTheme="majorBidi" w:eastAsia="SimSun" w:hAnsiTheme="majorBidi" w:cstheme="majorBidi"/>
          <w:sz w:val="24"/>
          <w:szCs w:val="24"/>
          <w:vertAlign w:val="superscript"/>
          <w:lang w:val="en-GB"/>
        </w:rPr>
      </w:pPr>
      <w:proofErr w:type="spellStart"/>
      <w:r w:rsidRPr="00CD3D13">
        <w:rPr>
          <w:rFonts w:asciiTheme="majorBidi" w:eastAsia="SimSun" w:hAnsiTheme="majorBidi" w:cstheme="majorBidi"/>
          <w:sz w:val="24"/>
          <w:szCs w:val="24"/>
          <w:lang w:val="en-GB"/>
        </w:rPr>
        <w:t>Emawtee</w:t>
      </w:r>
      <w:proofErr w:type="spellEnd"/>
      <w:r w:rsidRPr="00CD3D13">
        <w:rPr>
          <w:rFonts w:asciiTheme="majorBidi" w:eastAsia="SimSun" w:hAnsiTheme="majorBidi" w:cstheme="majorBidi"/>
          <w:sz w:val="24"/>
          <w:szCs w:val="24"/>
          <w:lang w:val="en-GB"/>
        </w:rPr>
        <w:t xml:space="preserve"> </w:t>
      </w:r>
      <w:proofErr w:type="spellStart"/>
      <w:r w:rsidRPr="00CD3D13">
        <w:rPr>
          <w:rFonts w:asciiTheme="majorBidi" w:eastAsia="SimSun" w:hAnsiTheme="majorBidi" w:cstheme="majorBidi"/>
          <w:sz w:val="24"/>
          <w:szCs w:val="24"/>
          <w:lang w:val="en-GB"/>
        </w:rPr>
        <w:t>Bissoondoyal-Bheenick</w:t>
      </w:r>
      <w:r w:rsidRPr="00CD3D13">
        <w:rPr>
          <w:rFonts w:asciiTheme="majorBidi" w:eastAsia="SimSun" w:hAnsiTheme="majorBidi" w:cstheme="majorBidi"/>
          <w:sz w:val="24"/>
          <w:szCs w:val="24"/>
          <w:vertAlign w:val="superscript"/>
          <w:lang w:val="en-GB"/>
        </w:rPr>
        <w:t>a</w:t>
      </w:r>
      <w:proofErr w:type="spellEnd"/>
      <w:r>
        <w:rPr>
          <w:rFonts w:asciiTheme="majorBidi" w:eastAsia="SimSun" w:hAnsiTheme="majorBidi" w:cstheme="majorBidi"/>
          <w:sz w:val="24"/>
          <w:szCs w:val="24"/>
          <w:lang w:val="en-GB"/>
        </w:rPr>
        <w:t xml:space="preserve">, </w:t>
      </w:r>
      <w:r w:rsidRPr="00CD3D13">
        <w:rPr>
          <w:rFonts w:asciiTheme="majorBidi" w:eastAsia="SimSun" w:hAnsiTheme="majorBidi" w:cstheme="majorBidi"/>
          <w:sz w:val="24"/>
          <w:szCs w:val="24"/>
          <w:lang w:val="en-GB"/>
        </w:rPr>
        <w:t xml:space="preserve">Robert </w:t>
      </w:r>
      <w:proofErr w:type="spellStart"/>
      <w:r w:rsidRPr="00CD3D13">
        <w:rPr>
          <w:rFonts w:asciiTheme="majorBidi" w:eastAsia="SimSun" w:hAnsiTheme="majorBidi" w:cstheme="majorBidi"/>
          <w:sz w:val="24"/>
          <w:szCs w:val="24"/>
          <w:lang w:val="en-GB"/>
        </w:rPr>
        <w:t>Brooks</w:t>
      </w:r>
      <w:r w:rsidRPr="00CD3D13">
        <w:rPr>
          <w:rFonts w:asciiTheme="majorBidi" w:eastAsia="SimSun" w:hAnsiTheme="majorBidi" w:cstheme="majorBidi"/>
          <w:sz w:val="24"/>
          <w:szCs w:val="24"/>
          <w:vertAlign w:val="superscript"/>
          <w:lang w:val="en-GB"/>
        </w:rPr>
        <w:t>b</w:t>
      </w:r>
      <w:proofErr w:type="spellEnd"/>
      <w:r w:rsidRPr="00CD3D13">
        <w:rPr>
          <w:rFonts w:asciiTheme="majorBidi" w:eastAsia="SimSun" w:hAnsiTheme="majorBidi" w:cstheme="majorBidi"/>
          <w:sz w:val="24"/>
          <w:szCs w:val="24"/>
          <w:vertAlign w:val="subscript"/>
          <w:lang w:val="en-GB"/>
        </w:rPr>
        <w:t>,</w:t>
      </w:r>
      <w:r w:rsidRPr="00CD3D13">
        <w:rPr>
          <w:rFonts w:asciiTheme="majorBidi" w:eastAsia="SimSun" w:hAnsiTheme="majorBidi" w:cstheme="majorBidi"/>
          <w:sz w:val="24"/>
          <w:szCs w:val="24"/>
          <w:lang w:val="en-GB"/>
        </w:rPr>
        <w:t xml:space="preserve"> Hung Xuan Do</w:t>
      </w:r>
      <w:r w:rsidRPr="005E1D91">
        <w:rPr>
          <w:rFonts w:asciiTheme="majorBidi" w:eastAsia="SimSun" w:hAnsiTheme="majorBidi" w:cstheme="majorBidi"/>
          <w:sz w:val="24"/>
          <w:szCs w:val="24"/>
          <w:vertAlign w:val="superscript"/>
          <w:lang w:val="en-GB"/>
        </w:rPr>
        <w:t>c</w:t>
      </w:r>
      <w:r w:rsidRPr="005E1D91">
        <w:rPr>
          <w:rFonts w:asciiTheme="majorBidi" w:eastAsia="SimSun" w:hAnsiTheme="majorBidi" w:cstheme="majorBidi"/>
          <w:sz w:val="24"/>
          <w:szCs w:val="24"/>
          <w:vertAlign w:val="superscript"/>
          <w:lang w:val="en-GB"/>
        </w:rPr>
        <w:footnoteReference w:id="1"/>
      </w:r>
    </w:p>
    <w:p w:rsidR="007F433F" w:rsidRPr="00CD3D13" w:rsidRDefault="007F433F" w:rsidP="007F433F">
      <w:pPr>
        <w:spacing w:after="200" w:line="360" w:lineRule="auto"/>
        <w:jc w:val="center"/>
        <w:rPr>
          <w:rFonts w:asciiTheme="majorBidi" w:eastAsia="SimSun" w:hAnsiTheme="majorBidi" w:cstheme="majorBidi"/>
          <w:i/>
          <w:iCs/>
          <w:sz w:val="24"/>
          <w:szCs w:val="24"/>
          <w:lang w:val="en-GB"/>
        </w:rPr>
      </w:pPr>
      <w:proofErr w:type="gramStart"/>
      <w:r w:rsidRPr="00CD3D13">
        <w:rPr>
          <w:rFonts w:asciiTheme="majorBidi" w:eastAsia="SimSun" w:hAnsiTheme="majorBidi" w:cstheme="majorBidi"/>
          <w:i/>
          <w:iCs/>
          <w:sz w:val="24"/>
          <w:szCs w:val="24"/>
          <w:vertAlign w:val="superscript"/>
          <w:lang w:val="en-GB"/>
        </w:rPr>
        <w:t>a</w:t>
      </w:r>
      <w:proofErr w:type="gramEnd"/>
      <w:r w:rsidRPr="00CD3D13">
        <w:rPr>
          <w:rFonts w:asciiTheme="majorBidi" w:eastAsia="SimSun" w:hAnsiTheme="majorBidi" w:cstheme="majorBidi"/>
          <w:i/>
          <w:iCs/>
          <w:sz w:val="24"/>
          <w:szCs w:val="24"/>
          <w:vertAlign w:val="superscript"/>
          <w:lang w:val="en-GB"/>
        </w:rPr>
        <w:t xml:space="preserve"> </w:t>
      </w:r>
      <w:r w:rsidRPr="00CD3D13">
        <w:rPr>
          <w:rFonts w:asciiTheme="majorBidi" w:eastAsia="SimSun" w:hAnsiTheme="majorBidi" w:cstheme="majorBidi"/>
          <w:i/>
          <w:iCs/>
          <w:sz w:val="24"/>
          <w:szCs w:val="24"/>
          <w:lang w:val="en-GB"/>
        </w:rPr>
        <w:t>Department of Banking and Finance, Monash Business School</w:t>
      </w:r>
    </w:p>
    <w:p w:rsidR="007F433F" w:rsidRPr="00CD3D13" w:rsidRDefault="007F433F" w:rsidP="007F433F">
      <w:pPr>
        <w:spacing w:after="200" w:line="360" w:lineRule="auto"/>
        <w:jc w:val="center"/>
        <w:rPr>
          <w:rFonts w:asciiTheme="majorBidi" w:eastAsia="SimSun" w:hAnsiTheme="majorBidi" w:cstheme="majorBidi"/>
          <w:i/>
          <w:iCs/>
          <w:sz w:val="24"/>
          <w:szCs w:val="24"/>
          <w:lang w:val="en-GB"/>
        </w:rPr>
      </w:pPr>
      <w:proofErr w:type="gramStart"/>
      <w:r w:rsidRPr="00CD3D13">
        <w:rPr>
          <w:rFonts w:asciiTheme="majorBidi" w:eastAsia="SimSun" w:hAnsiTheme="majorBidi" w:cstheme="majorBidi"/>
          <w:i/>
          <w:iCs/>
          <w:sz w:val="24"/>
          <w:szCs w:val="24"/>
          <w:vertAlign w:val="superscript"/>
          <w:lang w:val="en-GB"/>
        </w:rPr>
        <w:t>b</w:t>
      </w:r>
      <w:proofErr w:type="gramEnd"/>
      <w:r w:rsidRPr="00CD3D13">
        <w:rPr>
          <w:rFonts w:asciiTheme="majorBidi" w:eastAsia="SimSun" w:hAnsiTheme="majorBidi" w:cstheme="majorBidi"/>
          <w:i/>
          <w:iCs/>
          <w:sz w:val="24"/>
          <w:szCs w:val="24"/>
          <w:vertAlign w:val="superscript"/>
          <w:lang w:val="en-GB"/>
        </w:rPr>
        <w:t xml:space="preserve"> </w:t>
      </w:r>
      <w:r w:rsidRPr="00CD3D13">
        <w:rPr>
          <w:rFonts w:asciiTheme="majorBidi" w:eastAsia="SimSun" w:hAnsiTheme="majorBidi" w:cstheme="majorBidi"/>
          <w:i/>
          <w:iCs/>
          <w:sz w:val="24"/>
          <w:szCs w:val="24"/>
          <w:lang w:val="en-GB"/>
        </w:rPr>
        <w:t>Department of Econometrics and Business Statistics, Monash Business School</w:t>
      </w:r>
    </w:p>
    <w:p w:rsidR="007F433F" w:rsidRDefault="007F433F" w:rsidP="007F433F">
      <w:pPr>
        <w:jc w:val="center"/>
        <w:rPr>
          <w:rFonts w:asciiTheme="majorBidi" w:eastAsia="SimSun" w:hAnsiTheme="majorBidi" w:cstheme="majorBidi"/>
          <w:i/>
          <w:iCs/>
          <w:sz w:val="24"/>
          <w:szCs w:val="24"/>
          <w:lang w:val="en-GB"/>
        </w:rPr>
      </w:pPr>
      <w:proofErr w:type="gramStart"/>
      <w:r w:rsidRPr="005E1D91">
        <w:rPr>
          <w:rFonts w:asciiTheme="majorBidi" w:eastAsia="SimSun" w:hAnsiTheme="majorBidi" w:cstheme="majorBidi"/>
          <w:i/>
          <w:iCs/>
          <w:sz w:val="24"/>
          <w:szCs w:val="24"/>
          <w:vertAlign w:val="superscript"/>
          <w:lang w:val="en-GB"/>
        </w:rPr>
        <w:t>c</w:t>
      </w:r>
      <w:proofErr w:type="gramEnd"/>
      <w:r w:rsidRPr="00CD3D13">
        <w:rPr>
          <w:rFonts w:asciiTheme="majorBidi" w:eastAsia="SimSun" w:hAnsiTheme="majorBidi" w:cstheme="majorBidi"/>
          <w:i/>
          <w:iCs/>
          <w:sz w:val="24"/>
          <w:szCs w:val="24"/>
          <w:lang w:val="en-GB"/>
        </w:rPr>
        <w:t xml:space="preserve"> School of Economics and Finance, Massey University</w:t>
      </w:r>
    </w:p>
    <w:p w:rsidR="007F433F" w:rsidRDefault="007F433F" w:rsidP="007F433F">
      <w:pPr>
        <w:jc w:val="center"/>
        <w:rPr>
          <w:rFonts w:asciiTheme="majorBidi" w:eastAsia="SimSun" w:hAnsiTheme="majorBidi" w:cstheme="majorBidi"/>
          <w:i/>
          <w:iCs/>
          <w:sz w:val="24"/>
          <w:szCs w:val="24"/>
          <w:lang w:val="en-GB"/>
        </w:rPr>
      </w:pPr>
    </w:p>
    <w:p w:rsidR="007F433F" w:rsidRDefault="007F433F" w:rsidP="007F433F">
      <w:pPr>
        <w:jc w:val="center"/>
        <w:rPr>
          <w:rFonts w:asciiTheme="majorBidi" w:eastAsia="SimSun" w:hAnsiTheme="majorBidi" w:cstheme="majorBidi"/>
          <w:i/>
          <w:iCs/>
          <w:sz w:val="24"/>
          <w:szCs w:val="24"/>
          <w:lang w:val="en-GB"/>
        </w:rPr>
      </w:pPr>
      <w:r>
        <w:rPr>
          <w:rFonts w:asciiTheme="majorBidi" w:eastAsia="SimSun" w:hAnsiTheme="majorBidi" w:cstheme="majorBidi"/>
          <w:i/>
          <w:iCs/>
          <w:sz w:val="24"/>
          <w:szCs w:val="24"/>
          <w:lang w:val="en-GB"/>
        </w:rPr>
        <w:t>This version: 9</w:t>
      </w:r>
      <w:r>
        <w:rPr>
          <w:rFonts w:asciiTheme="majorBidi" w:eastAsia="SimSun" w:hAnsiTheme="majorBidi" w:cstheme="majorBidi"/>
          <w:i/>
          <w:iCs/>
          <w:sz w:val="24"/>
          <w:szCs w:val="24"/>
          <w:vertAlign w:val="superscript"/>
          <w:lang w:val="en-GB"/>
        </w:rPr>
        <w:t>th</w:t>
      </w:r>
      <w:r>
        <w:rPr>
          <w:rFonts w:asciiTheme="majorBidi" w:eastAsia="SimSun" w:hAnsiTheme="majorBidi" w:cstheme="majorBidi"/>
          <w:i/>
          <w:iCs/>
          <w:sz w:val="24"/>
          <w:szCs w:val="24"/>
          <w:lang w:val="en-GB"/>
        </w:rPr>
        <w:t xml:space="preserve"> November 2018</w:t>
      </w:r>
    </w:p>
    <w:p w:rsidR="007F433F" w:rsidRDefault="007F433F" w:rsidP="007F433F">
      <w:pPr>
        <w:jc w:val="center"/>
        <w:rPr>
          <w:rFonts w:asciiTheme="majorBidi" w:eastAsia="SimSun" w:hAnsiTheme="majorBidi" w:cstheme="majorBidi"/>
          <w:i/>
          <w:iCs/>
          <w:sz w:val="24"/>
          <w:szCs w:val="24"/>
          <w:lang w:val="en-GB"/>
        </w:rPr>
      </w:pPr>
    </w:p>
    <w:p w:rsidR="007F433F" w:rsidRDefault="007F433F" w:rsidP="007F433F">
      <w:pPr>
        <w:jc w:val="center"/>
        <w:rPr>
          <w:rFonts w:asciiTheme="majorBidi" w:eastAsia="SimSun" w:hAnsiTheme="majorBidi" w:cstheme="majorBidi"/>
          <w:b/>
          <w:bCs/>
          <w:sz w:val="24"/>
          <w:szCs w:val="24"/>
          <w:lang w:val="en-GB"/>
        </w:rPr>
      </w:pPr>
      <w:r w:rsidRPr="005F2526">
        <w:rPr>
          <w:rFonts w:asciiTheme="majorBidi" w:eastAsia="SimSun" w:hAnsiTheme="majorBidi" w:cstheme="majorBidi"/>
          <w:b/>
          <w:bCs/>
          <w:sz w:val="24"/>
          <w:szCs w:val="24"/>
          <w:lang w:val="en-GB"/>
        </w:rPr>
        <w:t>Abstract</w:t>
      </w:r>
    </w:p>
    <w:p w:rsidR="007F433F" w:rsidRPr="00A4072A" w:rsidRDefault="007F433F" w:rsidP="007F433F">
      <w:pPr>
        <w:pStyle w:val="CommentText"/>
        <w:jc w:val="both"/>
        <w:rPr>
          <w:rFonts w:asciiTheme="majorBidi" w:eastAsia="SimSun" w:hAnsiTheme="majorBidi" w:cstheme="majorBidi"/>
          <w:sz w:val="24"/>
          <w:szCs w:val="24"/>
          <w:lang w:val="en-GB"/>
        </w:rPr>
      </w:pPr>
      <w:r w:rsidRPr="00A4072A">
        <w:rPr>
          <w:rFonts w:asciiTheme="majorBidi" w:eastAsia="SimSun" w:hAnsiTheme="majorBidi" w:cstheme="majorBidi"/>
          <w:sz w:val="24"/>
          <w:szCs w:val="24"/>
          <w:lang w:val="en-GB"/>
        </w:rPr>
        <w:t xml:space="preserve">Using a sample from January 1990 to December 2016 of monthly asset classes, </w:t>
      </w:r>
      <w:r w:rsidRPr="00A4072A">
        <w:rPr>
          <w:rFonts w:asciiTheme="majorBidi" w:hAnsiTheme="majorBidi" w:cstheme="majorBidi"/>
          <w:sz w:val="24"/>
          <w:szCs w:val="24"/>
        </w:rPr>
        <w:t xml:space="preserve">we </w:t>
      </w:r>
      <w:r w:rsidRPr="00A4072A">
        <w:rPr>
          <w:rFonts w:asciiTheme="majorBidi" w:eastAsia="SimSun" w:hAnsiTheme="majorBidi" w:cstheme="majorBidi"/>
          <w:sz w:val="24"/>
          <w:szCs w:val="24"/>
          <w:lang w:val="en-GB"/>
        </w:rPr>
        <w:t>provide a comprehensive and more consistent approach to analyse and compare the risk-return relationships of Australian superannuation investment options. In estimating the risk profile of the investment options, we allow for the movement of the asset classes over time by employing a varying coefficient panel estimation technique. We find that</w:t>
      </w:r>
      <w:r w:rsidRPr="00A4072A">
        <w:rPr>
          <w:rFonts w:asciiTheme="majorBidi" w:hAnsiTheme="majorBidi" w:cstheme="majorBidi"/>
          <w:sz w:val="24"/>
          <w:szCs w:val="24"/>
        </w:rPr>
        <w:t xml:space="preserve"> while risk </w:t>
      </w:r>
      <w:r w:rsidRPr="00A4072A">
        <w:rPr>
          <w:rFonts w:asciiTheme="majorBidi" w:eastAsia="SimSun" w:hAnsiTheme="majorBidi" w:cstheme="majorBidi"/>
          <w:sz w:val="24"/>
          <w:szCs w:val="24"/>
          <w:lang w:val="en-GB"/>
        </w:rPr>
        <w:t xml:space="preserve">increases across different investment options from moderate to aggressive options, using different percentages of identifying a balance fund does not impact on risk measure over the longer term. We equally find that risk-return relationships of investment options are not sensitive to the modelling framework except in the crisis analysis, where the </w:t>
      </w:r>
      <w:proofErr w:type="spellStart"/>
      <w:r w:rsidRPr="00A4072A">
        <w:rPr>
          <w:rFonts w:asciiTheme="majorBidi" w:eastAsia="SimSun" w:hAnsiTheme="majorBidi" w:cstheme="majorBidi"/>
          <w:sz w:val="24"/>
          <w:szCs w:val="24"/>
          <w:lang w:val="en-GB"/>
        </w:rPr>
        <w:t>Fama</w:t>
      </w:r>
      <w:proofErr w:type="spellEnd"/>
      <w:r w:rsidRPr="00A4072A">
        <w:rPr>
          <w:rFonts w:asciiTheme="majorBidi" w:eastAsia="SimSun" w:hAnsiTheme="majorBidi" w:cstheme="majorBidi"/>
          <w:sz w:val="24"/>
          <w:szCs w:val="24"/>
          <w:lang w:val="en-GB"/>
        </w:rPr>
        <w:t xml:space="preserve"> French five factor model provides greater sensitivity.</w:t>
      </w:r>
    </w:p>
    <w:p w:rsidR="007F433F" w:rsidRDefault="007F433F" w:rsidP="007F433F">
      <w:pPr>
        <w:rPr>
          <w:rFonts w:asciiTheme="majorBidi" w:eastAsia="SimSun" w:hAnsiTheme="majorBidi" w:cstheme="majorBidi"/>
          <w:b/>
          <w:bCs/>
          <w:sz w:val="24"/>
          <w:szCs w:val="24"/>
          <w:lang w:val="en-GB"/>
        </w:rPr>
      </w:pPr>
    </w:p>
    <w:p w:rsidR="007F433F" w:rsidRPr="008A1564" w:rsidRDefault="007F433F" w:rsidP="007F433F">
      <w:pPr>
        <w:jc w:val="both"/>
        <w:rPr>
          <w:rFonts w:asciiTheme="majorBidi" w:eastAsia="SimSun" w:hAnsiTheme="majorBidi" w:cstheme="majorBidi"/>
          <w:sz w:val="24"/>
          <w:szCs w:val="24"/>
          <w:lang w:val="en-GB"/>
        </w:rPr>
      </w:pPr>
      <w:r>
        <w:rPr>
          <w:rFonts w:asciiTheme="majorBidi" w:eastAsia="SimSun" w:hAnsiTheme="majorBidi" w:cstheme="majorBidi"/>
          <w:b/>
          <w:bCs/>
          <w:sz w:val="24"/>
          <w:szCs w:val="24"/>
          <w:lang w:val="en-GB"/>
        </w:rPr>
        <w:t>Keywords:</w:t>
      </w:r>
      <w:r w:rsidRPr="00307E6B">
        <w:rPr>
          <w:rFonts w:asciiTheme="majorBidi" w:eastAsia="SimSun" w:hAnsiTheme="majorBidi" w:cstheme="majorBidi"/>
          <w:bCs/>
          <w:sz w:val="24"/>
          <w:szCs w:val="24"/>
          <w:lang w:val="en-GB"/>
        </w:rPr>
        <w:t xml:space="preserve"> Risk</w:t>
      </w:r>
      <w:r>
        <w:rPr>
          <w:rFonts w:asciiTheme="majorBidi" w:eastAsia="SimSun" w:hAnsiTheme="majorBidi" w:cstheme="majorBidi"/>
          <w:b/>
          <w:bCs/>
          <w:sz w:val="24"/>
          <w:szCs w:val="24"/>
          <w:lang w:val="en-GB"/>
        </w:rPr>
        <w:t xml:space="preserve">, </w:t>
      </w:r>
      <w:proofErr w:type="spellStart"/>
      <w:r w:rsidRPr="008A1564">
        <w:rPr>
          <w:rFonts w:asciiTheme="majorBidi" w:eastAsia="SimSun" w:hAnsiTheme="majorBidi" w:cstheme="majorBidi"/>
          <w:sz w:val="24"/>
          <w:szCs w:val="24"/>
          <w:lang w:val="en-GB"/>
        </w:rPr>
        <w:t>Fama</w:t>
      </w:r>
      <w:proofErr w:type="spellEnd"/>
      <w:r w:rsidRPr="008A1564">
        <w:rPr>
          <w:rFonts w:asciiTheme="majorBidi" w:eastAsia="SimSun" w:hAnsiTheme="majorBidi" w:cstheme="majorBidi"/>
          <w:sz w:val="24"/>
          <w:szCs w:val="24"/>
          <w:lang w:val="en-GB"/>
        </w:rPr>
        <w:t xml:space="preserve"> French Five factor model, Australian </w:t>
      </w:r>
      <w:r>
        <w:rPr>
          <w:rFonts w:asciiTheme="majorBidi" w:eastAsia="SimSun" w:hAnsiTheme="majorBidi" w:cstheme="majorBidi"/>
          <w:sz w:val="24"/>
          <w:szCs w:val="24"/>
          <w:lang w:val="en-GB"/>
        </w:rPr>
        <w:t>superannuation funds</w:t>
      </w:r>
      <w:r w:rsidRPr="008A1564">
        <w:rPr>
          <w:rFonts w:asciiTheme="majorBidi" w:eastAsia="SimSun" w:hAnsiTheme="majorBidi" w:cstheme="majorBidi"/>
          <w:sz w:val="24"/>
          <w:szCs w:val="24"/>
          <w:lang w:val="en-GB"/>
        </w:rPr>
        <w:t xml:space="preserve">, </w:t>
      </w:r>
      <w:r>
        <w:rPr>
          <w:rFonts w:asciiTheme="majorBidi" w:eastAsia="SimSun" w:hAnsiTheme="majorBidi" w:cstheme="majorBidi"/>
          <w:sz w:val="24"/>
          <w:szCs w:val="24"/>
          <w:lang w:val="en-GB"/>
        </w:rPr>
        <w:t>i</w:t>
      </w:r>
      <w:r w:rsidRPr="008A1564">
        <w:rPr>
          <w:rFonts w:asciiTheme="majorBidi" w:eastAsia="SimSun" w:hAnsiTheme="majorBidi" w:cstheme="majorBidi"/>
          <w:sz w:val="24"/>
          <w:szCs w:val="24"/>
          <w:lang w:val="en-GB"/>
        </w:rPr>
        <w:t>nvestment options</w:t>
      </w:r>
      <w:r>
        <w:rPr>
          <w:rFonts w:asciiTheme="majorBidi" w:eastAsia="SimSun" w:hAnsiTheme="majorBidi" w:cstheme="majorBidi"/>
          <w:sz w:val="24"/>
          <w:szCs w:val="24"/>
          <w:lang w:val="en-GB"/>
        </w:rPr>
        <w:t>, varying coefficient panel data.</w:t>
      </w:r>
    </w:p>
    <w:p w:rsidR="007F433F" w:rsidRDefault="007F433F" w:rsidP="007F433F">
      <w:pPr>
        <w:jc w:val="center"/>
        <w:rPr>
          <w:rFonts w:asciiTheme="majorBidi" w:eastAsia="SimSun" w:hAnsiTheme="majorBidi" w:cstheme="majorBidi"/>
          <w:b/>
          <w:bCs/>
          <w:sz w:val="24"/>
          <w:szCs w:val="24"/>
          <w:lang w:val="en-GB"/>
        </w:rPr>
      </w:pPr>
    </w:p>
    <w:p w:rsidR="007F433F" w:rsidRDefault="007F433F" w:rsidP="007F433F">
      <w:pPr>
        <w:jc w:val="center"/>
        <w:rPr>
          <w:rFonts w:asciiTheme="majorBidi" w:eastAsia="SimSun" w:hAnsiTheme="majorBidi" w:cstheme="majorBidi"/>
          <w:b/>
          <w:bCs/>
          <w:sz w:val="24"/>
          <w:szCs w:val="24"/>
          <w:lang w:val="en-GB"/>
        </w:rPr>
      </w:pPr>
    </w:p>
    <w:p w:rsidR="007F433F" w:rsidRDefault="007F433F" w:rsidP="007F433F">
      <w:pPr>
        <w:jc w:val="center"/>
        <w:rPr>
          <w:rFonts w:asciiTheme="majorBidi" w:eastAsia="SimSun" w:hAnsiTheme="majorBidi" w:cstheme="majorBidi"/>
          <w:b/>
          <w:bCs/>
          <w:sz w:val="24"/>
          <w:szCs w:val="24"/>
          <w:lang w:val="en-GB"/>
        </w:rPr>
      </w:pPr>
    </w:p>
    <w:p w:rsidR="007F433F" w:rsidRDefault="007F433F" w:rsidP="007F433F">
      <w:pPr>
        <w:jc w:val="center"/>
        <w:rPr>
          <w:rFonts w:asciiTheme="majorBidi" w:eastAsia="SimSun" w:hAnsiTheme="majorBidi" w:cstheme="majorBidi"/>
          <w:b/>
          <w:bCs/>
          <w:sz w:val="24"/>
          <w:szCs w:val="24"/>
          <w:lang w:val="en-GB"/>
        </w:rPr>
      </w:pPr>
    </w:p>
    <w:p w:rsidR="007F433F" w:rsidRDefault="007F433F" w:rsidP="007F433F">
      <w:pPr>
        <w:jc w:val="center"/>
        <w:rPr>
          <w:rFonts w:asciiTheme="majorBidi" w:eastAsia="SimSun" w:hAnsiTheme="majorBidi" w:cstheme="majorBidi"/>
          <w:b/>
          <w:bCs/>
          <w:sz w:val="24"/>
          <w:szCs w:val="24"/>
          <w:lang w:val="en-GB"/>
        </w:rPr>
      </w:pPr>
    </w:p>
    <w:p w:rsidR="007F433F" w:rsidRPr="008A1564" w:rsidRDefault="007F433F" w:rsidP="007F433F">
      <w:pPr>
        <w:spacing w:after="0"/>
        <w:rPr>
          <w:rFonts w:asciiTheme="majorBidi" w:eastAsia="SimSun" w:hAnsiTheme="majorBidi" w:cstheme="majorBidi"/>
          <w:b/>
          <w:bCs/>
          <w:sz w:val="24"/>
          <w:szCs w:val="24"/>
          <w:lang w:val="en-GB"/>
        </w:rPr>
      </w:pPr>
    </w:p>
    <w:p w:rsidR="007F433F" w:rsidRDefault="007F433F" w:rsidP="007F433F">
      <w:pPr>
        <w:pStyle w:val="ListParagraph"/>
        <w:numPr>
          <w:ilvl w:val="0"/>
          <w:numId w:val="2"/>
        </w:numPr>
        <w:spacing w:after="0"/>
        <w:ind w:left="357" w:hanging="357"/>
        <w:rPr>
          <w:rFonts w:asciiTheme="majorBidi" w:eastAsia="SimSun" w:hAnsiTheme="majorBidi" w:cstheme="majorBidi"/>
          <w:b/>
          <w:bCs/>
          <w:sz w:val="24"/>
          <w:szCs w:val="24"/>
          <w:lang w:val="en-GB"/>
        </w:rPr>
      </w:pPr>
      <w:r>
        <w:rPr>
          <w:rFonts w:asciiTheme="majorBidi" w:eastAsia="SimSun" w:hAnsiTheme="majorBidi" w:cstheme="majorBidi"/>
          <w:b/>
          <w:bCs/>
          <w:sz w:val="24"/>
          <w:szCs w:val="24"/>
          <w:lang w:val="en-GB"/>
        </w:rPr>
        <w:t>Introduction</w:t>
      </w:r>
    </w:p>
    <w:p w:rsidR="007F433F" w:rsidRDefault="007F433F" w:rsidP="007F433F">
      <w:pPr>
        <w:pStyle w:val="ListParagraph"/>
        <w:rPr>
          <w:rFonts w:asciiTheme="majorBidi" w:eastAsia="SimSun" w:hAnsiTheme="majorBidi" w:cstheme="majorBidi"/>
          <w:b/>
          <w:bCs/>
          <w:sz w:val="24"/>
          <w:szCs w:val="24"/>
          <w:lang w:val="en-GB"/>
        </w:rPr>
      </w:pPr>
    </w:p>
    <w:p w:rsidR="007F433F" w:rsidRDefault="007F433F" w:rsidP="007F433F">
      <w:pPr>
        <w:snapToGrid w:val="0"/>
        <w:spacing w:after="0" w:line="480" w:lineRule="auto"/>
        <w:ind w:firstLine="357"/>
        <w:jc w:val="both"/>
        <w:rPr>
          <w:rFonts w:asciiTheme="majorBidi" w:eastAsia="SimSun" w:hAnsiTheme="majorBidi" w:cstheme="majorBidi"/>
          <w:sz w:val="24"/>
          <w:szCs w:val="24"/>
          <w:lang w:val="en-GB"/>
        </w:rPr>
      </w:pPr>
      <w:r w:rsidRPr="00611C2C">
        <w:rPr>
          <w:rFonts w:asciiTheme="majorBidi" w:eastAsia="SimSun" w:hAnsiTheme="majorBidi" w:cstheme="majorBidi"/>
          <w:sz w:val="24"/>
          <w:szCs w:val="24"/>
          <w:lang w:val="en-GB"/>
        </w:rPr>
        <w:t xml:space="preserve">The objective and the key research question of this study is to </w:t>
      </w:r>
      <w:r>
        <w:rPr>
          <w:rFonts w:asciiTheme="majorBidi" w:eastAsia="SimSun" w:hAnsiTheme="majorBidi" w:cstheme="majorBidi"/>
          <w:sz w:val="24"/>
          <w:szCs w:val="24"/>
          <w:lang w:val="en-GB"/>
        </w:rPr>
        <w:t>assess the risk associated with the investment options</w:t>
      </w:r>
      <w:r w:rsidRPr="00611C2C">
        <w:rPr>
          <w:rFonts w:asciiTheme="majorBidi" w:eastAsia="SimSun" w:hAnsiTheme="majorBidi" w:cstheme="majorBidi"/>
          <w:sz w:val="24"/>
          <w:szCs w:val="24"/>
          <w:lang w:val="en-GB"/>
        </w:rPr>
        <w:t xml:space="preserve"> of </w:t>
      </w:r>
      <w:r>
        <w:rPr>
          <w:rFonts w:asciiTheme="majorBidi" w:eastAsia="SimSun" w:hAnsiTheme="majorBidi" w:cstheme="majorBidi"/>
          <w:sz w:val="24"/>
          <w:szCs w:val="24"/>
          <w:lang w:val="en-GB"/>
        </w:rPr>
        <w:t>s</w:t>
      </w:r>
      <w:r w:rsidRPr="00611C2C">
        <w:rPr>
          <w:rFonts w:asciiTheme="majorBidi" w:eastAsia="SimSun" w:hAnsiTheme="majorBidi" w:cstheme="majorBidi"/>
          <w:sz w:val="24"/>
          <w:szCs w:val="24"/>
          <w:lang w:val="en-GB"/>
        </w:rPr>
        <w:t>uperannuation’s funds in Australia</w:t>
      </w:r>
      <w:r>
        <w:rPr>
          <w:rFonts w:asciiTheme="majorBidi" w:eastAsia="SimSun" w:hAnsiTheme="majorBidi" w:cstheme="majorBidi"/>
          <w:sz w:val="24"/>
          <w:szCs w:val="24"/>
          <w:lang w:val="en-GB"/>
        </w:rPr>
        <w:t xml:space="preserve"> (referred to as pension funds in the international pension market)</w:t>
      </w:r>
      <w:r w:rsidRPr="00611C2C">
        <w:rPr>
          <w:rFonts w:asciiTheme="majorBidi" w:eastAsia="SimSun" w:hAnsiTheme="majorBidi" w:cstheme="majorBidi"/>
          <w:sz w:val="24"/>
          <w:szCs w:val="24"/>
          <w:lang w:val="en-GB"/>
        </w:rPr>
        <w:t>.</w:t>
      </w:r>
      <w:r>
        <w:rPr>
          <w:rFonts w:asciiTheme="majorBidi" w:eastAsia="SimSun" w:hAnsiTheme="majorBidi" w:cstheme="majorBidi"/>
          <w:sz w:val="24"/>
          <w:szCs w:val="24"/>
          <w:lang w:val="en-GB"/>
        </w:rPr>
        <w:t xml:space="preserve"> Given a shift from defined benefit (DB) to defined contribution (DC) (e.g., </w:t>
      </w:r>
      <w:r w:rsidRPr="00D71A23">
        <w:rPr>
          <w:rFonts w:asciiTheme="majorBidi" w:hAnsiTheme="majorBidi" w:cstheme="majorBidi"/>
          <w:sz w:val="24"/>
          <w:szCs w:val="24"/>
        </w:rPr>
        <w:t>Clare and Connor</w:t>
      </w:r>
      <w:r>
        <w:rPr>
          <w:rFonts w:asciiTheme="majorBidi" w:hAnsiTheme="majorBidi" w:cstheme="majorBidi"/>
          <w:sz w:val="24"/>
          <w:szCs w:val="24"/>
        </w:rPr>
        <w:t>, 1999)</w:t>
      </w:r>
      <w:r>
        <w:rPr>
          <w:rFonts w:asciiTheme="majorBidi" w:eastAsia="SimSun" w:hAnsiTheme="majorBidi" w:cstheme="majorBidi"/>
          <w:sz w:val="24"/>
          <w:szCs w:val="24"/>
          <w:lang w:val="en-GB"/>
        </w:rPr>
        <w:t xml:space="preserve"> and a wide variety of choice available to investors (e.g., </w:t>
      </w:r>
      <w:proofErr w:type="spellStart"/>
      <w:r>
        <w:rPr>
          <w:rFonts w:asciiTheme="majorBidi" w:eastAsia="SimSun" w:hAnsiTheme="majorBidi" w:cstheme="majorBidi"/>
          <w:sz w:val="24"/>
          <w:szCs w:val="24"/>
          <w:lang w:val="en-GB"/>
        </w:rPr>
        <w:t>Gerrans</w:t>
      </w:r>
      <w:proofErr w:type="spellEnd"/>
      <w:r>
        <w:rPr>
          <w:rFonts w:asciiTheme="majorBidi" w:eastAsia="SimSun" w:hAnsiTheme="majorBidi" w:cstheme="majorBidi"/>
          <w:sz w:val="24"/>
          <w:szCs w:val="24"/>
          <w:lang w:val="en-GB"/>
        </w:rPr>
        <w:t>, 2006), individuals are faced with the challenge of making the right investment choice for their circumstances.</w:t>
      </w:r>
      <w:r>
        <w:rPr>
          <w:rFonts w:asciiTheme="majorBidi" w:hAnsiTheme="majorBidi" w:cstheme="majorBidi"/>
          <w:sz w:val="24"/>
          <w:szCs w:val="24"/>
        </w:rPr>
        <w:t xml:space="preserve"> In addition, with longevity risk, the choice of right asset allocation </w:t>
      </w:r>
      <w:r w:rsidRPr="00D71A23">
        <w:rPr>
          <w:rFonts w:asciiTheme="majorBidi" w:hAnsiTheme="majorBidi" w:cstheme="majorBidi"/>
          <w:sz w:val="24"/>
          <w:szCs w:val="24"/>
        </w:rPr>
        <w:t>becomes a</w:t>
      </w:r>
      <w:r>
        <w:rPr>
          <w:rFonts w:asciiTheme="majorBidi" w:hAnsiTheme="majorBidi" w:cstheme="majorBidi"/>
          <w:sz w:val="24"/>
          <w:szCs w:val="24"/>
        </w:rPr>
        <w:t xml:space="preserve">n </w:t>
      </w:r>
      <w:r w:rsidRPr="00D71A23">
        <w:rPr>
          <w:rFonts w:asciiTheme="majorBidi" w:hAnsiTheme="majorBidi" w:cstheme="majorBidi"/>
          <w:sz w:val="24"/>
          <w:szCs w:val="24"/>
        </w:rPr>
        <w:t xml:space="preserve">important decision not just for the younger working investors but is equally an issue for those who are older and closer to retirement. It </w:t>
      </w:r>
      <w:r>
        <w:rPr>
          <w:rFonts w:asciiTheme="majorBidi" w:hAnsiTheme="majorBidi" w:cstheme="majorBidi"/>
          <w:sz w:val="24"/>
          <w:szCs w:val="24"/>
        </w:rPr>
        <w:t xml:space="preserve">is </w:t>
      </w:r>
      <w:r w:rsidRPr="00D71A23">
        <w:rPr>
          <w:rFonts w:asciiTheme="majorBidi" w:hAnsiTheme="majorBidi" w:cstheme="majorBidi"/>
          <w:sz w:val="24"/>
          <w:szCs w:val="24"/>
        </w:rPr>
        <w:t>important to assess what is the appropriate mix of asset allocation</w:t>
      </w:r>
      <w:r>
        <w:rPr>
          <w:rFonts w:asciiTheme="majorBidi" w:hAnsiTheme="majorBidi" w:cstheme="majorBidi"/>
          <w:sz w:val="24"/>
          <w:szCs w:val="24"/>
        </w:rPr>
        <w:t xml:space="preserve"> that</w:t>
      </w:r>
      <w:r w:rsidRPr="00D71A23">
        <w:rPr>
          <w:rFonts w:asciiTheme="majorBidi" w:hAnsiTheme="majorBidi" w:cstheme="majorBidi"/>
          <w:sz w:val="24"/>
          <w:szCs w:val="24"/>
        </w:rPr>
        <w:t xml:space="preserve"> will maximise the return</w:t>
      </w:r>
      <w:r>
        <w:rPr>
          <w:rFonts w:asciiTheme="majorBidi" w:hAnsiTheme="majorBidi" w:cstheme="majorBidi"/>
          <w:sz w:val="24"/>
          <w:szCs w:val="24"/>
        </w:rPr>
        <w:t xml:space="preserve"> so</w:t>
      </w:r>
      <w:r w:rsidRPr="00D71A23">
        <w:rPr>
          <w:rFonts w:asciiTheme="majorBidi" w:hAnsiTheme="majorBidi" w:cstheme="majorBidi"/>
          <w:sz w:val="24"/>
          <w:szCs w:val="24"/>
        </w:rPr>
        <w:t xml:space="preserve"> that </w:t>
      </w:r>
      <w:r>
        <w:rPr>
          <w:rFonts w:asciiTheme="majorBidi" w:hAnsiTheme="majorBidi" w:cstheme="majorBidi"/>
          <w:sz w:val="24"/>
          <w:szCs w:val="24"/>
        </w:rPr>
        <w:t>the individual’s r</w:t>
      </w:r>
      <w:r w:rsidRPr="00D71A23">
        <w:rPr>
          <w:rFonts w:asciiTheme="majorBidi" w:hAnsiTheme="majorBidi" w:cstheme="majorBidi"/>
          <w:sz w:val="24"/>
          <w:szCs w:val="24"/>
        </w:rPr>
        <w:t>etirement nest egg</w:t>
      </w:r>
      <w:r>
        <w:rPr>
          <w:rFonts w:asciiTheme="majorBidi" w:hAnsiTheme="majorBidi" w:cstheme="majorBidi"/>
          <w:sz w:val="24"/>
          <w:szCs w:val="24"/>
        </w:rPr>
        <w:t xml:space="preserve"> will be increased eventually</w:t>
      </w:r>
      <w:r w:rsidRPr="00D71A23">
        <w:rPr>
          <w:rFonts w:asciiTheme="majorBidi" w:hAnsiTheme="majorBidi" w:cstheme="majorBidi"/>
          <w:sz w:val="24"/>
          <w:szCs w:val="24"/>
        </w:rPr>
        <w:t xml:space="preserve">. It is essential to realise that most probably having a risky investment strategy may pay off and maximise the investment nest egg rather than faced with the possibility of running out of money at a later stage of retirement and </w:t>
      </w:r>
      <w:r>
        <w:rPr>
          <w:rFonts w:asciiTheme="majorBidi" w:hAnsiTheme="majorBidi" w:cstheme="majorBidi"/>
          <w:sz w:val="24"/>
          <w:szCs w:val="24"/>
        </w:rPr>
        <w:t xml:space="preserve">needing to </w:t>
      </w:r>
      <w:r w:rsidRPr="00D71A23">
        <w:rPr>
          <w:rFonts w:asciiTheme="majorBidi" w:hAnsiTheme="majorBidi" w:cstheme="majorBidi"/>
          <w:sz w:val="24"/>
          <w:szCs w:val="24"/>
        </w:rPr>
        <w:t>live another 10-15 years on the public pension system</w:t>
      </w:r>
      <w:r>
        <w:rPr>
          <w:rFonts w:asciiTheme="majorBidi" w:eastAsia="SimSun" w:hAnsiTheme="majorBidi" w:cstheme="majorBidi"/>
          <w:sz w:val="24"/>
          <w:szCs w:val="24"/>
          <w:lang w:val="en-GB"/>
        </w:rPr>
        <w:t xml:space="preserve">. </w:t>
      </w:r>
    </w:p>
    <w:p w:rsidR="007F433F" w:rsidRPr="00FE2FC9" w:rsidRDefault="007F433F" w:rsidP="007F433F">
      <w:pPr>
        <w:snapToGrid w:val="0"/>
        <w:spacing w:after="0" w:line="480" w:lineRule="auto"/>
        <w:ind w:firstLine="720"/>
        <w:jc w:val="both"/>
        <w:rPr>
          <w:rFonts w:asciiTheme="majorBidi" w:eastAsia="SimSun" w:hAnsiTheme="majorBidi" w:cstheme="majorBidi"/>
          <w:sz w:val="24"/>
          <w:szCs w:val="24"/>
          <w:lang w:val="en-GB"/>
        </w:rPr>
      </w:pPr>
      <w:r>
        <w:rPr>
          <w:rFonts w:asciiTheme="majorBidi" w:eastAsia="SimSun" w:hAnsiTheme="majorBidi" w:cstheme="majorBidi"/>
          <w:sz w:val="24"/>
          <w:szCs w:val="24"/>
          <w:lang w:val="en-GB"/>
        </w:rPr>
        <w:t xml:space="preserve">One of the key factors of an individual’s focus choosing investment options among superannuation funds is the return figure that is being reported by the fund. While return is a key factor, our study’s focus is to assess whether the risk associated with the investment options are properly reported or are they being underreported. One of the challenges that the superannuation fund industry in Australia is coping with is the variability in the definitions that is being used by superannuation to define the composition of the portfolios they hold. Australian superannuation tend to use their own judgement </w:t>
      </w:r>
      <w:r w:rsidRPr="00611C2C">
        <w:rPr>
          <w:rFonts w:asciiTheme="majorBidi" w:eastAsia="SimSun" w:hAnsiTheme="majorBidi" w:cstheme="majorBidi"/>
          <w:sz w:val="24"/>
          <w:szCs w:val="24"/>
          <w:lang w:val="en-GB"/>
        </w:rPr>
        <w:t>when it comes to classifying their investments as "growth", or riskier, or "defensive", or more stable.</w:t>
      </w:r>
      <w:r>
        <w:rPr>
          <w:rFonts w:asciiTheme="majorBidi" w:eastAsia="SimSun" w:hAnsiTheme="majorBidi" w:cstheme="majorBidi"/>
          <w:sz w:val="24"/>
          <w:szCs w:val="24"/>
          <w:lang w:val="en-GB"/>
        </w:rPr>
        <w:t xml:space="preserve"> The standard definition of growth assets in finance and as per Australian Securities and Investment Commission (ASIC)</w:t>
      </w:r>
      <w:r>
        <w:rPr>
          <w:rStyle w:val="FootnoteReference"/>
          <w:rFonts w:asciiTheme="majorBidi" w:eastAsia="SimSun" w:hAnsiTheme="majorBidi" w:cstheme="majorBidi"/>
          <w:sz w:val="24"/>
          <w:szCs w:val="24"/>
          <w:lang w:val="en-GB"/>
        </w:rPr>
        <w:footnoteReference w:id="2"/>
      </w:r>
      <w:r>
        <w:rPr>
          <w:rFonts w:asciiTheme="majorBidi" w:eastAsia="SimSun" w:hAnsiTheme="majorBidi" w:cstheme="majorBidi"/>
          <w:sz w:val="24"/>
          <w:szCs w:val="24"/>
          <w:lang w:val="en-GB"/>
        </w:rPr>
        <w:t xml:space="preserve"> </w:t>
      </w:r>
      <w:r>
        <w:rPr>
          <w:rFonts w:asciiTheme="majorBidi" w:eastAsia="SimSun" w:hAnsiTheme="majorBidi" w:cstheme="majorBidi"/>
          <w:sz w:val="24"/>
          <w:szCs w:val="24"/>
          <w:lang w:val="en-GB"/>
        </w:rPr>
        <w:lastRenderedPageBreak/>
        <w:t xml:space="preserve">is that growth investment includes asset classes like equity and property, while the </w:t>
      </w:r>
      <w:r w:rsidRPr="00FE2FC9">
        <w:rPr>
          <w:rFonts w:asciiTheme="majorBidi" w:eastAsia="SimSun" w:hAnsiTheme="majorBidi" w:cstheme="majorBidi"/>
          <w:sz w:val="24"/>
          <w:szCs w:val="24"/>
          <w:lang w:val="en-GB"/>
        </w:rPr>
        <w:t>defensive assets tend to be bonds and cash. A</w:t>
      </w:r>
      <w:r>
        <w:rPr>
          <w:rFonts w:asciiTheme="majorBidi" w:eastAsia="SimSun" w:hAnsiTheme="majorBidi" w:cstheme="majorBidi"/>
          <w:sz w:val="24"/>
          <w:szCs w:val="24"/>
          <w:lang w:val="en-GB"/>
        </w:rPr>
        <w:t>n</w:t>
      </w:r>
      <w:r w:rsidRPr="00FE2FC9">
        <w:rPr>
          <w:rFonts w:asciiTheme="majorBidi" w:eastAsia="SimSun" w:hAnsiTheme="majorBidi" w:cstheme="majorBidi"/>
          <w:sz w:val="24"/>
          <w:szCs w:val="24"/>
          <w:lang w:val="en-GB"/>
        </w:rPr>
        <w:t xml:space="preserve"> article which appeared in the Australian </w:t>
      </w:r>
      <w:r>
        <w:rPr>
          <w:rFonts w:asciiTheme="majorBidi" w:eastAsia="SimSun" w:hAnsiTheme="majorBidi" w:cstheme="majorBidi"/>
          <w:sz w:val="24"/>
          <w:szCs w:val="24"/>
          <w:lang w:val="en-GB"/>
        </w:rPr>
        <w:t>F</w:t>
      </w:r>
      <w:r w:rsidRPr="00FE2FC9">
        <w:rPr>
          <w:rFonts w:asciiTheme="majorBidi" w:eastAsia="SimSun" w:hAnsiTheme="majorBidi" w:cstheme="majorBidi"/>
          <w:sz w:val="24"/>
          <w:szCs w:val="24"/>
          <w:lang w:val="en-GB"/>
        </w:rPr>
        <w:t xml:space="preserve">inancial </w:t>
      </w:r>
      <w:r>
        <w:rPr>
          <w:rFonts w:asciiTheme="majorBidi" w:eastAsia="SimSun" w:hAnsiTheme="majorBidi" w:cstheme="majorBidi"/>
          <w:sz w:val="24"/>
          <w:szCs w:val="24"/>
          <w:lang w:val="en-GB"/>
        </w:rPr>
        <w:t>R</w:t>
      </w:r>
      <w:r w:rsidRPr="00FE2FC9">
        <w:rPr>
          <w:rFonts w:asciiTheme="majorBidi" w:eastAsia="SimSun" w:hAnsiTheme="majorBidi" w:cstheme="majorBidi"/>
          <w:sz w:val="24"/>
          <w:szCs w:val="24"/>
          <w:lang w:val="en-GB"/>
        </w:rPr>
        <w:t>eview</w:t>
      </w:r>
      <w:r w:rsidRPr="00FE2FC9">
        <w:rPr>
          <w:rStyle w:val="FootnoteReference"/>
          <w:rFonts w:asciiTheme="majorBidi" w:eastAsia="SimSun" w:hAnsiTheme="majorBidi" w:cstheme="majorBidi"/>
          <w:sz w:val="24"/>
          <w:szCs w:val="24"/>
          <w:lang w:val="en-GB"/>
        </w:rPr>
        <w:footnoteReference w:id="3"/>
      </w:r>
      <w:r w:rsidRPr="00FE2FC9">
        <w:rPr>
          <w:rFonts w:asciiTheme="majorBidi" w:eastAsia="SimSun" w:hAnsiTheme="majorBidi" w:cstheme="majorBidi"/>
          <w:sz w:val="24"/>
          <w:szCs w:val="24"/>
          <w:lang w:val="en-GB"/>
        </w:rPr>
        <w:t xml:space="preserve"> in January 2018, highlights that in a submission made by </w:t>
      </w:r>
      <w:r>
        <w:rPr>
          <w:rFonts w:asciiTheme="majorBidi" w:eastAsia="SimSun" w:hAnsiTheme="majorBidi" w:cstheme="majorBidi"/>
          <w:sz w:val="24"/>
          <w:szCs w:val="24"/>
          <w:lang w:val="en-GB"/>
        </w:rPr>
        <w:t xml:space="preserve">the </w:t>
      </w:r>
      <w:r w:rsidRPr="00FE2FC9">
        <w:rPr>
          <w:rFonts w:asciiTheme="majorBidi" w:eastAsia="SimSun" w:hAnsiTheme="majorBidi" w:cstheme="majorBidi"/>
          <w:sz w:val="24"/>
          <w:szCs w:val="24"/>
          <w:lang w:val="en-GB"/>
        </w:rPr>
        <w:t>National Australian Bank</w:t>
      </w:r>
      <w:r>
        <w:rPr>
          <w:rFonts w:asciiTheme="majorBidi" w:eastAsia="SimSun" w:hAnsiTheme="majorBidi" w:cstheme="majorBidi"/>
          <w:sz w:val="24"/>
          <w:szCs w:val="24"/>
          <w:lang w:val="en-GB"/>
        </w:rPr>
        <w:t xml:space="preserve"> </w:t>
      </w:r>
      <w:r w:rsidRPr="00FE2FC9">
        <w:rPr>
          <w:rFonts w:asciiTheme="majorBidi" w:eastAsia="SimSun" w:hAnsiTheme="majorBidi" w:cstheme="majorBidi"/>
          <w:sz w:val="24"/>
          <w:szCs w:val="24"/>
          <w:lang w:val="en-GB"/>
        </w:rPr>
        <w:t xml:space="preserve">(NAB) wealth division it is clear that many funds with unlisted assets were </w:t>
      </w:r>
      <w:r>
        <w:rPr>
          <w:rFonts w:asciiTheme="majorBidi" w:eastAsia="SimSun" w:hAnsiTheme="majorBidi" w:cstheme="majorBidi"/>
          <w:sz w:val="24"/>
          <w:szCs w:val="24"/>
          <w:lang w:val="en-GB"/>
        </w:rPr>
        <w:t>“</w:t>
      </w:r>
      <w:r w:rsidRPr="00FE2FC9">
        <w:rPr>
          <w:rFonts w:asciiTheme="majorBidi" w:eastAsia="SimSun" w:hAnsiTheme="majorBidi" w:cstheme="majorBidi"/>
          <w:sz w:val="24"/>
          <w:szCs w:val="24"/>
          <w:lang w:val="en-GB"/>
        </w:rPr>
        <w:t xml:space="preserve">effectively </w:t>
      </w:r>
      <w:r>
        <w:rPr>
          <w:rFonts w:asciiTheme="majorBidi" w:eastAsia="SimSun" w:hAnsiTheme="majorBidi" w:cstheme="majorBidi"/>
          <w:sz w:val="24"/>
          <w:szCs w:val="24"/>
          <w:lang w:val="en-GB"/>
        </w:rPr>
        <w:t>‘</w:t>
      </w:r>
      <w:r w:rsidRPr="00FE2FC9">
        <w:rPr>
          <w:rFonts w:asciiTheme="majorBidi" w:eastAsia="SimSun" w:hAnsiTheme="majorBidi" w:cstheme="majorBidi"/>
          <w:sz w:val="24"/>
          <w:szCs w:val="24"/>
          <w:lang w:val="en-GB"/>
        </w:rPr>
        <w:t>under-reporting</w:t>
      </w:r>
      <w:r>
        <w:rPr>
          <w:rFonts w:asciiTheme="majorBidi" w:eastAsia="SimSun" w:hAnsiTheme="majorBidi" w:cstheme="majorBidi"/>
          <w:sz w:val="24"/>
          <w:szCs w:val="24"/>
          <w:lang w:val="en-GB"/>
        </w:rPr>
        <w:t>’</w:t>
      </w:r>
      <w:r w:rsidRPr="00FE2FC9">
        <w:rPr>
          <w:rFonts w:asciiTheme="majorBidi" w:eastAsia="SimSun" w:hAnsiTheme="majorBidi" w:cstheme="majorBidi"/>
          <w:sz w:val="24"/>
          <w:szCs w:val="24"/>
          <w:lang w:val="en-GB"/>
        </w:rPr>
        <w:t xml:space="preserve"> the true extent of growth asset exposure in their portfolios</w:t>
      </w:r>
      <w:r>
        <w:rPr>
          <w:rFonts w:asciiTheme="majorBidi" w:eastAsia="SimSun" w:hAnsiTheme="majorBidi" w:cstheme="majorBidi"/>
          <w:sz w:val="24"/>
          <w:szCs w:val="24"/>
          <w:lang w:val="en-GB"/>
        </w:rPr>
        <w:t>.</w:t>
      </w:r>
      <w:r w:rsidRPr="00FE2FC9">
        <w:rPr>
          <w:rFonts w:asciiTheme="majorBidi" w:eastAsia="SimSun" w:hAnsiTheme="majorBidi" w:cstheme="majorBidi"/>
          <w:sz w:val="24"/>
          <w:szCs w:val="24"/>
          <w:lang w:val="en-GB"/>
        </w:rPr>
        <w:t xml:space="preserve"> This impacts on the ability to appropriately compare like-for-like superannuation products.</w:t>
      </w:r>
      <w:r>
        <w:rPr>
          <w:rFonts w:asciiTheme="majorBidi" w:eastAsia="SimSun" w:hAnsiTheme="majorBidi" w:cstheme="majorBidi"/>
          <w:sz w:val="24"/>
          <w:szCs w:val="24"/>
          <w:lang w:val="en-GB"/>
        </w:rPr>
        <w:t>”</w:t>
      </w:r>
      <w:r w:rsidRPr="00FE2FC9">
        <w:rPr>
          <w:rFonts w:asciiTheme="majorBidi" w:eastAsia="SimSun" w:hAnsiTheme="majorBidi" w:cstheme="majorBidi"/>
          <w:sz w:val="24"/>
          <w:szCs w:val="24"/>
          <w:lang w:val="en-GB"/>
        </w:rPr>
        <w:t xml:space="preserve"> </w:t>
      </w:r>
      <w:r>
        <w:rPr>
          <w:rFonts w:asciiTheme="majorBidi" w:eastAsia="SimSun" w:hAnsiTheme="majorBidi" w:cstheme="majorBidi"/>
          <w:sz w:val="24"/>
          <w:szCs w:val="24"/>
          <w:lang w:val="en-GB"/>
        </w:rPr>
        <w:t>Some s</w:t>
      </w:r>
      <w:r w:rsidRPr="00FE2FC9">
        <w:rPr>
          <w:rFonts w:asciiTheme="majorBidi" w:eastAsia="SimSun" w:hAnsiTheme="majorBidi" w:cstheme="majorBidi"/>
          <w:sz w:val="24"/>
          <w:szCs w:val="24"/>
          <w:lang w:val="en-GB"/>
        </w:rPr>
        <w:t>uper</w:t>
      </w:r>
      <w:r>
        <w:rPr>
          <w:rFonts w:asciiTheme="majorBidi" w:eastAsia="SimSun" w:hAnsiTheme="majorBidi" w:cstheme="majorBidi"/>
          <w:sz w:val="24"/>
          <w:szCs w:val="24"/>
          <w:lang w:val="en-GB"/>
        </w:rPr>
        <w:t xml:space="preserve">annuation </w:t>
      </w:r>
      <w:r w:rsidRPr="00FE2FC9">
        <w:rPr>
          <w:rFonts w:asciiTheme="majorBidi" w:eastAsia="SimSun" w:hAnsiTheme="majorBidi" w:cstheme="majorBidi"/>
          <w:sz w:val="24"/>
          <w:szCs w:val="24"/>
          <w:lang w:val="en-GB"/>
        </w:rPr>
        <w:t xml:space="preserve">funds in Australia are heavily investing </w:t>
      </w:r>
      <w:r>
        <w:rPr>
          <w:rFonts w:asciiTheme="majorBidi" w:eastAsia="SimSun" w:hAnsiTheme="majorBidi" w:cstheme="majorBidi"/>
          <w:sz w:val="24"/>
          <w:szCs w:val="24"/>
          <w:lang w:val="en-GB"/>
        </w:rPr>
        <w:t xml:space="preserve">in </w:t>
      </w:r>
      <w:r w:rsidRPr="00FE2FC9">
        <w:rPr>
          <w:rFonts w:asciiTheme="majorBidi" w:eastAsia="SimSun" w:hAnsiTheme="majorBidi" w:cstheme="majorBidi"/>
          <w:sz w:val="24"/>
          <w:szCs w:val="24"/>
          <w:lang w:val="en-GB"/>
        </w:rPr>
        <w:t>infrastructure and property and yet these are classified in</w:t>
      </w:r>
      <w:r>
        <w:rPr>
          <w:rFonts w:asciiTheme="majorBidi" w:eastAsia="SimSun" w:hAnsiTheme="majorBidi" w:cstheme="majorBidi"/>
          <w:sz w:val="24"/>
          <w:szCs w:val="24"/>
          <w:lang w:val="en-GB"/>
        </w:rPr>
        <w:t xml:space="preserve"> different ways by funds. Hence, while </w:t>
      </w:r>
      <w:r w:rsidRPr="00FE2FC9">
        <w:rPr>
          <w:rFonts w:asciiTheme="majorBidi" w:eastAsia="SimSun" w:hAnsiTheme="majorBidi" w:cstheme="majorBidi"/>
          <w:sz w:val="24"/>
          <w:szCs w:val="24"/>
          <w:lang w:val="en-GB"/>
        </w:rPr>
        <w:t>some super</w:t>
      </w:r>
      <w:r>
        <w:rPr>
          <w:rFonts w:asciiTheme="majorBidi" w:eastAsia="SimSun" w:hAnsiTheme="majorBidi" w:cstheme="majorBidi"/>
          <w:sz w:val="24"/>
          <w:szCs w:val="24"/>
          <w:lang w:val="en-GB"/>
        </w:rPr>
        <w:t xml:space="preserve">annuation </w:t>
      </w:r>
      <w:r w:rsidRPr="00FE2FC9">
        <w:rPr>
          <w:rFonts w:asciiTheme="majorBidi" w:eastAsia="SimSun" w:hAnsiTheme="majorBidi" w:cstheme="majorBidi"/>
          <w:sz w:val="24"/>
          <w:szCs w:val="24"/>
          <w:lang w:val="en-GB"/>
        </w:rPr>
        <w:t>fund managers seem to provide very good results in terms of returns</w:t>
      </w:r>
      <w:r>
        <w:rPr>
          <w:rFonts w:asciiTheme="majorBidi" w:eastAsia="SimSun" w:hAnsiTheme="majorBidi" w:cstheme="majorBidi"/>
          <w:sz w:val="24"/>
          <w:szCs w:val="24"/>
          <w:lang w:val="en-GB"/>
        </w:rPr>
        <w:t xml:space="preserve">, they may be possibly </w:t>
      </w:r>
      <w:proofErr w:type="spellStart"/>
      <w:r>
        <w:rPr>
          <w:rFonts w:asciiTheme="majorBidi" w:eastAsia="SimSun" w:hAnsiTheme="majorBidi" w:cstheme="majorBidi"/>
          <w:sz w:val="24"/>
          <w:szCs w:val="24"/>
          <w:lang w:val="en-GB"/>
        </w:rPr>
        <w:t>mis</w:t>
      </w:r>
      <w:proofErr w:type="spellEnd"/>
      <w:r>
        <w:rPr>
          <w:rFonts w:asciiTheme="majorBidi" w:eastAsia="SimSun" w:hAnsiTheme="majorBidi" w:cstheme="majorBidi"/>
          <w:sz w:val="24"/>
          <w:szCs w:val="24"/>
          <w:lang w:val="en-GB"/>
        </w:rPr>
        <w:t>-sp</w:t>
      </w:r>
      <w:r w:rsidRPr="00FE2FC9">
        <w:rPr>
          <w:rFonts w:asciiTheme="majorBidi" w:eastAsia="SimSun" w:hAnsiTheme="majorBidi" w:cstheme="majorBidi"/>
          <w:sz w:val="24"/>
          <w:szCs w:val="24"/>
          <w:lang w:val="en-GB"/>
        </w:rPr>
        <w:t>ecifying risk to the members.</w:t>
      </w:r>
      <w:r w:rsidRPr="00FE2FC9">
        <w:rPr>
          <w:sz w:val="24"/>
          <w:szCs w:val="24"/>
        </w:rPr>
        <w:t xml:space="preserve"> </w:t>
      </w:r>
      <w:r w:rsidRPr="00FE2FC9">
        <w:rPr>
          <w:rFonts w:asciiTheme="majorBidi" w:hAnsiTheme="majorBidi" w:cstheme="majorBidi"/>
          <w:sz w:val="24"/>
          <w:szCs w:val="24"/>
        </w:rPr>
        <w:t>The industry clearly recognise</w:t>
      </w:r>
      <w:r>
        <w:rPr>
          <w:rFonts w:asciiTheme="majorBidi" w:hAnsiTheme="majorBidi" w:cstheme="majorBidi"/>
          <w:sz w:val="24"/>
          <w:szCs w:val="24"/>
        </w:rPr>
        <w:t>s</w:t>
      </w:r>
      <w:r w:rsidRPr="00FE2FC9">
        <w:rPr>
          <w:rFonts w:asciiTheme="majorBidi" w:hAnsiTheme="majorBidi" w:cstheme="majorBidi"/>
          <w:sz w:val="24"/>
          <w:szCs w:val="24"/>
        </w:rPr>
        <w:t xml:space="preserve"> the fact that there are discrepancies in the disclosure statement and a clear definition of what is growth and defensive is hard to assess</w:t>
      </w:r>
      <w:r w:rsidRPr="00FE2FC9">
        <w:rPr>
          <w:rFonts w:asciiTheme="majorBidi" w:eastAsia="SimSun" w:hAnsiTheme="majorBidi" w:cstheme="majorBidi"/>
          <w:sz w:val="24"/>
          <w:szCs w:val="24"/>
          <w:lang w:val="en-GB"/>
        </w:rPr>
        <w:t xml:space="preserve">. Hence the </w:t>
      </w:r>
      <w:r>
        <w:rPr>
          <w:rFonts w:asciiTheme="majorBidi" w:eastAsia="SimSun" w:hAnsiTheme="majorBidi" w:cstheme="majorBidi"/>
          <w:sz w:val="24"/>
          <w:szCs w:val="24"/>
          <w:lang w:val="en-GB"/>
        </w:rPr>
        <w:t>key</w:t>
      </w:r>
      <w:r w:rsidRPr="00FE2FC9">
        <w:rPr>
          <w:rFonts w:asciiTheme="majorBidi" w:eastAsia="SimSun" w:hAnsiTheme="majorBidi" w:cstheme="majorBidi"/>
          <w:sz w:val="24"/>
          <w:szCs w:val="24"/>
          <w:lang w:val="en-GB"/>
        </w:rPr>
        <w:t xml:space="preserve"> contribution of this study is to assess the risk of investment options using a standard approach. In particular, by using beta as a key risk measure, we assess the long term riskiness of the investment options by classifying asset classes using</w:t>
      </w:r>
      <w:r>
        <w:rPr>
          <w:rFonts w:asciiTheme="majorBidi" w:eastAsia="SimSun" w:hAnsiTheme="majorBidi" w:cstheme="majorBidi"/>
          <w:sz w:val="24"/>
          <w:szCs w:val="24"/>
          <w:lang w:val="en-GB"/>
        </w:rPr>
        <w:t xml:space="preserve"> the</w:t>
      </w:r>
      <w:r w:rsidRPr="00FE2FC9">
        <w:rPr>
          <w:rFonts w:asciiTheme="majorBidi" w:eastAsia="SimSun" w:hAnsiTheme="majorBidi" w:cstheme="majorBidi"/>
          <w:sz w:val="24"/>
          <w:szCs w:val="24"/>
          <w:lang w:val="en-GB"/>
        </w:rPr>
        <w:t xml:space="preserve"> standard definition of growth and defensive assets </w:t>
      </w:r>
      <w:r>
        <w:rPr>
          <w:rFonts w:asciiTheme="majorBidi" w:eastAsia="SimSun" w:hAnsiTheme="majorBidi" w:cstheme="majorBidi"/>
          <w:sz w:val="24"/>
          <w:szCs w:val="24"/>
          <w:lang w:val="en-GB"/>
        </w:rPr>
        <w:t>across</w:t>
      </w:r>
      <w:r w:rsidRPr="00FE2FC9">
        <w:rPr>
          <w:rFonts w:asciiTheme="majorBidi" w:eastAsia="SimSun" w:hAnsiTheme="majorBidi" w:cstheme="majorBidi"/>
          <w:sz w:val="24"/>
          <w:szCs w:val="24"/>
          <w:lang w:val="en-GB"/>
        </w:rPr>
        <w:t xml:space="preserve"> monthly assets classes of 1</w:t>
      </w:r>
      <w:r>
        <w:rPr>
          <w:rFonts w:asciiTheme="majorBidi" w:eastAsia="SimSun" w:hAnsiTheme="majorBidi" w:cstheme="majorBidi"/>
          <w:sz w:val="24"/>
          <w:szCs w:val="24"/>
          <w:lang w:val="en-GB"/>
        </w:rPr>
        <w:t>,</w:t>
      </w:r>
      <w:r w:rsidRPr="00FE2FC9">
        <w:rPr>
          <w:rFonts w:asciiTheme="majorBidi" w:eastAsia="SimSun" w:hAnsiTheme="majorBidi" w:cstheme="majorBidi"/>
          <w:sz w:val="24"/>
          <w:szCs w:val="24"/>
          <w:lang w:val="en-GB"/>
        </w:rPr>
        <w:t xml:space="preserve">213 investment </w:t>
      </w:r>
      <w:r>
        <w:rPr>
          <w:rFonts w:asciiTheme="majorBidi" w:eastAsia="SimSun" w:hAnsiTheme="majorBidi" w:cstheme="majorBidi"/>
          <w:sz w:val="24"/>
          <w:szCs w:val="24"/>
          <w:lang w:val="en-GB"/>
        </w:rPr>
        <w:t>options</w:t>
      </w:r>
      <w:r w:rsidRPr="00FE2FC9">
        <w:rPr>
          <w:rFonts w:asciiTheme="majorBidi" w:eastAsia="SimSun" w:hAnsiTheme="majorBidi" w:cstheme="majorBidi"/>
          <w:sz w:val="24"/>
          <w:szCs w:val="24"/>
          <w:lang w:val="en-GB"/>
        </w:rPr>
        <w:t xml:space="preserve"> for a period of January 1990 to December 2016.  </w:t>
      </w:r>
    </w:p>
    <w:p w:rsidR="007F433F" w:rsidRDefault="007F433F" w:rsidP="007F433F">
      <w:pPr>
        <w:snapToGrid w:val="0"/>
        <w:spacing w:after="0" w:line="480" w:lineRule="auto"/>
        <w:ind w:firstLine="720"/>
        <w:jc w:val="both"/>
        <w:rPr>
          <w:rFonts w:asciiTheme="majorBidi" w:eastAsia="SimSun" w:hAnsiTheme="majorBidi" w:cstheme="majorBidi"/>
          <w:sz w:val="24"/>
          <w:szCs w:val="24"/>
          <w:lang w:val="en-GB"/>
        </w:rPr>
      </w:pPr>
      <w:r>
        <w:rPr>
          <w:rFonts w:asciiTheme="majorBidi" w:eastAsia="SimSun" w:hAnsiTheme="majorBidi" w:cstheme="majorBidi"/>
          <w:sz w:val="24"/>
          <w:szCs w:val="24"/>
          <w:lang w:val="en-GB"/>
        </w:rPr>
        <w:t>R</w:t>
      </w:r>
      <w:r w:rsidRPr="00FE2FC9">
        <w:rPr>
          <w:rFonts w:asciiTheme="majorBidi" w:eastAsia="SimSun" w:hAnsiTheme="majorBidi" w:cstheme="majorBidi"/>
          <w:sz w:val="24"/>
          <w:szCs w:val="24"/>
          <w:lang w:val="en-GB"/>
        </w:rPr>
        <w:t xml:space="preserve">isk assessment </w:t>
      </w:r>
      <w:r>
        <w:rPr>
          <w:rFonts w:asciiTheme="majorBidi" w:eastAsia="SimSun" w:hAnsiTheme="majorBidi" w:cstheme="majorBidi"/>
          <w:sz w:val="24"/>
          <w:szCs w:val="24"/>
          <w:lang w:val="en-GB"/>
        </w:rPr>
        <w:t xml:space="preserve">of the stock market is largely researched in the finance literature, hence it is important to provide a comprehensive risk analysis to superannuation funds. </w:t>
      </w:r>
      <w:r w:rsidRPr="00FE2FC9">
        <w:rPr>
          <w:rFonts w:asciiTheme="majorBidi" w:eastAsia="SimSun" w:hAnsiTheme="majorBidi" w:cstheme="majorBidi"/>
          <w:sz w:val="24"/>
          <w:szCs w:val="24"/>
          <w:lang w:val="en-GB"/>
        </w:rPr>
        <w:t xml:space="preserve">There is a wide literature in the risk-return trade-off with mixed views as to what will be the best investment options as investors are at different stages of life. Davis (2001) outlines </w:t>
      </w:r>
      <w:proofErr w:type="gramStart"/>
      <w:r w:rsidRPr="00FE2FC9">
        <w:rPr>
          <w:rFonts w:asciiTheme="majorBidi" w:eastAsia="SimSun" w:hAnsiTheme="majorBidi" w:cstheme="majorBidi"/>
          <w:sz w:val="24"/>
          <w:szCs w:val="24"/>
          <w:lang w:val="en-GB"/>
        </w:rPr>
        <w:t>that  investment</w:t>
      </w:r>
      <w:proofErr w:type="gramEnd"/>
      <w:r w:rsidRPr="00FE2FC9">
        <w:rPr>
          <w:rFonts w:asciiTheme="majorBidi" w:eastAsia="SimSun" w:hAnsiTheme="majorBidi" w:cstheme="majorBidi"/>
          <w:sz w:val="24"/>
          <w:szCs w:val="24"/>
          <w:lang w:val="en-GB"/>
        </w:rPr>
        <w:t xml:space="preserve"> funds should be looking at the most efficient portfolio that is by considering the Markowitz’s modern portfolio theory. He argues that once the efficient frontier is set, then the fund should identify the level of risk that it is willing to take to achieve the desired rate of </w:t>
      </w:r>
      <w:r w:rsidRPr="00FE2FC9">
        <w:rPr>
          <w:rFonts w:asciiTheme="majorBidi" w:eastAsia="SimSun" w:hAnsiTheme="majorBidi" w:cstheme="majorBidi"/>
          <w:sz w:val="24"/>
          <w:szCs w:val="24"/>
          <w:lang w:val="en-GB"/>
        </w:rPr>
        <w:lastRenderedPageBreak/>
        <w:t>return. There are numerous papers</w:t>
      </w:r>
      <w:r w:rsidRPr="00CB1D07">
        <w:rPr>
          <w:rFonts w:asciiTheme="majorBidi" w:eastAsia="SimSun" w:hAnsiTheme="majorBidi" w:cstheme="majorBidi"/>
          <w:sz w:val="24"/>
          <w:szCs w:val="24"/>
          <w:lang w:val="en-GB"/>
        </w:rPr>
        <w:t xml:space="preserve"> which examine the idea of de-risking and its relationship to the age of the investors. Samuelson (1989) suggests that investors should be more risk tolerant when they are young and decrease exposure to relatively risky equities in favour of lower risk cash and fixed interest securities as they age. Samuelson (1969) however highlight</w:t>
      </w:r>
      <w:r>
        <w:rPr>
          <w:rFonts w:asciiTheme="majorBidi" w:eastAsia="SimSun" w:hAnsiTheme="majorBidi" w:cstheme="majorBidi"/>
          <w:sz w:val="24"/>
          <w:szCs w:val="24"/>
          <w:lang w:val="en-GB"/>
        </w:rPr>
        <w:t>s</w:t>
      </w:r>
      <w:r w:rsidRPr="00CB1D07">
        <w:rPr>
          <w:rFonts w:asciiTheme="majorBidi" w:eastAsia="SimSun" w:hAnsiTheme="majorBidi" w:cstheme="majorBidi"/>
          <w:sz w:val="24"/>
          <w:szCs w:val="24"/>
          <w:lang w:val="en-GB"/>
        </w:rPr>
        <w:t xml:space="preserve"> that a greater aggressive allocation is irrational with a constant investment opportunity set.  Samuelson (1991) further showed that that the young investors should be more risk tolerant if the assumption of a random walk for securities is replaced with mean reversion</w:t>
      </w:r>
      <w:r>
        <w:rPr>
          <w:rFonts w:asciiTheme="majorBidi" w:eastAsia="SimSun" w:hAnsiTheme="majorBidi" w:cstheme="majorBidi"/>
          <w:sz w:val="24"/>
          <w:szCs w:val="24"/>
          <w:lang w:val="en-GB"/>
        </w:rPr>
        <w:t>,</w:t>
      </w:r>
      <w:r w:rsidRPr="00CB1D07">
        <w:rPr>
          <w:rFonts w:asciiTheme="majorBidi" w:eastAsia="SimSun" w:hAnsiTheme="majorBidi" w:cstheme="majorBidi"/>
          <w:sz w:val="24"/>
          <w:szCs w:val="24"/>
          <w:lang w:val="en-GB"/>
        </w:rPr>
        <w:t xml:space="preserve"> that is</w:t>
      </w:r>
      <w:r>
        <w:rPr>
          <w:rFonts w:asciiTheme="majorBidi" w:eastAsia="SimSun" w:hAnsiTheme="majorBidi" w:cstheme="majorBidi"/>
          <w:sz w:val="24"/>
          <w:szCs w:val="24"/>
          <w:lang w:val="en-GB"/>
        </w:rPr>
        <w:t>,</w:t>
      </w:r>
      <w:r w:rsidRPr="00CB1D07">
        <w:rPr>
          <w:rFonts w:asciiTheme="majorBidi" w:eastAsia="SimSun" w:hAnsiTheme="majorBidi" w:cstheme="majorBidi"/>
          <w:sz w:val="24"/>
          <w:szCs w:val="24"/>
          <w:lang w:val="en-GB"/>
        </w:rPr>
        <w:t xml:space="preserve"> a loss will ultimately be corrected to a profit over the long term. He further shows in his 1994 study </w:t>
      </w:r>
      <w:r>
        <w:rPr>
          <w:rFonts w:asciiTheme="majorBidi" w:eastAsia="SimSun" w:hAnsiTheme="majorBidi" w:cstheme="majorBidi"/>
          <w:sz w:val="24"/>
          <w:szCs w:val="24"/>
          <w:lang w:val="en-GB"/>
        </w:rPr>
        <w:t>that a desired</w:t>
      </w:r>
      <w:r w:rsidRPr="00CB1D07">
        <w:rPr>
          <w:rFonts w:asciiTheme="majorBidi" w:eastAsia="SimSun" w:hAnsiTheme="majorBidi" w:cstheme="majorBidi"/>
          <w:sz w:val="24"/>
          <w:szCs w:val="24"/>
          <w:lang w:val="en-GB"/>
        </w:rPr>
        <w:t xml:space="preserve"> minimum level of retirement wealth</w:t>
      </w:r>
      <w:r>
        <w:rPr>
          <w:rFonts w:asciiTheme="majorBidi" w:eastAsia="SimSun" w:hAnsiTheme="majorBidi" w:cstheme="majorBidi"/>
          <w:sz w:val="24"/>
          <w:szCs w:val="24"/>
          <w:lang w:val="en-GB"/>
        </w:rPr>
        <w:t>,</w:t>
      </w:r>
      <w:r w:rsidRPr="00CB1D07">
        <w:rPr>
          <w:rFonts w:asciiTheme="majorBidi" w:eastAsia="SimSun" w:hAnsiTheme="majorBidi" w:cstheme="majorBidi"/>
          <w:sz w:val="24"/>
          <w:szCs w:val="24"/>
          <w:lang w:val="en-GB"/>
        </w:rPr>
        <w:t xml:space="preserve"> imply an optimal investment strategy of declining equity allocation with age. However, a different view is from McNaughton, Piggott, and </w:t>
      </w:r>
      <w:proofErr w:type="spellStart"/>
      <w:r w:rsidRPr="00CB1D07">
        <w:rPr>
          <w:rFonts w:asciiTheme="majorBidi" w:eastAsia="SimSun" w:hAnsiTheme="majorBidi" w:cstheme="majorBidi"/>
          <w:sz w:val="24"/>
          <w:szCs w:val="24"/>
          <w:lang w:val="en-GB"/>
        </w:rPr>
        <w:t>Purcal</w:t>
      </w:r>
      <w:proofErr w:type="spellEnd"/>
      <w:r w:rsidRPr="00CB1D07">
        <w:rPr>
          <w:rFonts w:asciiTheme="majorBidi" w:eastAsia="SimSun" w:hAnsiTheme="majorBidi" w:cstheme="majorBidi"/>
          <w:sz w:val="24"/>
          <w:szCs w:val="24"/>
          <w:lang w:val="en-GB"/>
        </w:rPr>
        <w:t xml:space="preserve"> (1999)</w:t>
      </w:r>
      <w:r>
        <w:rPr>
          <w:rFonts w:asciiTheme="majorBidi" w:eastAsia="SimSun" w:hAnsiTheme="majorBidi" w:cstheme="majorBidi"/>
          <w:sz w:val="24"/>
          <w:szCs w:val="24"/>
          <w:lang w:val="en-GB"/>
        </w:rPr>
        <w:t xml:space="preserve">, </w:t>
      </w:r>
      <w:r w:rsidRPr="00CB1D07">
        <w:rPr>
          <w:rFonts w:asciiTheme="majorBidi" w:eastAsia="SimSun" w:hAnsiTheme="majorBidi" w:cstheme="majorBidi"/>
          <w:sz w:val="24"/>
          <w:szCs w:val="24"/>
          <w:lang w:val="en-GB"/>
        </w:rPr>
        <w:t xml:space="preserve">who suggest that an increasing equity allocation with age is more likely. Recently, Estrada (2016) looks into an aggressive asset allocation suggested by Warren Buffet of </w:t>
      </w:r>
      <w:r>
        <w:rPr>
          <w:rFonts w:asciiTheme="majorBidi" w:eastAsia="SimSun" w:hAnsiTheme="majorBidi" w:cstheme="majorBidi"/>
          <w:sz w:val="24"/>
          <w:szCs w:val="24"/>
          <w:lang w:val="en-GB"/>
        </w:rPr>
        <w:t xml:space="preserve">the </w:t>
      </w:r>
      <w:r w:rsidRPr="00CB1D07">
        <w:rPr>
          <w:rFonts w:asciiTheme="majorBidi" w:eastAsia="SimSun" w:hAnsiTheme="majorBidi" w:cstheme="majorBidi"/>
          <w:sz w:val="24"/>
          <w:szCs w:val="24"/>
          <w:lang w:val="en-GB"/>
        </w:rPr>
        <w:t xml:space="preserve">90/10 investment option that is 90 percent being in growth strategy. Using the historical returns, he considers how a hypothetical investment </w:t>
      </w:r>
      <w:r>
        <w:rPr>
          <w:rFonts w:asciiTheme="majorBidi" w:eastAsia="SimSun" w:hAnsiTheme="majorBidi" w:cstheme="majorBidi"/>
          <w:sz w:val="24"/>
          <w:szCs w:val="24"/>
          <w:lang w:val="en-GB"/>
        </w:rPr>
        <w:t xml:space="preserve">portfolio </w:t>
      </w:r>
      <w:r w:rsidRPr="00CB1D07">
        <w:rPr>
          <w:rFonts w:asciiTheme="majorBidi" w:eastAsia="SimSun" w:hAnsiTheme="majorBidi" w:cstheme="majorBidi"/>
          <w:sz w:val="24"/>
          <w:szCs w:val="24"/>
          <w:lang w:val="en-GB"/>
        </w:rPr>
        <w:t>perform</w:t>
      </w:r>
      <w:r>
        <w:rPr>
          <w:rFonts w:asciiTheme="majorBidi" w:eastAsia="SimSun" w:hAnsiTheme="majorBidi" w:cstheme="majorBidi"/>
          <w:sz w:val="24"/>
          <w:szCs w:val="24"/>
          <w:lang w:val="en-GB"/>
        </w:rPr>
        <w:t>s</w:t>
      </w:r>
      <w:r w:rsidRPr="00CB1D07">
        <w:rPr>
          <w:rFonts w:asciiTheme="majorBidi" w:eastAsia="SimSun" w:hAnsiTheme="majorBidi" w:cstheme="majorBidi"/>
          <w:sz w:val="24"/>
          <w:szCs w:val="24"/>
          <w:lang w:val="en-GB"/>
        </w:rPr>
        <w:t xml:space="preserve"> over a long time period over 30 year’s period starting from 1900 </w:t>
      </w:r>
      <w:r>
        <w:rPr>
          <w:rFonts w:asciiTheme="majorBidi" w:eastAsia="SimSun" w:hAnsiTheme="majorBidi" w:cstheme="majorBidi"/>
          <w:sz w:val="24"/>
          <w:szCs w:val="24"/>
          <w:lang w:val="en-GB"/>
        </w:rPr>
        <w:t>to</w:t>
      </w:r>
      <w:r w:rsidRPr="00CB1D07">
        <w:rPr>
          <w:rFonts w:asciiTheme="majorBidi" w:eastAsia="SimSun" w:hAnsiTheme="majorBidi" w:cstheme="majorBidi"/>
          <w:sz w:val="24"/>
          <w:szCs w:val="24"/>
          <w:lang w:val="en-GB"/>
        </w:rPr>
        <w:t xml:space="preserve"> 1930 and his final years include 1985 to 2014. His findings suggest that retirees might be able to lean heavily on stocks without putting their nest egg in grave danger. Given the mixed literature and the volatile state of the market over the past few decades, the focus of our focus is to assess how the associated risk</w:t>
      </w:r>
      <w:r>
        <w:rPr>
          <w:rFonts w:asciiTheme="majorBidi" w:eastAsia="SimSun" w:hAnsiTheme="majorBidi" w:cstheme="majorBidi"/>
          <w:sz w:val="24"/>
          <w:szCs w:val="24"/>
          <w:lang w:val="en-GB"/>
        </w:rPr>
        <w:t>, as measured by beta, varies</w:t>
      </w:r>
      <w:r w:rsidRPr="00CB1D07">
        <w:rPr>
          <w:rFonts w:asciiTheme="majorBidi" w:eastAsia="SimSun" w:hAnsiTheme="majorBidi" w:cstheme="majorBidi"/>
          <w:sz w:val="24"/>
          <w:szCs w:val="24"/>
          <w:lang w:val="en-GB"/>
        </w:rPr>
        <w:t xml:space="preserve"> in each of the investment options for a period of 27 years from January 1990 to December 2016. </w:t>
      </w:r>
    </w:p>
    <w:p w:rsidR="007F433F" w:rsidRDefault="007F433F" w:rsidP="007F433F">
      <w:pPr>
        <w:snapToGrid w:val="0"/>
        <w:spacing w:after="0" w:line="480" w:lineRule="auto"/>
        <w:ind w:firstLine="720"/>
        <w:jc w:val="both"/>
        <w:rPr>
          <w:rFonts w:asciiTheme="majorBidi" w:hAnsiTheme="majorBidi" w:cstheme="majorBidi"/>
          <w:bCs/>
          <w:sz w:val="24"/>
          <w:szCs w:val="24"/>
          <w:lang w:eastAsia="en-US"/>
        </w:rPr>
      </w:pPr>
      <w:r>
        <w:rPr>
          <w:rFonts w:asciiTheme="majorBidi" w:eastAsia="SimSun" w:hAnsiTheme="majorBidi" w:cstheme="majorBidi"/>
          <w:sz w:val="24"/>
          <w:szCs w:val="24"/>
          <w:lang w:val="en-GB"/>
        </w:rPr>
        <w:t xml:space="preserve">Our second contribution, is to assess the risk of the investment options by considering two different methods of classification for the investment options, that is, we establish the extent to which beta, our measure of risk, varies as the definition of investment options changes, in particular a balanced option.  In this regard, we aim to answer the question “does the definition of 41-60% of growth assets in the fund as compared to 31-70% of growth assets </w:t>
      </w:r>
      <w:r>
        <w:rPr>
          <w:rFonts w:asciiTheme="majorBidi" w:eastAsia="SimSun" w:hAnsiTheme="majorBidi" w:cstheme="majorBidi"/>
          <w:sz w:val="24"/>
          <w:szCs w:val="24"/>
          <w:lang w:val="en-GB"/>
        </w:rPr>
        <w:lastRenderedPageBreak/>
        <w:t>really matter?” In addition to the variability in the definition of which asset class is a growth or a defensive asset, another unresolved definition in the superannuation (pension) system is “what is a balanced option?” We</w:t>
      </w:r>
      <w:r w:rsidRPr="00D71A23">
        <w:rPr>
          <w:rFonts w:asciiTheme="majorBidi" w:hAnsiTheme="majorBidi" w:cstheme="majorBidi"/>
          <w:bCs/>
          <w:sz w:val="24"/>
          <w:szCs w:val="24"/>
          <w:lang w:eastAsia="en-US"/>
        </w:rPr>
        <w:t xml:space="preserve"> have a large number of individual fund members who fall in the default category in the investment options. </w:t>
      </w:r>
      <w:proofErr w:type="spellStart"/>
      <w:r w:rsidRPr="00D71A23">
        <w:rPr>
          <w:rFonts w:asciiTheme="majorBidi" w:hAnsiTheme="majorBidi" w:cstheme="majorBidi"/>
          <w:bCs/>
          <w:sz w:val="24"/>
          <w:szCs w:val="24"/>
          <w:lang w:eastAsia="en-US"/>
        </w:rPr>
        <w:t>Gerrans</w:t>
      </w:r>
      <w:proofErr w:type="spellEnd"/>
      <w:r w:rsidRPr="00D71A23">
        <w:rPr>
          <w:rFonts w:asciiTheme="majorBidi" w:hAnsiTheme="majorBidi" w:cstheme="majorBidi"/>
          <w:bCs/>
          <w:sz w:val="24"/>
          <w:szCs w:val="24"/>
          <w:lang w:eastAsia="en-US"/>
        </w:rPr>
        <w:t xml:space="preserve"> et al. (2010) highlights that the total </w:t>
      </w:r>
      <w:r>
        <w:rPr>
          <w:rFonts w:asciiTheme="majorBidi" w:hAnsiTheme="majorBidi" w:cstheme="majorBidi"/>
          <w:bCs/>
          <w:sz w:val="24"/>
          <w:szCs w:val="24"/>
          <w:lang w:eastAsia="en-US"/>
        </w:rPr>
        <w:t xml:space="preserve">growth </w:t>
      </w:r>
      <w:r w:rsidRPr="00D71A23">
        <w:rPr>
          <w:rFonts w:asciiTheme="majorBidi" w:hAnsiTheme="majorBidi" w:cstheme="majorBidi"/>
          <w:bCs/>
          <w:sz w:val="24"/>
          <w:szCs w:val="24"/>
          <w:lang w:eastAsia="en-US"/>
        </w:rPr>
        <w:t>assets in the default option of funds across the superannuation industry vary from 40 percent for retail funds to 70</w:t>
      </w:r>
      <w:r>
        <w:rPr>
          <w:rFonts w:asciiTheme="majorBidi" w:hAnsiTheme="majorBidi" w:cstheme="majorBidi"/>
          <w:bCs/>
          <w:sz w:val="24"/>
          <w:szCs w:val="24"/>
          <w:lang w:eastAsia="en-US"/>
        </w:rPr>
        <w:t xml:space="preserve"> percent for industry funds</w:t>
      </w:r>
      <w:r w:rsidRPr="00D71A23">
        <w:rPr>
          <w:rFonts w:asciiTheme="majorBidi" w:hAnsiTheme="majorBidi" w:cstheme="majorBidi"/>
          <w:bCs/>
          <w:sz w:val="24"/>
          <w:szCs w:val="24"/>
          <w:lang w:eastAsia="en-US"/>
        </w:rPr>
        <w:t>.</w:t>
      </w:r>
      <w:r>
        <w:rPr>
          <w:rFonts w:asciiTheme="majorBidi" w:hAnsiTheme="majorBidi" w:cstheme="majorBidi"/>
          <w:bCs/>
          <w:sz w:val="24"/>
          <w:szCs w:val="24"/>
          <w:lang w:eastAsia="en-US"/>
        </w:rPr>
        <w:t xml:space="preserve">  The default option is very important to consider given that we now have the legislated </w:t>
      </w:r>
      <w:proofErr w:type="spellStart"/>
      <w:r>
        <w:rPr>
          <w:rFonts w:asciiTheme="majorBidi" w:hAnsiTheme="majorBidi" w:cstheme="majorBidi"/>
          <w:bCs/>
          <w:sz w:val="24"/>
          <w:szCs w:val="24"/>
          <w:lang w:eastAsia="en-US"/>
        </w:rPr>
        <w:t>MySuper</w:t>
      </w:r>
      <w:proofErr w:type="spellEnd"/>
      <w:r>
        <w:rPr>
          <w:rFonts w:asciiTheme="majorBidi" w:hAnsiTheme="majorBidi" w:cstheme="majorBidi"/>
          <w:bCs/>
          <w:sz w:val="24"/>
          <w:szCs w:val="24"/>
          <w:lang w:eastAsia="en-US"/>
        </w:rPr>
        <w:t xml:space="preserve"> options in place. Most</w:t>
      </w:r>
      <w:r w:rsidRPr="0042655D">
        <w:rPr>
          <w:rFonts w:asciiTheme="majorBidi" w:hAnsiTheme="majorBidi" w:cstheme="majorBidi"/>
          <w:bCs/>
          <w:sz w:val="24"/>
          <w:szCs w:val="24"/>
          <w:lang w:eastAsia="en-US"/>
        </w:rPr>
        <w:t xml:space="preserve"> </w:t>
      </w:r>
      <w:r>
        <w:rPr>
          <w:rFonts w:asciiTheme="majorBidi" w:hAnsiTheme="majorBidi" w:cstheme="majorBidi"/>
          <w:bCs/>
          <w:sz w:val="24"/>
          <w:szCs w:val="24"/>
          <w:lang w:eastAsia="en-US"/>
        </w:rPr>
        <w:t>f</w:t>
      </w:r>
      <w:r w:rsidRPr="0042655D">
        <w:rPr>
          <w:rFonts w:asciiTheme="majorBidi" w:hAnsiTheme="majorBidi" w:cstheme="majorBidi"/>
          <w:bCs/>
          <w:sz w:val="24"/>
          <w:szCs w:val="24"/>
          <w:lang w:eastAsia="en-US"/>
        </w:rPr>
        <w:t>unds implemented</w:t>
      </w:r>
      <w:r>
        <w:rPr>
          <w:rFonts w:asciiTheme="majorBidi" w:hAnsiTheme="majorBidi" w:cstheme="majorBidi"/>
          <w:bCs/>
          <w:sz w:val="24"/>
          <w:szCs w:val="24"/>
          <w:lang w:eastAsia="en-US"/>
        </w:rPr>
        <w:t xml:space="preserve"> the </w:t>
      </w:r>
      <w:proofErr w:type="spellStart"/>
      <w:r>
        <w:rPr>
          <w:rFonts w:asciiTheme="majorBidi" w:hAnsiTheme="majorBidi" w:cstheme="majorBidi"/>
          <w:bCs/>
          <w:sz w:val="24"/>
          <w:szCs w:val="24"/>
          <w:lang w:eastAsia="en-US"/>
        </w:rPr>
        <w:t>MySuper</w:t>
      </w:r>
      <w:proofErr w:type="spellEnd"/>
      <w:r>
        <w:rPr>
          <w:rFonts w:asciiTheme="majorBidi" w:hAnsiTheme="majorBidi" w:cstheme="majorBidi"/>
          <w:bCs/>
          <w:sz w:val="24"/>
          <w:szCs w:val="24"/>
          <w:lang w:eastAsia="en-US"/>
        </w:rPr>
        <w:t xml:space="preserve"> options by either (1) </w:t>
      </w:r>
      <w:r w:rsidRPr="0042655D">
        <w:rPr>
          <w:rFonts w:asciiTheme="majorBidi" w:hAnsiTheme="majorBidi" w:cstheme="majorBidi"/>
          <w:bCs/>
          <w:sz w:val="24"/>
          <w:szCs w:val="24"/>
          <w:lang w:eastAsia="en-US"/>
        </w:rPr>
        <w:t>by changing the existing default option (</w:t>
      </w:r>
      <w:r>
        <w:rPr>
          <w:rFonts w:asciiTheme="majorBidi" w:hAnsiTheme="majorBidi" w:cstheme="majorBidi"/>
          <w:bCs/>
          <w:sz w:val="24"/>
          <w:szCs w:val="24"/>
          <w:lang w:eastAsia="en-US"/>
        </w:rPr>
        <w:t>balanced option)</w:t>
      </w:r>
      <w:r w:rsidRPr="0042655D">
        <w:rPr>
          <w:rFonts w:asciiTheme="majorBidi" w:hAnsiTheme="majorBidi" w:cstheme="majorBidi"/>
          <w:bCs/>
          <w:sz w:val="24"/>
          <w:szCs w:val="24"/>
          <w:lang w:eastAsia="en-US"/>
        </w:rPr>
        <w:t xml:space="preserve"> to </w:t>
      </w:r>
      <w:proofErr w:type="spellStart"/>
      <w:r w:rsidRPr="0042655D">
        <w:rPr>
          <w:rFonts w:asciiTheme="majorBidi" w:hAnsiTheme="majorBidi" w:cstheme="majorBidi"/>
          <w:bCs/>
          <w:sz w:val="24"/>
          <w:szCs w:val="24"/>
          <w:lang w:eastAsia="en-US"/>
        </w:rPr>
        <w:t>MySuper</w:t>
      </w:r>
      <w:proofErr w:type="spellEnd"/>
      <w:r w:rsidRPr="0042655D">
        <w:rPr>
          <w:rFonts w:asciiTheme="majorBidi" w:hAnsiTheme="majorBidi" w:cstheme="majorBidi"/>
          <w:bCs/>
          <w:sz w:val="24"/>
          <w:szCs w:val="24"/>
          <w:lang w:eastAsia="en-US"/>
        </w:rPr>
        <w:t xml:space="preserve"> option</w:t>
      </w:r>
      <w:r>
        <w:rPr>
          <w:rFonts w:asciiTheme="majorBidi" w:hAnsiTheme="majorBidi" w:cstheme="majorBidi"/>
          <w:bCs/>
          <w:sz w:val="24"/>
          <w:szCs w:val="24"/>
          <w:lang w:eastAsia="en-US"/>
        </w:rPr>
        <w:t xml:space="preserve"> or (2) c</w:t>
      </w:r>
      <w:r w:rsidRPr="0042655D">
        <w:rPr>
          <w:rFonts w:asciiTheme="majorBidi" w:hAnsiTheme="majorBidi" w:cstheme="majorBidi"/>
          <w:bCs/>
          <w:sz w:val="24"/>
          <w:szCs w:val="24"/>
          <w:lang w:eastAsia="en-US"/>
        </w:rPr>
        <w:t>onsidere</w:t>
      </w:r>
      <w:r>
        <w:rPr>
          <w:rFonts w:asciiTheme="majorBidi" w:hAnsiTheme="majorBidi" w:cstheme="majorBidi"/>
          <w:bCs/>
          <w:sz w:val="24"/>
          <w:szCs w:val="24"/>
          <w:lang w:eastAsia="en-US"/>
        </w:rPr>
        <w:t xml:space="preserve">d a Lifecycle Investment strategy. However, there is no clear definition of what a balanced option is. There is no clear distinction of what a growth versus a balanced fund is. It is suggested that a growth fund should have </w:t>
      </w:r>
      <w:r w:rsidRPr="0042655D">
        <w:rPr>
          <w:rFonts w:asciiTheme="majorBidi" w:hAnsiTheme="majorBidi" w:cstheme="majorBidi"/>
          <w:bCs/>
          <w:sz w:val="24"/>
          <w:szCs w:val="24"/>
          <w:lang w:eastAsia="en-US"/>
        </w:rPr>
        <w:t>a 55% to 80% allocation to growth assets,</w:t>
      </w:r>
      <w:r>
        <w:rPr>
          <w:rFonts w:asciiTheme="majorBidi" w:hAnsiTheme="majorBidi" w:cstheme="majorBidi"/>
          <w:bCs/>
          <w:sz w:val="24"/>
          <w:szCs w:val="24"/>
          <w:lang w:eastAsia="en-US"/>
        </w:rPr>
        <w:t xml:space="preserve"> yet we do have a number of funds with the same percentage allocation and yet the label is a balanced fund. </w:t>
      </w:r>
      <w:r w:rsidRPr="0042655D">
        <w:rPr>
          <w:rFonts w:asciiTheme="majorBidi" w:hAnsiTheme="majorBidi" w:cstheme="majorBidi"/>
          <w:bCs/>
          <w:sz w:val="24"/>
          <w:szCs w:val="24"/>
          <w:lang w:eastAsia="en-US"/>
        </w:rPr>
        <w:t xml:space="preserve">For example, superannuation ratings agency, </w:t>
      </w:r>
      <w:proofErr w:type="spellStart"/>
      <w:r w:rsidRPr="0042655D">
        <w:rPr>
          <w:rFonts w:asciiTheme="majorBidi" w:hAnsiTheme="majorBidi" w:cstheme="majorBidi"/>
          <w:bCs/>
          <w:sz w:val="24"/>
          <w:szCs w:val="24"/>
          <w:lang w:eastAsia="en-US"/>
        </w:rPr>
        <w:t>SuperRatings</w:t>
      </w:r>
      <w:proofErr w:type="spellEnd"/>
      <w:r w:rsidRPr="0042655D">
        <w:rPr>
          <w:rFonts w:asciiTheme="majorBidi" w:hAnsiTheme="majorBidi" w:cstheme="majorBidi"/>
          <w:bCs/>
          <w:sz w:val="24"/>
          <w:szCs w:val="24"/>
          <w:lang w:eastAsia="en-US"/>
        </w:rPr>
        <w:t>, categorises a balanced option as 60% to 76% allocation to growth assets, while superannuation ratings agency Chant West’s description of ‘balanced’ however is 41% to 60% in growth assets</w:t>
      </w:r>
      <w:r>
        <w:rPr>
          <w:rStyle w:val="FootnoteReference"/>
          <w:rFonts w:asciiTheme="majorBidi" w:hAnsiTheme="majorBidi" w:cstheme="majorBidi"/>
          <w:bCs/>
          <w:sz w:val="24"/>
          <w:szCs w:val="24"/>
          <w:lang w:eastAsia="en-US"/>
        </w:rPr>
        <w:footnoteReference w:id="4"/>
      </w:r>
      <w:r w:rsidRPr="0042655D">
        <w:rPr>
          <w:rFonts w:asciiTheme="majorBidi" w:hAnsiTheme="majorBidi" w:cstheme="majorBidi"/>
          <w:bCs/>
          <w:sz w:val="24"/>
          <w:szCs w:val="24"/>
          <w:lang w:eastAsia="en-US"/>
        </w:rPr>
        <w:t xml:space="preserve">. In comparison, a growth option under the </w:t>
      </w:r>
      <w:proofErr w:type="spellStart"/>
      <w:r w:rsidRPr="0042655D">
        <w:rPr>
          <w:rFonts w:asciiTheme="majorBidi" w:hAnsiTheme="majorBidi" w:cstheme="majorBidi"/>
          <w:bCs/>
          <w:sz w:val="24"/>
          <w:szCs w:val="24"/>
          <w:lang w:eastAsia="en-US"/>
        </w:rPr>
        <w:t>SuperRatings</w:t>
      </w:r>
      <w:proofErr w:type="spellEnd"/>
      <w:r w:rsidRPr="0042655D">
        <w:rPr>
          <w:rFonts w:asciiTheme="majorBidi" w:hAnsiTheme="majorBidi" w:cstheme="majorBidi"/>
          <w:bCs/>
          <w:sz w:val="24"/>
          <w:szCs w:val="24"/>
          <w:lang w:eastAsia="en-US"/>
        </w:rPr>
        <w:t xml:space="preserve"> categories, is 77% to 90% allocation to growth assets, while Chant West’s description is of growth is 61% to 80% allocation to growth assets. </w:t>
      </w:r>
      <w:r>
        <w:rPr>
          <w:rFonts w:asciiTheme="majorBidi" w:hAnsiTheme="majorBidi" w:cstheme="majorBidi"/>
          <w:bCs/>
          <w:sz w:val="24"/>
          <w:szCs w:val="24"/>
          <w:lang w:eastAsia="en-US"/>
        </w:rPr>
        <w:t xml:space="preserve">Hence in our study, we use two methods of classification, in particular the classification by </w:t>
      </w:r>
      <w:proofErr w:type="spellStart"/>
      <w:r>
        <w:rPr>
          <w:rFonts w:asciiTheme="majorBidi" w:hAnsiTheme="majorBidi" w:cstheme="majorBidi"/>
          <w:bCs/>
          <w:sz w:val="24"/>
          <w:szCs w:val="24"/>
          <w:lang w:eastAsia="en-US"/>
        </w:rPr>
        <w:t>Canstar</w:t>
      </w:r>
      <w:proofErr w:type="spellEnd"/>
      <w:r>
        <w:rPr>
          <w:rFonts w:asciiTheme="majorBidi" w:hAnsiTheme="majorBidi" w:cstheme="majorBidi"/>
          <w:bCs/>
          <w:sz w:val="24"/>
          <w:szCs w:val="24"/>
          <w:lang w:eastAsia="en-US"/>
        </w:rPr>
        <w:t xml:space="preserve"> rating (which is similar to </w:t>
      </w:r>
      <w:proofErr w:type="spellStart"/>
      <w:r>
        <w:rPr>
          <w:rFonts w:asciiTheme="majorBidi" w:hAnsiTheme="majorBidi" w:cstheme="majorBidi"/>
          <w:bCs/>
          <w:sz w:val="24"/>
          <w:szCs w:val="24"/>
          <w:lang w:eastAsia="en-US"/>
        </w:rPr>
        <w:t>Chantwest</w:t>
      </w:r>
      <w:proofErr w:type="spellEnd"/>
      <w:r>
        <w:rPr>
          <w:rFonts w:asciiTheme="majorBidi" w:hAnsiTheme="majorBidi" w:cstheme="majorBidi"/>
          <w:bCs/>
          <w:sz w:val="24"/>
          <w:szCs w:val="24"/>
          <w:lang w:eastAsia="en-US"/>
        </w:rPr>
        <w:t xml:space="preserve">) and the standard definition provided by ASIC to assess to what extent beta varies as we vary the percentage of growth and defensive. </w:t>
      </w:r>
    </w:p>
    <w:p w:rsidR="007F433F" w:rsidRDefault="007F433F" w:rsidP="007F433F">
      <w:pPr>
        <w:snapToGrid w:val="0"/>
        <w:spacing w:after="0" w:line="480" w:lineRule="auto"/>
        <w:ind w:firstLine="720"/>
        <w:jc w:val="both"/>
        <w:rPr>
          <w:rFonts w:asciiTheme="majorBidi" w:hAnsiTheme="majorBidi" w:cstheme="majorBidi"/>
          <w:bCs/>
          <w:sz w:val="24"/>
          <w:szCs w:val="24"/>
          <w:lang w:eastAsia="en-US"/>
        </w:rPr>
      </w:pPr>
      <w:r>
        <w:rPr>
          <w:rFonts w:asciiTheme="majorBidi" w:hAnsiTheme="majorBidi" w:cstheme="majorBidi"/>
          <w:bCs/>
          <w:sz w:val="24"/>
          <w:szCs w:val="24"/>
          <w:lang w:eastAsia="en-US"/>
        </w:rPr>
        <w:t xml:space="preserve">Our third contribution is the methodological approach to estimate the risk coefficients (i.e., betas). Given the sample period of 27 years of asset classes, it is expected that </w:t>
      </w:r>
      <w:r>
        <w:rPr>
          <w:rFonts w:asciiTheme="majorBidi" w:hAnsiTheme="majorBidi" w:cstheme="majorBidi"/>
          <w:bCs/>
          <w:sz w:val="24"/>
          <w:szCs w:val="24"/>
          <w:lang w:eastAsia="en-US"/>
        </w:rPr>
        <w:lastRenderedPageBreak/>
        <w:t xml:space="preserve">superannuation funds managers will switch between asset classes over time. </w:t>
      </w:r>
      <w:r w:rsidRPr="00C5793A">
        <w:rPr>
          <w:rFonts w:asciiTheme="majorBidi" w:hAnsiTheme="majorBidi" w:cstheme="majorBidi"/>
          <w:bCs/>
          <w:sz w:val="24"/>
          <w:szCs w:val="24"/>
          <w:lang w:eastAsia="en-US"/>
        </w:rPr>
        <w:t xml:space="preserve">Hence, at a specific time, a fund is classified in one category depending on </w:t>
      </w:r>
      <w:r>
        <w:rPr>
          <w:rFonts w:asciiTheme="majorBidi" w:hAnsiTheme="majorBidi" w:cstheme="majorBidi"/>
          <w:bCs/>
          <w:sz w:val="24"/>
          <w:szCs w:val="24"/>
          <w:lang w:eastAsia="en-US"/>
        </w:rPr>
        <w:t xml:space="preserve">the </w:t>
      </w:r>
      <w:r w:rsidRPr="00C5793A">
        <w:rPr>
          <w:rFonts w:asciiTheme="majorBidi" w:hAnsiTheme="majorBidi" w:cstheme="majorBidi"/>
          <w:bCs/>
          <w:sz w:val="24"/>
          <w:szCs w:val="24"/>
          <w:lang w:eastAsia="en-US"/>
        </w:rPr>
        <w:t>p</w:t>
      </w:r>
      <w:r>
        <w:rPr>
          <w:rFonts w:asciiTheme="majorBidi" w:hAnsiTheme="majorBidi" w:cstheme="majorBidi"/>
          <w:bCs/>
          <w:sz w:val="24"/>
          <w:szCs w:val="24"/>
          <w:lang w:eastAsia="en-US"/>
        </w:rPr>
        <w:t xml:space="preserve">roportion of its growth assets and </w:t>
      </w:r>
      <w:r w:rsidRPr="00C5793A">
        <w:rPr>
          <w:rFonts w:asciiTheme="majorBidi" w:hAnsiTheme="majorBidi" w:cstheme="majorBidi"/>
          <w:bCs/>
          <w:sz w:val="24"/>
          <w:szCs w:val="24"/>
          <w:lang w:eastAsia="en-US"/>
        </w:rPr>
        <w:t xml:space="preserve">the classification of a fund can be time-dependent since the proportion of its growth assets can change over time. This characteristic represents the dynamic switching behaviour among investment options of a fund. </w:t>
      </w:r>
      <w:r>
        <w:rPr>
          <w:rFonts w:asciiTheme="majorBidi" w:hAnsiTheme="majorBidi" w:cstheme="majorBidi"/>
          <w:bCs/>
          <w:sz w:val="24"/>
          <w:szCs w:val="24"/>
          <w:lang w:eastAsia="en-US"/>
        </w:rPr>
        <w:t>Hence, rather than considering a traditional risk modelling framework with an assumption of constant risk profile, we estimate the risk coefficients using a dynamic approach which will accommodate</w:t>
      </w:r>
      <w:r w:rsidRPr="00C5793A">
        <w:rPr>
          <w:rFonts w:asciiTheme="majorBidi" w:hAnsiTheme="majorBidi" w:cstheme="majorBidi"/>
          <w:bCs/>
          <w:sz w:val="24"/>
          <w:szCs w:val="24"/>
          <w:lang w:eastAsia="en-US"/>
        </w:rPr>
        <w:t xml:space="preserve"> both</w:t>
      </w:r>
      <w:r>
        <w:rPr>
          <w:rFonts w:asciiTheme="majorBidi" w:hAnsiTheme="majorBidi" w:cstheme="majorBidi"/>
          <w:bCs/>
          <w:sz w:val="24"/>
          <w:szCs w:val="24"/>
          <w:lang w:eastAsia="en-US"/>
        </w:rPr>
        <w:t xml:space="preserve"> mentioned</w:t>
      </w:r>
      <w:r w:rsidRPr="00C5793A">
        <w:rPr>
          <w:rFonts w:asciiTheme="majorBidi" w:hAnsiTheme="majorBidi" w:cstheme="majorBidi"/>
          <w:bCs/>
          <w:sz w:val="24"/>
          <w:szCs w:val="24"/>
          <w:lang w:eastAsia="en-US"/>
        </w:rPr>
        <w:t xml:space="preserve"> characteristics by employing the panel data model developed by Feng et al. (2017).</w:t>
      </w:r>
      <w:r>
        <w:rPr>
          <w:rFonts w:asciiTheme="majorBidi" w:hAnsiTheme="majorBidi" w:cstheme="majorBidi"/>
          <w:bCs/>
          <w:sz w:val="24"/>
          <w:szCs w:val="24"/>
          <w:lang w:eastAsia="en-US"/>
        </w:rPr>
        <w:t xml:space="preserve"> We include</w:t>
      </w:r>
      <w:r w:rsidRPr="00EC3932">
        <w:rPr>
          <w:rFonts w:asciiTheme="majorBidi" w:hAnsiTheme="majorBidi" w:cstheme="majorBidi"/>
          <w:bCs/>
          <w:sz w:val="24"/>
          <w:szCs w:val="24"/>
          <w:lang w:eastAsia="en-US"/>
        </w:rPr>
        <w:t xml:space="preserve"> variants to estimate the </w:t>
      </w:r>
      <w:r>
        <w:rPr>
          <w:rFonts w:asciiTheme="majorBidi" w:hAnsiTheme="majorBidi" w:cstheme="majorBidi"/>
          <w:bCs/>
          <w:sz w:val="24"/>
          <w:szCs w:val="24"/>
          <w:lang w:eastAsia="en-US"/>
        </w:rPr>
        <w:t>betas</w:t>
      </w:r>
      <w:r w:rsidRPr="00EC3932">
        <w:rPr>
          <w:rFonts w:asciiTheme="majorBidi" w:hAnsiTheme="majorBidi" w:cstheme="majorBidi"/>
          <w:bCs/>
          <w:sz w:val="24"/>
          <w:szCs w:val="24"/>
          <w:lang w:eastAsia="en-US"/>
        </w:rPr>
        <w:t xml:space="preserve"> and hence our study will consider the CAPM (Capital Asset Pricin</w:t>
      </w:r>
      <w:r>
        <w:rPr>
          <w:rFonts w:asciiTheme="majorBidi" w:hAnsiTheme="majorBidi" w:cstheme="majorBidi"/>
          <w:bCs/>
          <w:sz w:val="24"/>
          <w:szCs w:val="24"/>
          <w:lang w:eastAsia="en-US"/>
        </w:rPr>
        <w:t xml:space="preserve">g Model) as well as </w:t>
      </w:r>
      <w:proofErr w:type="spellStart"/>
      <w:r>
        <w:rPr>
          <w:rFonts w:asciiTheme="majorBidi" w:hAnsiTheme="majorBidi" w:cstheme="majorBidi"/>
          <w:bCs/>
          <w:sz w:val="24"/>
          <w:szCs w:val="24"/>
          <w:lang w:eastAsia="en-US"/>
        </w:rPr>
        <w:t>Fama</w:t>
      </w:r>
      <w:proofErr w:type="spellEnd"/>
      <w:r>
        <w:rPr>
          <w:rFonts w:asciiTheme="majorBidi" w:hAnsiTheme="majorBidi" w:cstheme="majorBidi"/>
          <w:bCs/>
          <w:sz w:val="24"/>
          <w:szCs w:val="24"/>
          <w:lang w:eastAsia="en-US"/>
        </w:rPr>
        <w:t xml:space="preserve"> French (FF) </w:t>
      </w:r>
      <w:r w:rsidRPr="00EC3932">
        <w:rPr>
          <w:rFonts w:asciiTheme="majorBidi" w:hAnsiTheme="majorBidi" w:cstheme="majorBidi"/>
          <w:bCs/>
          <w:sz w:val="24"/>
          <w:szCs w:val="24"/>
          <w:lang w:eastAsia="en-US"/>
        </w:rPr>
        <w:t>three factor model</w:t>
      </w:r>
      <w:r>
        <w:rPr>
          <w:rFonts w:asciiTheme="majorBidi" w:hAnsiTheme="majorBidi" w:cstheme="majorBidi"/>
          <w:bCs/>
          <w:sz w:val="24"/>
          <w:szCs w:val="24"/>
          <w:lang w:eastAsia="en-US"/>
        </w:rPr>
        <w:t xml:space="preserve">, FF four factor model and FF five factor model. </w:t>
      </w:r>
      <w:r w:rsidRPr="00C5793A">
        <w:rPr>
          <w:rFonts w:asciiTheme="majorBidi" w:hAnsiTheme="majorBidi" w:cstheme="majorBidi"/>
          <w:bCs/>
          <w:sz w:val="24"/>
          <w:szCs w:val="24"/>
          <w:lang w:eastAsia="en-US"/>
        </w:rPr>
        <w:t>This</w:t>
      </w:r>
      <w:r>
        <w:rPr>
          <w:rFonts w:asciiTheme="majorBidi" w:hAnsiTheme="majorBidi" w:cstheme="majorBidi"/>
          <w:bCs/>
          <w:sz w:val="24"/>
          <w:szCs w:val="24"/>
          <w:lang w:eastAsia="en-US"/>
        </w:rPr>
        <w:t xml:space="preserve"> varying coefficient model </w:t>
      </w:r>
      <w:r w:rsidRPr="00C5793A">
        <w:rPr>
          <w:rFonts w:asciiTheme="majorBidi" w:hAnsiTheme="majorBidi" w:cstheme="majorBidi"/>
          <w:bCs/>
          <w:sz w:val="24"/>
          <w:szCs w:val="24"/>
          <w:lang w:eastAsia="en-US"/>
        </w:rPr>
        <w:t xml:space="preserve">allows the relationship between risk and return to be different </w:t>
      </w:r>
      <w:r>
        <w:rPr>
          <w:rFonts w:asciiTheme="majorBidi" w:hAnsiTheme="majorBidi" w:cstheme="majorBidi"/>
          <w:bCs/>
          <w:sz w:val="24"/>
          <w:szCs w:val="24"/>
          <w:lang w:eastAsia="en-US"/>
        </w:rPr>
        <w:t xml:space="preserve">based on the </w:t>
      </w:r>
      <w:r w:rsidRPr="00C5793A">
        <w:rPr>
          <w:rFonts w:asciiTheme="majorBidi" w:hAnsiTheme="majorBidi" w:cstheme="majorBidi"/>
          <w:bCs/>
          <w:sz w:val="24"/>
          <w:szCs w:val="24"/>
          <w:lang w:eastAsia="en-US"/>
        </w:rPr>
        <w:t>time-varying categories</w:t>
      </w:r>
      <w:r>
        <w:rPr>
          <w:rFonts w:asciiTheme="majorBidi" w:hAnsiTheme="majorBidi" w:cstheme="majorBidi"/>
          <w:bCs/>
          <w:sz w:val="24"/>
          <w:szCs w:val="24"/>
          <w:lang w:eastAsia="en-US"/>
        </w:rPr>
        <w:t xml:space="preserve">. We further consider a sub-sample analysis of the effect of the 2007 Global Financial Crisis (GFC) </w:t>
      </w:r>
    </w:p>
    <w:p w:rsidR="007F433F" w:rsidRDefault="007F433F" w:rsidP="007F433F">
      <w:pPr>
        <w:pStyle w:val="BodyText"/>
        <w:spacing w:line="453" w:lineRule="auto"/>
        <w:ind w:right="109" w:firstLine="720"/>
        <w:jc w:val="both"/>
        <w:rPr>
          <w:rFonts w:asciiTheme="majorBidi" w:eastAsia="Arial" w:hAnsiTheme="majorBidi" w:cstheme="majorBidi"/>
          <w:color w:val="000000"/>
          <w:w w:val="105"/>
          <w:sz w:val="24"/>
          <w:szCs w:val="24"/>
          <w:lang w:val="en-US" w:eastAsia="en-US"/>
        </w:rPr>
      </w:pPr>
      <w:r>
        <w:rPr>
          <w:rFonts w:asciiTheme="majorBidi" w:hAnsiTheme="majorBidi" w:cstheme="majorBidi"/>
          <w:bCs/>
          <w:sz w:val="24"/>
          <w:szCs w:val="24"/>
          <w:lang w:eastAsia="en-US"/>
        </w:rPr>
        <w:t>Hence, we assess risk across investment options and our key research questions can be summarised as follows; (1) Do betas as risk measures vary by investment type, that is from a moderate option to an aggressive option?; (2) Are betas sensitive to model specifications</w:t>
      </w:r>
      <w:r w:rsidRPr="00D53FBB">
        <w:rPr>
          <w:rFonts w:asciiTheme="majorBidi" w:hAnsiTheme="majorBidi" w:cstheme="majorBidi"/>
          <w:bCs/>
          <w:sz w:val="24"/>
          <w:szCs w:val="24"/>
          <w:lang w:eastAsia="en-US"/>
        </w:rPr>
        <w:t>?</w:t>
      </w:r>
      <w:r>
        <w:rPr>
          <w:rFonts w:asciiTheme="majorBidi" w:hAnsiTheme="majorBidi" w:cstheme="majorBidi"/>
          <w:bCs/>
          <w:sz w:val="24"/>
          <w:szCs w:val="24"/>
          <w:lang w:eastAsia="en-US"/>
        </w:rPr>
        <w:t xml:space="preserve">; (3) </w:t>
      </w:r>
      <w:r w:rsidRPr="00D53FBB">
        <w:rPr>
          <w:rFonts w:asciiTheme="majorBidi" w:hAnsiTheme="majorBidi" w:cstheme="majorBidi"/>
          <w:bCs/>
          <w:sz w:val="24"/>
          <w:szCs w:val="24"/>
          <w:lang w:eastAsia="en-US"/>
        </w:rPr>
        <w:t>How much does beta vary as the definition of investment options changes</w:t>
      </w:r>
      <w:r>
        <w:rPr>
          <w:rFonts w:asciiTheme="majorBidi" w:hAnsiTheme="majorBidi" w:cstheme="majorBidi"/>
          <w:bCs/>
          <w:sz w:val="24"/>
          <w:szCs w:val="24"/>
          <w:lang w:eastAsia="en-US"/>
        </w:rPr>
        <w:t xml:space="preserve"> in particular for a </w:t>
      </w:r>
      <w:r w:rsidRPr="00D53FBB">
        <w:rPr>
          <w:rFonts w:asciiTheme="majorBidi" w:hAnsiTheme="majorBidi" w:cstheme="majorBidi"/>
          <w:bCs/>
          <w:sz w:val="24"/>
          <w:szCs w:val="24"/>
          <w:lang w:eastAsia="en-US"/>
        </w:rPr>
        <w:t>balanced fund</w:t>
      </w:r>
      <w:r>
        <w:rPr>
          <w:rFonts w:asciiTheme="majorBidi" w:hAnsiTheme="majorBidi" w:cstheme="majorBidi"/>
          <w:bCs/>
          <w:sz w:val="24"/>
          <w:szCs w:val="24"/>
          <w:lang w:eastAsia="en-US"/>
        </w:rPr>
        <w:t>/growth fund?</w:t>
      </w:r>
      <w:bookmarkStart w:id="1" w:name="_GoBack"/>
      <w:bookmarkEnd w:id="1"/>
      <w:r w:rsidR="00607D52">
        <w:rPr>
          <w:rFonts w:asciiTheme="majorBidi" w:hAnsiTheme="majorBidi" w:cstheme="majorBidi"/>
          <w:bCs/>
          <w:sz w:val="24"/>
          <w:szCs w:val="24"/>
          <w:lang w:eastAsia="en-US"/>
        </w:rPr>
        <w:t>; and</w:t>
      </w:r>
      <w:r>
        <w:rPr>
          <w:rFonts w:asciiTheme="majorBidi" w:hAnsiTheme="majorBidi" w:cstheme="majorBidi"/>
          <w:bCs/>
          <w:sz w:val="24"/>
          <w:szCs w:val="24"/>
          <w:lang w:eastAsia="en-US"/>
        </w:rPr>
        <w:t xml:space="preserve"> (4)</w:t>
      </w:r>
      <w:r w:rsidRPr="00D53FBB">
        <w:rPr>
          <w:rFonts w:asciiTheme="majorBidi" w:hAnsiTheme="majorBidi" w:cstheme="majorBidi"/>
          <w:bCs/>
          <w:sz w:val="24"/>
          <w:szCs w:val="24"/>
          <w:lang w:eastAsia="en-US"/>
        </w:rPr>
        <w:t xml:space="preserve"> Does the GFC matter </w:t>
      </w:r>
      <w:r>
        <w:rPr>
          <w:rFonts w:asciiTheme="majorBidi" w:hAnsiTheme="majorBidi" w:cstheme="majorBidi"/>
          <w:bCs/>
          <w:sz w:val="24"/>
          <w:szCs w:val="24"/>
          <w:lang w:eastAsia="en-US"/>
        </w:rPr>
        <w:t>for</w:t>
      </w:r>
      <w:r w:rsidRPr="00D53FBB">
        <w:rPr>
          <w:rFonts w:asciiTheme="majorBidi" w:hAnsiTheme="majorBidi" w:cstheme="majorBidi"/>
          <w:bCs/>
          <w:sz w:val="24"/>
          <w:szCs w:val="24"/>
          <w:lang w:eastAsia="en-US"/>
        </w:rPr>
        <w:t xml:space="preserve"> the estimates of betas?</w:t>
      </w:r>
      <w:r>
        <w:rPr>
          <w:rFonts w:asciiTheme="majorBidi" w:hAnsiTheme="majorBidi" w:cstheme="majorBidi"/>
          <w:bCs/>
          <w:sz w:val="24"/>
          <w:szCs w:val="24"/>
          <w:lang w:eastAsia="en-US"/>
        </w:rPr>
        <w:t xml:space="preserve"> The key results of our analysis can be summarised as follows: (1) </w:t>
      </w:r>
      <w:r w:rsidRPr="00AB2629">
        <w:rPr>
          <w:rFonts w:asciiTheme="majorBidi" w:eastAsia="Arial" w:hAnsiTheme="majorBidi" w:cstheme="majorBidi"/>
          <w:color w:val="000000"/>
          <w:w w:val="105"/>
          <w:sz w:val="24"/>
          <w:szCs w:val="24"/>
          <w:lang w:val="en-US" w:eastAsia="en-US"/>
        </w:rPr>
        <w:t xml:space="preserve">The results </w:t>
      </w:r>
      <w:r>
        <w:rPr>
          <w:rFonts w:asciiTheme="majorBidi" w:eastAsia="Arial" w:hAnsiTheme="majorBidi" w:cstheme="majorBidi"/>
          <w:color w:val="000000"/>
          <w:w w:val="105"/>
          <w:sz w:val="24"/>
          <w:szCs w:val="24"/>
          <w:lang w:val="en-US" w:eastAsia="en-US"/>
        </w:rPr>
        <w:t>s</w:t>
      </w:r>
      <w:r w:rsidRPr="00AB2629">
        <w:rPr>
          <w:rFonts w:asciiTheme="majorBidi" w:eastAsia="Arial" w:hAnsiTheme="majorBidi" w:cstheme="majorBidi"/>
          <w:color w:val="000000"/>
          <w:w w:val="105"/>
          <w:sz w:val="24"/>
          <w:szCs w:val="24"/>
          <w:lang w:val="en-US" w:eastAsia="en-US"/>
        </w:rPr>
        <w:t xml:space="preserve">how that the </w:t>
      </w:r>
      <w:r>
        <w:rPr>
          <w:rFonts w:asciiTheme="majorBidi" w:eastAsia="Arial" w:hAnsiTheme="majorBidi" w:cstheme="majorBidi"/>
          <w:color w:val="000000"/>
          <w:w w:val="105"/>
          <w:sz w:val="24"/>
          <w:szCs w:val="24"/>
          <w:lang w:val="en-US" w:eastAsia="en-US"/>
        </w:rPr>
        <w:t>level of risk</w:t>
      </w:r>
      <w:r w:rsidRPr="00AB2629">
        <w:rPr>
          <w:rFonts w:asciiTheme="majorBidi" w:eastAsia="Arial" w:hAnsiTheme="majorBidi" w:cstheme="majorBidi"/>
          <w:color w:val="000000"/>
          <w:w w:val="105"/>
          <w:sz w:val="24"/>
          <w:szCs w:val="24"/>
          <w:lang w:val="en-US" w:eastAsia="en-US"/>
        </w:rPr>
        <w:t xml:space="preserve"> increases from moderate to </w:t>
      </w:r>
      <w:r>
        <w:rPr>
          <w:rFonts w:asciiTheme="majorBidi" w:eastAsia="Arial" w:hAnsiTheme="majorBidi" w:cstheme="majorBidi"/>
          <w:color w:val="000000"/>
          <w:w w:val="105"/>
          <w:sz w:val="24"/>
          <w:szCs w:val="24"/>
          <w:lang w:val="en-US" w:eastAsia="en-US"/>
        </w:rPr>
        <w:t>aggressive options as expected given the aggressive options include equity and property as asset classes; (2) risk does not vary across the different definitions of the investment options used, that is varying definitions of a balanced option of 41-60% or 31-70% does not impact on the risk level. These results are for a period of 27 years of study, that is over the long term the riskiness of balanced funds does not vary; (3) the</w:t>
      </w:r>
      <w:r w:rsidRPr="00AB2629">
        <w:rPr>
          <w:rFonts w:asciiTheme="majorBidi" w:eastAsia="Arial" w:hAnsiTheme="majorBidi" w:cstheme="majorBidi"/>
          <w:color w:val="000000"/>
          <w:w w:val="105"/>
          <w:sz w:val="24"/>
          <w:szCs w:val="24"/>
          <w:lang w:val="en-US" w:eastAsia="en-US"/>
        </w:rPr>
        <w:t xml:space="preserve"> results </w:t>
      </w:r>
      <w:r>
        <w:rPr>
          <w:rFonts w:asciiTheme="majorBidi" w:eastAsia="Arial" w:hAnsiTheme="majorBidi" w:cstheme="majorBidi"/>
          <w:color w:val="000000"/>
          <w:w w:val="105"/>
          <w:sz w:val="24"/>
          <w:szCs w:val="24"/>
          <w:lang w:val="en-US" w:eastAsia="en-US"/>
        </w:rPr>
        <w:t xml:space="preserve">show no obvious sensitivity of estimated betas to the modelling specifications used in the non-crisis period, that is, the risk estimations are </w:t>
      </w:r>
      <w:r>
        <w:rPr>
          <w:rFonts w:asciiTheme="majorBidi" w:eastAsia="Arial" w:hAnsiTheme="majorBidi" w:cstheme="majorBidi"/>
          <w:color w:val="000000"/>
          <w:w w:val="105"/>
          <w:sz w:val="24"/>
          <w:szCs w:val="24"/>
          <w:lang w:val="en-US" w:eastAsia="en-US"/>
        </w:rPr>
        <w:lastRenderedPageBreak/>
        <w:t>consistent across the modelling techniques including CAPM, FF three factor, FF four factor and FF five factor model; (4)</w:t>
      </w:r>
      <w:r w:rsidRPr="00AB2629">
        <w:rPr>
          <w:rFonts w:asciiTheme="majorBidi" w:eastAsia="Arial" w:hAnsiTheme="majorBidi" w:cstheme="majorBidi"/>
          <w:color w:val="000000"/>
          <w:w w:val="105"/>
          <w:sz w:val="24"/>
          <w:szCs w:val="24"/>
          <w:lang w:val="en-US" w:eastAsia="en-US"/>
        </w:rPr>
        <w:t xml:space="preserve"> However</w:t>
      </w:r>
      <w:r>
        <w:rPr>
          <w:rFonts w:asciiTheme="majorBidi" w:eastAsia="Arial" w:hAnsiTheme="majorBidi" w:cstheme="majorBidi"/>
          <w:color w:val="000000"/>
          <w:w w:val="105"/>
          <w:sz w:val="24"/>
          <w:szCs w:val="24"/>
          <w:lang w:val="en-US" w:eastAsia="en-US"/>
        </w:rPr>
        <w:t>,</w:t>
      </w:r>
      <w:r w:rsidRPr="00AB2629">
        <w:rPr>
          <w:rFonts w:asciiTheme="majorBidi" w:eastAsia="Arial" w:hAnsiTheme="majorBidi" w:cstheme="majorBidi"/>
          <w:color w:val="000000"/>
          <w:w w:val="105"/>
          <w:sz w:val="24"/>
          <w:szCs w:val="24"/>
          <w:lang w:val="en-US" w:eastAsia="en-US"/>
        </w:rPr>
        <w:t xml:space="preserve"> the beta estimates in the GFC seem to be sensitive to the models.  In the GFC, </w:t>
      </w:r>
      <w:r w:rsidRPr="007062AE">
        <w:rPr>
          <w:rFonts w:asciiTheme="majorBidi" w:eastAsia="Arial" w:hAnsiTheme="majorBidi" w:cstheme="majorBidi"/>
          <w:color w:val="000000"/>
          <w:w w:val="105"/>
          <w:sz w:val="24"/>
          <w:szCs w:val="24"/>
          <w:lang w:val="en-US" w:eastAsia="en-US"/>
        </w:rPr>
        <w:t>crisis period beta</w:t>
      </w:r>
      <w:r>
        <w:rPr>
          <w:rFonts w:asciiTheme="majorBidi" w:eastAsia="Arial" w:hAnsiTheme="majorBidi" w:cstheme="majorBidi"/>
          <w:color w:val="000000"/>
          <w:w w:val="105"/>
          <w:sz w:val="24"/>
          <w:szCs w:val="24"/>
          <w:lang w:val="en-US" w:eastAsia="en-US"/>
        </w:rPr>
        <w:t>s</w:t>
      </w:r>
      <w:r w:rsidRPr="007062AE">
        <w:rPr>
          <w:rFonts w:asciiTheme="majorBidi" w:eastAsia="Arial" w:hAnsiTheme="majorBidi" w:cstheme="majorBidi"/>
          <w:color w:val="000000"/>
          <w:w w:val="105"/>
          <w:sz w:val="24"/>
          <w:szCs w:val="24"/>
          <w:lang w:val="en-US" w:eastAsia="en-US"/>
        </w:rPr>
        <w:t xml:space="preserve"> are lower</w:t>
      </w:r>
      <w:r w:rsidRPr="00AB2629">
        <w:rPr>
          <w:rFonts w:asciiTheme="majorBidi" w:eastAsia="Arial" w:hAnsiTheme="majorBidi" w:cstheme="majorBidi"/>
          <w:color w:val="000000"/>
          <w:w w:val="105"/>
          <w:sz w:val="24"/>
          <w:szCs w:val="24"/>
          <w:lang w:val="en-US" w:eastAsia="en-US"/>
        </w:rPr>
        <w:t xml:space="preserve"> than the non-crisis period for CAPM, FF three factor and </w:t>
      </w:r>
      <w:r>
        <w:rPr>
          <w:rFonts w:asciiTheme="majorBidi" w:eastAsia="Arial" w:hAnsiTheme="majorBidi" w:cstheme="majorBidi"/>
          <w:color w:val="000000"/>
          <w:w w:val="105"/>
          <w:sz w:val="24"/>
          <w:szCs w:val="24"/>
          <w:lang w:val="en-US" w:eastAsia="en-US"/>
        </w:rPr>
        <w:t xml:space="preserve">FF </w:t>
      </w:r>
      <w:r w:rsidRPr="00AB2629">
        <w:rPr>
          <w:rFonts w:asciiTheme="majorBidi" w:eastAsia="Arial" w:hAnsiTheme="majorBidi" w:cstheme="majorBidi"/>
          <w:color w:val="000000"/>
          <w:w w:val="105"/>
          <w:sz w:val="24"/>
          <w:szCs w:val="24"/>
          <w:lang w:val="en-US" w:eastAsia="en-US"/>
        </w:rPr>
        <w:t>four factor model</w:t>
      </w:r>
      <w:r>
        <w:rPr>
          <w:rFonts w:asciiTheme="majorBidi" w:eastAsia="Arial" w:hAnsiTheme="majorBidi" w:cstheme="majorBidi"/>
          <w:color w:val="000000"/>
          <w:w w:val="105"/>
          <w:sz w:val="24"/>
          <w:szCs w:val="24"/>
          <w:lang w:val="en-US" w:eastAsia="en-US"/>
        </w:rPr>
        <w:t>,</w:t>
      </w:r>
      <w:r w:rsidRPr="00AB2629">
        <w:rPr>
          <w:rFonts w:asciiTheme="majorBidi" w:eastAsia="Arial" w:hAnsiTheme="majorBidi" w:cstheme="majorBidi"/>
          <w:color w:val="000000"/>
          <w:w w:val="105"/>
          <w:sz w:val="24"/>
          <w:szCs w:val="24"/>
          <w:lang w:val="en-US" w:eastAsia="en-US"/>
        </w:rPr>
        <w:t xml:space="preserve"> and this hold</w:t>
      </w:r>
      <w:r>
        <w:rPr>
          <w:rFonts w:asciiTheme="majorBidi" w:eastAsia="Arial" w:hAnsiTheme="majorBidi" w:cstheme="majorBidi"/>
          <w:color w:val="000000"/>
          <w:w w:val="105"/>
          <w:sz w:val="24"/>
          <w:szCs w:val="24"/>
          <w:lang w:val="en-US" w:eastAsia="en-US"/>
        </w:rPr>
        <w:t>s</w:t>
      </w:r>
      <w:r w:rsidRPr="00AB2629">
        <w:rPr>
          <w:rFonts w:asciiTheme="majorBidi" w:eastAsia="Arial" w:hAnsiTheme="majorBidi" w:cstheme="majorBidi"/>
          <w:color w:val="000000"/>
          <w:w w:val="105"/>
          <w:sz w:val="24"/>
          <w:szCs w:val="24"/>
          <w:lang w:val="en-US" w:eastAsia="en-US"/>
        </w:rPr>
        <w:t xml:space="preserve"> for both </w:t>
      </w:r>
      <w:r>
        <w:rPr>
          <w:rFonts w:asciiTheme="majorBidi" w:eastAsia="Arial" w:hAnsiTheme="majorBidi" w:cstheme="majorBidi"/>
          <w:color w:val="000000"/>
          <w:w w:val="105"/>
          <w:sz w:val="24"/>
          <w:szCs w:val="24"/>
          <w:lang w:val="en-US" w:eastAsia="en-US"/>
        </w:rPr>
        <w:t xml:space="preserve">method of </w:t>
      </w:r>
      <w:r w:rsidRPr="00AB2629">
        <w:rPr>
          <w:rFonts w:asciiTheme="majorBidi" w:eastAsia="Arial" w:hAnsiTheme="majorBidi" w:cstheme="majorBidi"/>
          <w:color w:val="000000"/>
          <w:w w:val="105"/>
          <w:sz w:val="24"/>
          <w:szCs w:val="24"/>
          <w:lang w:val="en-US" w:eastAsia="en-US"/>
        </w:rPr>
        <w:t>classifications.  Only the five factor model capture</w:t>
      </w:r>
      <w:r>
        <w:rPr>
          <w:rFonts w:asciiTheme="majorBidi" w:eastAsia="Arial" w:hAnsiTheme="majorBidi" w:cstheme="majorBidi"/>
          <w:color w:val="000000"/>
          <w:w w:val="105"/>
          <w:sz w:val="24"/>
          <w:szCs w:val="24"/>
          <w:lang w:val="en-US" w:eastAsia="en-US"/>
        </w:rPr>
        <w:t>s</w:t>
      </w:r>
      <w:r w:rsidRPr="00AB2629">
        <w:rPr>
          <w:rFonts w:asciiTheme="majorBidi" w:eastAsia="Arial" w:hAnsiTheme="majorBidi" w:cstheme="majorBidi"/>
          <w:color w:val="000000"/>
          <w:w w:val="105"/>
          <w:sz w:val="24"/>
          <w:szCs w:val="24"/>
          <w:lang w:val="en-US" w:eastAsia="en-US"/>
        </w:rPr>
        <w:t xml:space="preserve"> the higher risk in the GFC shown by a higher beta in both classifications used. </w:t>
      </w:r>
    </w:p>
    <w:p w:rsidR="007F433F" w:rsidRDefault="007F433F" w:rsidP="007F433F">
      <w:pPr>
        <w:pStyle w:val="BodyText"/>
        <w:spacing w:line="453" w:lineRule="auto"/>
        <w:ind w:right="109" w:firstLine="720"/>
        <w:jc w:val="both"/>
        <w:rPr>
          <w:rFonts w:asciiTheme="majorBidi" w:eastAsia="Arial" w:hAnsiTheme="majorBidi" w:cstheme="majorBidi"/>
          <w:color w:val="000000"/>
          <w:w w:val="105"/>
          <w:sz w:val="24"/>
          <w:szCs w:val="24"/>
          <w:lang w:val="en-US" w:eastAsia="en-US"/>
        </w:rPr>
      </w:pPr>
      <w:r w:rsidRPr="00AB2629">
        <w:rPr>
          <w:rFonts w:asciiTheme="majorBidi" w:eastAsia="Arial" w:hAnsiTheme="majorBidi" w:cstheme="majorBidi"/>
          <w:color w:val="000000"/>
          <w:w w:val="105"/>
          <w:sz w:val="24"/>
          <w:szCs w:val="24"/>
          <w:lang w:val="en-US" w:eastAsia="en-US"/>
        </w:rPr>
        <w:t>The remainder of the paper is organized as follows. Section 2 details the data, section 3 presents the modelling framework. The results are discussed in section 4 and section 5 concludes the paper.</w:t>
      </w:r>
    </w:p>
    <w:p w:rsidR="007F433F" w:rsidRPr="00B32228" w:rsidRDefault="007F433F" w:rsidP="007F433F">
      <w:pPr>
        <w:pStyle w:val="BodyText"/>
        <w:numPr>
          <w:ilvl w:val="0"/>
          <w:numId w:val="2"/>
        </w:numPr>
        <w:spacing w:after="0" w:line="480" w:lineRule="auto"/>
        <w:ind w:left="357" w:hanging="357"/>
        <w:jc w:val="both"/>
        <w:rPr>
          <w:rFonts w:asciiTheme="majorBidi" w:eastAsia="Times New Roman" w:hAnsiTheme="majorBidi" w:cstheme="majorBidi"/>
          <w:b/>
          <w:bCs/>
          <w:sz w:val="24"/>
          <w:szCs w:val="24"/>
          <w:lang w:val="en-GB" w:eastAsia="en-AU"/>
        </w:rPr>
      </w:pPr>
      <w:r w:rsidRPr="00B32228">
        <w:rPr>
          <w:rFonts w:asciiTheme="majorBidi" w:eastAsia="Arial" w:hAnsiTheme="majorBidi" w:cstheme="majorBidi"/>
          <w:b/>
          <w:bCs/>
          <w:color w:val="000000"/>
          <w:w w:val="105"/>
          <w:sz w:val="24"/>
          <w:szCs w:val="24"/>
          <w:lang w:val="en-US" w:eastAsia="en-US"/>
        </w:rPr>
        <w:t xml:space="preserve">Data </w:t>
      </w:r>
    </w:p>
    <w:p w:rsidR="007F433F" w:rsidRPr="00B32228" w:rsidRDefault="007F433F" w:rsidP="007F433F">
      <w:pPr>
        <w:pStyle w:val="BodyText"/>
        <w:spacing w:after="0" w:line="480" w:lineRule="auto"/>
        <w:ind w:firstLine="567"/>
        <w:jc w:val="both"/>
        <w:rPr>
          <w:rFonts w:asciiTheme="majorBidi" w:eastAsia="Times New Roman" w:hAnsiTheme="majorBidi" w:cstheme="majorBidi"/>
          <w:sz w:val="24"/>
          <w:szCs w:val="24"/>
          <w:lang w:val="en-GB" w:eastAsia="en-AU"/>
        </w:rPr>
      </w:pPr>
      <w:r w:rsidRPr="00B32228">
        <w:rPr>
          <w:rFonts w:asciiTheme="majorBidi" w:eastAsia="Times New Roman" w:hAnsiTheme="majorBidi" w:cstheme="majorBidi"/>
          <w:sz w:val="24"/>
          <w:szCs w:val="24"/>
          <w:lang w:val="en-GB" w:eastAsia="en-AU"/>
        </w:rPr>
        <w:t xml:space="preserve">The data in this paper is </w:t>
      </w:r>
      <w:r>
        <w:rPr>
          <w:rFonts w:asciiTheme="majorBidi" w:eastAsia="Times New Roman" w:hAnsiTheme="majorBidi" w:cstheme="majorBidi"/>
          <w:sz w:val="24"/>
          <w:szCs w:val="24"/>
          <w:lang w:val="en-GB" w:eastAsia="en-AU"/>
        </w:rPr>
        <w:t>sourced from the</w:t>
      </w:r>
      <w:r w:rsidRPr="00B32228">
        <w:rPr>
          <w:rFonts w:asciiTheme="majorBidi" w:eastAsia="Times New Roman" w:hAnsiTheme="majorBidi" w:cstheme="majorBidi"/>
          <w:sz w:val="24"/>
          <w:szCs w:val="24"/>
          <w:lang w:val="en-GB" w:eastAsia="en-AU"/>
        </w:rPr>
        <w:t xml:space="preserve"> Morningstar Direct database. The sample </w:t>
      </w:r>
      <w:r>
        <w:rPr>
          <w:rFonts w:asciiTheme="majorBidi" w:eastAsia="Times New Roman" w:hAnsiTheme="majorBidi" w:cstheme="majorBidi"/>
          <w:sz w:val="24"/>
          <w:szCs w:val="24"/>
          <w:lang w:val="en-GB" w:eastAsia="en-AU"/>
        </w:rPr>
        <w:t xml:space="preserve">is </w:t>
      </w:r>
      <w:r w:rsidRPr="00B32228">
        <w:rPr>
          <w:rFonts w:asciiTheme="majorBidi" w:eastAsia="Times New Roman" w:hAnsiTheme="majorBidi" w:cstheme="majorBidi"/>
          <w:sz w:val="24"/>
          <w:szCs w:val="24"/>
          <w:lang w:val="en-GB" w:eastAsia="en-AU"/>
        </w:rPr>
        <w:t>27 years starting January 1990 t</w:t>
      </w:r>
      <w:r>
        <w:rPr>
          <w:rFonts w:asciiTheme="majorBidi" w:eastAsia="Times New Roman" w:hAnsiTheme="majorBidi" w:cstheme="majorBidi"/>
          <w:sz w:val="24"/>
          <w:szCs w:val="24"/>
          <w:lang w:val="en-GB" w:eastAsia="en-AU"/>
        </w:rPr>
        <w:t xml:space="preserve">o December 2016 and the original </w:t>
      </w:r>
      <w:r w:rsidRPr="00B32228">
        <w:rPr>
          <w:rFonts w:asciiTheme="majorBidi" w:eastAsia="Times New Roman" w:hAnsiTheme="majorBidi" w:cstheme="majorBidi"/>
          <w:sz w:val="24"/>
          <w:szCs w:val="24"/>
          <w:lang w:val="en-GB" w:eastAsia="en-AU"/>
        </w:rPr>
        <w:t xml:space="preserve">sample </w:t>
      </w:r>
      <w:r>
        <w:rPr>
          <w:rFonts w:asciiTheme="majorBidi" w:eastAsia="Times New Roman" w:hAnsiTheme="majorBidi" w:cstheme="majorBidi"/>
          <w:sz w:val="24"/>
          <w:szCs w:val="24"/>
          <w:lang w:val="en-GB" w:eastAsia="en-AU"/>
        </w:rPr>
        <w:t xml:space="preserve">from Morningstar </w:t>
      </w:r>
      <w:r w:rsidRPr="00B32228">
        <w:rPr>
          <w:rFonts w:asciiTheme="majorBidi" w:eastAsia="Times New Roman" w:hAnsiTheme="majorBidi" w:cstheme="majorBidi"/>
          <w:sz w:val="24"/>
          <w:szCs w:val="24"/>
          <w:lang w:val="en-GB" w:eastAsia="en-AU"/>
        </w:rPr>
        <w:t>consist</w:t>
      </w:r>
      <w:r>
        <w:rPr>
          <w:rFonts w:asciiTheme="majorBidi" w:eastAsia="Times New Roman" w:hAnsiTheme="majorBidi" w:cstheme="majorBidi"/>
          <w:sz w:val="24"/>
          <w:szCs w:val="24"/>
          <w:lang w:val="en-GB" w:eastAsia="en-AU"/>
        </w:rPr>
        <w:t>s</w:t>
      </w:r>
      <w:r w:rsidRPr="00B32228">
        <w:rPr>
          <w:rFonts w:asciiTheme="majorBidi" w:eastAsia="Times New Roman" w:hAnsiTheme="majorBidi" w:cstheme="majorBidi"/>
          <w:sz w:val="24"/>
          <w:szCs w:val="24"/>
          <w:lang w:val="en-GB" w:eastAsia="en-AU"/>
        </w:rPr>
        <w:t xml:space="preserve"> of 1213 </w:t>
      </w:r>
      <w:r>
        <w:rPr>
          <w:rFonts w:asciiTheme="majorBidi" w:eastAsia="Times New Roman" w:hAnsiTheme="majorBidi" w:cstheme="majorBidi"/>
          <w:sz w:val="24"/>
          <w:szCs w:val="24"/>
          <w:lang w:val="en-GB" w:eastAsia="en-AU"/>
        </w:rPr>
        <w:t xml:space="preserve">investment </w:t>
      </w:r>
      <w:r w:rsidRPr="00B32228">
        <w:rPr>
          <w:rFonts w:asciiTheme="majorBidi" w:eastAsia="Times New Roman" w:hAnsiTheme="majorBidi" w:cstheme="majorBidi"/>
          <w:sz w:val="24"/>
          <w:szCs w:val="24"/>
          <w:lang w:val="en-GB" w:eastAsia="en-AU"/>
        </w:rPr>
        <w:t xml:space="preserve">options from </w:t>
      </w:r>
      <w:r>
        <w:rPr>
          <w:rFonts w:asciiTheme="majorBidi" w:eastAsia="Times New Roman" w:hAnsiTheme="majorBidi" w:cstheme="majorBidi"/>
          <w:sz w:val="24"/>
          <w:szCs w:val="24"/>
          <w:lang w:val="en-GB" w:eastAsia="en-AU"/>
        </w:rPr>
        <w:t>various Australian s</w:t>
      </w:r>
      <w:r w:rsidRPr="00B32228">
        <w:rPr>
          <w:rFonts w:asciiTheme="majorBidi" w:eastAsia="Times New Roman" w:hAnsiTheme="majorBidi" w:cstheme="majorBidi"/>
          <w:sz w:val="24"/>
          <w:szCs w:val="24"/>
          <w:lang w:val="en-GB" w:eastAsia="en-AU"/>
        </w:rPr>
        <w:t>up</w:t>
      </w:r>
      <w:r>
        <w:rPr>
          <w:rFonts w:asciiTheme="majorBidi" w:eastAsia="Times New Roman" w:hAnsiTheme="majorBidi" w:cstheme="majorBidi"/>
          <w:sz w:val="24"/>
          <w:szCs w:val="24"/>
          <w:lang w:val="en-GB" w:eastAsia="en-AU"/>
        </w:rPr>
        <w:t xml:space="preserve">erannuation funds. </w:t>
      </w:r>
      <w:r w:rsidRPr="009E57D5">
        <w:rPr>
          <w:rFonts w:asciiTheme="majorBidi" w:eastAsia="Times New Roman" w:hAnsiTheme="majorBidi" w:cstheme="majorBidi"/>
          <w:sz w:val="24"/>
          <w:szCs w:val="24"/>
          <w:lang w:val="en-GB" w:eastAsia="en-AU"/>
        </w:rPr>
        <w:t xml:space="preserve">A brief explanation of the data is as follows: </w:t>
      </w:r>
      <w:r>
        <w:rPr>
          <w:rFonts w:asciiTheme="majorBidi" w:eastAsia="Times New Roman" w:hAnsiTheme="majorBidi" w:cstheme="majorBidi"/>
          <w:sz w:val="24"/>
          <w:szCs w:val="24"/>
          <w:lang w:val="en-GB" w:eastAsia="en-AU"/>
        </w:rPr>
        <w:t>the</w:t>
      </w:r>
      <w:r w:rsidRPr="009E57D5">
        <w:rPr>
          <w:rFonts w:asciiTheme="majorBidi" w:eastAsia="Times New Roman" w:hAnsiTheme="majorBidi" w:cstheme="majorBidi"/>
          <w:sz w:val="24"/>
          <w:szCs w:val="24"/>
          <w:lang w:val="en-GB" w:eastAsia="en-AU"/>
        </w:rPr>
        <w:t xml:space="preserve"> data provides details of the investment options held by super</w:t>
      </w:r>
      <w:r>
        <w:rPr>
          <w:rFonts w:asciiTheme="majorBidi" w:eastAsia="Times New Roman" w:hAnsiTheme="majorBidi" w:cstheme="majorBidi"/>
          <w:sz w:val="24"/>
          <w:szCs w:val="24"/>
          <w:lang w:val="en-GB" w:eastAsia="en-AU"/>
        </w:rPr>
        <w:t xml:space="preserve">annuation </w:t>
      </w:r>
      <w:r w:rsidRPr="009E57D5">
        <w:rPr>
          <w:rFonts w:asciiTheme="majorBidi" w:eastAsia="Times New Roman" w:hAnsiTheme="majorBidi" w:cstheme="majorBidi"/>
          <w:sz w:val="24"/>
          <w:szCs w:val="24"/>
          <w:lang w:val="en-GB" w:eastAsia="en-AU"/>
        </w:rPr>
        <w:t>funds for example, Care</w:t>
      </w:r>
      <w:r>
        <w:rPr>
          <w:rFonts w:asciiTheme="majorBidi" w:eastAsia="Times New Roman" w:hAnsiTheme="majorBidi" w:cstheme="majorBidi"/>
          <w:sz w:val="24"/>
          <w:szCs w:val="24"/>
          <w:lang w:val="en-GB" w:eastAsia="en-AU"/>
        </w:rPr>
        <w:t xml:space="preserve"> S</w:t>
      </w:r>
      <w:r w:rsidRPr="009E57D5">
        <w:rPr>
          <w:rFonts w:asciiTheme="majorBidi" w:eastAsia="Times New Roman" w:hAnsiTheme="majorBidi" w:cstheme="majorBidi"/>
          <w:sz w:val="24"/>
          <w:szCs w:val="24"/>
          <w:lang w:val="en-GB" w:eastAsia="en-AU"/>
        </w:rPr>
        <w:t>uper. Hence</w:t>
      </w:r>
      <w:r>
        <w:rPr>
          <w:rFonts w:asciiTheme="majorBidi" w:eastAsia="Times New Roman" w:hAnsiTheme="majorBidi" w:cstheme="majorBidi"/>
          <w:sz w:val="24"/>
          <w:szCs w:val="24"/>
          <w:lang w:val="en-GB" w:eastAsia="en-AU"/>
        </w:rPr>
        <w:t>,</w:t>
      </w:r>
      <w:r w:rsidRPr="009E57D5">
        <w:rPr>
          <w:rFonts w:asciiTheme="majorBidi" w:eastAsia="Times New Roman" w:hAnsiTheme="majorBidi" w:cstheme="majorBidi"/>
          <w:sz w:val="24"/>
          <w:szCs w:val="24"/>
          <w:lang w:val="en-GB" w:eastAsia="en-AU"/>
        </w:rPr>
        <w:t xml:space="preserve"> we have data on Care</w:t>
      </w:r>
      <w:r>
        <w:rPr>
          <w:rFonts w:asciiTheme="majorBidi" w:eastAsia="Times New Roman" w:hAnsiTheme="majorBidi" w:cstheme="majorBidi"/>
          <w:sz w:val="24"/>
          <w:szCs w:val="24"/>
          <w:lang w:val="en-GB" w:eastAsia="en-AU"/>
        </w:rPr>
        <w:t xml:space="preserve"> S</w:t>
      </w:r>
      <w:r w:rsidRPr="009E57D5">
        <w:rPr>
          <w:rFonts w:asciiTheme="majorBidi" w:eastAsia="Times New Roman" w:hAnsiTheme="majorBidi" w:cstheme="majorBidi"/>
          <w:sz w:val="24"/>
          <w:szCs w:val="24"/>
          <w:lang w:val="en-GB" w:eastAsia="en-AU"/>
        </w:rPr>
        <w:t>uper Capital Guaranteed, Care</w:t>
      </w:r>
      <w:r>
        <w:rPr>
          <w:rFonts w:asciiTheme="majorBidi" w:eastAsia="Times New Roman" w:hAnsiTheme="majorBidi" w:cstheme="majorBidi"/>
          <w:sz w:val="24"/>
          <w:szCs w:val="24"/>
          <w:lang w:val="en-GB" w:eastAsia="en-AU"/>
        </w:rPr>
        <w:t xml:space="preserve"> S</w:t>
      </w:r>
      <w:r w:rsidRPr="009E57D5">
        <w:rPr>
          <w:rFonts w:asciiTheme="majorBidi" w:eastAsia="Times New Roman" w:hAnsiTheme="majorBidi" w:cstheme="majorBidi"/>
          <w:sz w:val="24"/>
          <w:szCs w:val="24"/>
          <w:lang w:val="en-GB" w:eastAsia="en-AU"/>
        </w:rPr>
        <w:t xml:space="preserve">uper Capital Secured, </w:t>
      </w:r>
      <w:proofErr w:type="gramStart"/>
      <w:r w:rsidRPr="009E57D5">
        <w:rPr>
          <w:rFonts w:asciiTheme="majorBidi" w:eastAsia="Times New Roman" w:hAnsiTheme="majorBidi" w:cstheme="majorBidi"/>
          <w:sz w:val="24"/>
          <w:szCs w:val="24"/>
          <w:lang w:val="en-GB" w:eastAsia="en-AU"/>
        </w:rPr>
        <w:t>C</w:t>
      </w:r>
      <w:r>
        <w:rPr>
          <w:rFonts w:asciiTheme="majorBidi" w:eastAsia="Times New Roman" w:hAnsiTheme="majorBidi" w:cstheme="majorBidi"/>
          <w:sz w:val="24"/>
          <w:szCs w:val="24"/>
          <w:lang w:val="en-GB" w:eastAsia="en-AU"/>
        </w:rPr>
        <w:t>are</w:t>
      </w:r>
      <w:proofErr w:type="gramEnd"/>
      <w:r>
        <w:rPr>
          <w:rFonts w:asciiTheme="majorBidi" w:eastAsia="Times New Roman" w:hAnsiTheme="majorBidi" w:cstheme="majorBidi"/>
          <w:sz w:val="24"/>
          <w:szCs w:val="24"/>
          <w:lang w:val="en-GB" w:eastAsia="en-AU"/>
        </w:rPr>
        <w:t xml:space="preserve"> Super Balanced among others. We have the </w:t>
      </w:r>
      <w:r w:rsidRPr="009E57D5">
        <w:rPr>
          <w:rFonts w:asciiTheme="majorBidi" w:eastAsia="Times New Roman" w:hAnsiTheme="majorBidi" w:cstheme="majorBidi"/>
          <w:sz w:val="24"/>
          <w:szCs w:val="24"/>
          <w:lang w:val="en-GB" w:eastAsia="en-AU"/>
        </w:rPr>
        <w:t xml:space="preserve">historical asset allocation of </w:t>
      </w:r>
      <w:r>
        <w:rPr>
          <w:rFonts w:asciiTheme="majorBidi" w:eastAsia="Times New Roman" w:hAnsiTheme="majorBidi" w:cstheme="majorBidi"/>
          <w:sz w:val="24"/>
          <w:szCs w:val="24"/>
          <w:lang w:val="en-GB" w:eastAsia="en-AU"/>
        </w:rPr>
        <w:t xml:space="preserve">each of these </w:t>
      </w:r>
      <w:r w:rsidRPr="009E57D5">
        <w:rPr>
          <w:rFonts w:asciiTheme="majorBidi" w:eastAsia="Times New Roman" w:hAnsiTheme="majorBidi" w:cstheme="majorBidi"/>
          <w:sz w:val="24"/>
          <w:szCs w:val="24"/>
          <w:lang w:val="en-GB" w:eastAsia="en-AU"/>
        </w:rPr>
        <w:t>investment options over 27 years on a monthly basis. The asset classes available include cash, domestic and international shares, domestic and international fixed income securities as well as listed</w:t>
      </w:r>
      <w:r>
        <w:rPr>
          <w:rFonts w:asciiTheme="majorBidi" w:eastAsia="Times New Roman" w:hAnsiTheme="majorBidi" w:cstheme="majorBidi"/>
          <w:sz w:val="24"/>
          <w:szCs w:val="24"/>
          <w:lang w:val="en-GB" w:eastAsia="en-AU"/>
        </w:rPr>
        <w:t xml:space="preserve"> </w:t>
      </w:r>
      <w:r w:rsidRPr="009E57D5">
        <w:rPr>
          <w:rFonts w:asciiTheme="majorBidi" w:eastAsia="Times New Roman" w:hAnsiTheme="majorBidi" w:cstheme="majorBidi"/>
          <w:sz w:val="24"/>
          <w:szCs w:val="24"/>
          <w:lang w:val="en-GB" w:eastAsia="en-AU"/>
        </w:rPr>
        <w:t>(domestic and international) and unlisted property.</w:t>
      </w:r>
      <w:r w:rsidRPr="00B32228">
        <w:rPr>
          <w:rFonts w:asciiTheme="majorBidi" w:eastAsia="Times New Roman" w:hAnsiTheme="majorBidi" w:cstheme="majorBidi"/>
          <w:sz w:val="24"/>
          <w:szCs w:val="24"/>
          <w:lang w:val="en-GB" w:eastAsia="en-AU"/>
        </w:rPr>
        <w:t xml:space="preserve"> Morningstar Direct equally provides access to the monthly historical price index from which we can derive the historical returns. The choice of the data period captures a few key dates, including 1992 the year the Superannuation guarantee was introduced, and periods of high volatility including the South East Asian crisis in 1997 to 1998, </w:t>
      </w:r>
      <w:r>
        <w:rPr>
          <w:rFonts w:asciiTheme="majorBidi" w:eastAsia="Times New Roman" w:hAnsiTheme="majorBidi" w:cstheme="majorBidi"/>
          <w:sz w:val="24"/>
          <w:szCs w:val="24"/>
          <w:lang w:val="en-GB" w:eastAsia="en-AU"/>
        </w:rPr>
        <w:t>the 2001 Dot com crisis and the GFC</w:t>
      </w:r>
      <w:r w:rsidRPr="00B32228">
        <w:rPr>
          <w:rFonts w:asciiTheme="majorBidi" w:eastAsia="Times New Roman" w:hAnsiTheme="majorBidi" w:cstheme="majorBidi"/>
          <w:sz w:val="24"/>
          <w:szCs w:val="24"/>
          <w:lang w:val="en-GB" w:eastAsia="en-AU"/>
        </w:rPr>
        <w:t xml:space="preserve"> from mid-2007 to 2009</w:t>
      </w:r>
      <w:r>
        <w:rPr>
          <w:rFonts w:asciiTheme="majorBidi" w:eastAsia="Times New Roman" w:hAnsiTheme="majorBidi" w:cstheme="majorBidi"/>
          <w:sz w:val="24"/>
          <w:szCs w:val="24"/>
          <w:lang w:val="en-GB" w:eastAsia="en-AU"/>
        </w:rPr>
        <w:t>,</w:t>
      </w:r>
      <w:r w:rsidRPr="00B32228">
        <w:rPr>
          <w:rFonts w:asciiTheme="majorBidi" w:eastAsia="Times New Roman" w:hAnsiTheme="majorBidi" w:cstheme="majorBidi"/>
          <w:sz w:val="24"/>
          <w:szCs w:val="24"/>
          <w:lang w:val="en-GB" w:eastAsia="en-AU"/>
        </w:rPr>
        <w:t xml:space="preserve"> all of which had significant impact on the Australian </w:t>
      </w:r>
      <w:r>
        <w:rPr>
          <w:rFonts w:asciiTheme="majorBidi" w:eastAsia="Times New Roman" w:hAnsiTheme="majorBidi" w:cstheme="majorBidi"/>
          <w:sz w:val="24"/>
          <w:szCs w:val="24"/>
          <w:lang w:val="en-GB" w:eastAsia="en-AU"/>
        </w:rPr>
        <w:t xml:space="preserve">stock </w:t>
      </w:r>
      <w:r w:rsidRPr="00B32228">
        <w:rPr>
          <w:rFonts w:asciiTheme="majorBidi" w:eastAsia="Times New Roman" w:hAnsiTheme="majorBidi" w:cstheme="majorBidi"/>
          <w:sz w:val="24"/>
          <w:szCs w:val="24"/>
          <w:lang w:val="en-GB" w:eastAsia="en-AU"/>
        </w:rPr>
        <w:t>market.</w:t>
      </w:r>
      <w:r>
        <w:rPr>
          <w:rFonts w:asciiTheme="majorBidi" w:eastAsia="Times New Roman" w:hAnsiTheme="majorBidi" w:cstheme="majorBidi"/>
          <w:sz w:val="24"/>
          <w:szCs w:val="24"/>
          <w:lang w:val="en-GB" w:eastAsia="en-AU"/>
        </w:rPr>
        <w:t xml:space="preserve"> </w:t>
      </w:r>
      <w:r w:rsidRPr="00B32228">
        <w:rPr>
          <w:rFonts w:asciiTheme="majorBidi" w:eastAsia="Times New Roman" w:hAnsiTheme="majorBidi" w:cstheme="majorBidi"/>
          <w:sz w:val="24"/>
          <w:szCs w:val="24"/>
          <w:lang w:val="en-GB" w:eastAsia="en-AU"/>
        </w:rPr>
        <w:t>Australian super</w:t>
      </w:r>
      <w:r>
        <w:rPr>
          <w:rFonts w:asciiTheme="majorBidi" w:eastAsia="Times New Roman" w:hAnsiTheme="majorBidi" w:cstheme="majorBidi"/>
          <w:sz w:val="24"/>
          <w:szCs w:val="24"/>
          <w:lang w:val="en-GB" w:eastAsia="en-AU"/>
        </w:rPr>
        <w:t xml:space="preserve">annuation </w:t>
      </w:r>
      <w:r w:rsidRPr="00B32228">
        <w:rPr>
          <w:rFonts w:asciiTheme="majorBidi" w:eastAsia="Times New Roman" w:hAnsiTheme="majorBidi" w:cstheme="majorBidi"/>
          <w:sz w:val="24"/>
          <w:szCs w:val="24"/>
          <w:lang w:val="en-GB" w:eastAsia="en-AU"/>
        </w:rPr>
        <w:t xml:space="preserve">funds were faced with significant losses in the crisis </w:t>
      </w:r>
      <w:r w:rsidRPr="00B32228">
        <w:rPr>
          <w:rFonts w:asciiTheme="majorBidi" w:eastAsia="Times New Roman" w:hAnsiTheme="majorBidi" w:cstheme="majorBidi"/>
          <w:sz w:val="24"/>
          <w:szCs w:val="24"/>
          <w:lang w:val="en-GB" w:eastAsia="en-AU"/>
        </w:rPr>
        <w:lastRenderedPageBreak/>
        <w:t xml:space="preserve">period, in particular the GFC. Many retirees in Australia have been heavily affected due to the relatively large investment losses in Australia because of the large share of equities which at the time of the GFC was around 57 percent before the crisis hit, compared with an average of 36 percent in the 20 OECD countries. Australian </w:t>
      </w:r>
      <w:r>
        <w:rPr>
          <w:rFonts w:asciiTheme="majorBidi" w:eastAsia="Times New Roman" w:hAnsiTheme="majorBidi" w:cstheme="majorBidi"/>
          <w:sz w:val="24"/>
          <w:szCs w:val="24"/>
          <w:lang w:val="en-GB" w:eastAsia="en-AU"/>
        </w:rPr>
        <w:t xml:space="preserve">superannuation </w:t>
      </w:r>
      <w:r w:rsidRPr="00B32228">
        <w:rPr>
          <w:rFonts w:asciiTheme="majorBidi" w:eastAsia="Times New Roman" w:hAnsiTheme="majorBidi" w:cstheme="majorBidi"/>
          <w:sz w:val="24"/>
          <w:szCs w:val="24"/>
          <w:lang w:val="en-GB" w:eastAsia="en-AU"/>
        </w:rPr>
        <w:t>funds accounted for -26.3 percent loss, which was the second largest in the world after Ireland</w:t>
      </w:r>
      <w:r w:rsidRPr="00D71A23">
        <w:rPr>
          <w:rStyle w:val="FootnoteReference"/>
          <w:rFonts w:asciiTheme="majorBidi" w:eastAsia="Times New Roman" w:hAnsiTheme="majorBidi" w:cstheme="majorBidi"/>
          <w:sz w:val="24"/>
          <w:szCs w:val="24"/>
          <w:lang w:val="en-GB" w:eastAsia="en-AU"/>
        </w:rPr>
        <w:footnoteReference w:id="5"/>
      </w:r>
      <w:r>
        <w:rPr>
          <w:rFonts w:asciiTheme="majorBidi" w:eastAsia="Times New Roman" w:hAnsiTheme="majorBidi" w:cstheme="majorBidi"/>
          <w:sz w:val="24"/>
          <w:szCs w:val="24"/>
          <w:lang w:val="en-GB" w:eastAsia="en-AU"/>
        </w:rPr>
        <w:t>.</w:t>
      </w:r>
    </w:p>
    <w:p w:rsidR="007F433F" w:rsidRDefault="007F433F" w:rsidP="007F433F">
      <w:pPr>
        <w:pStyle w:val="BodyText"/>
        <w:spacing w:before="6" w:line="453" w:lineRule="auto"/>
        <w:ind w:right="103" w:firstLine="351"/>
        <w:jc w:val="both"/>
      </w:pPr>
      <w:r>
        <w:rPr>
          <w:rFonts w:asciiTheme="majorBidi" w:eastAsia="Times New Roman" w:hAnsiTheme="majorBidi" w:cstheme="majorBidi"/>
          <w:sz w:val="24"/>
          <w:szCs w:val="24"/>
          <w:lang w:val="en-GB" w:eastAsia="en-AU"/>
        </w:rPr>
        <w:t>We classify the asset classes into growth and defensive assets. The defensive assets include cash, fixed income securities (domestic and international).</w:t>
      </w:r>
      <w:r w:rsidRPr="00C80F34">
        <w:rPr>
          <w:rFonts w:asciiTheme="majorBidi" w:eastAsia="Times New Roman" w:hAnsiTheme="majorBidi" w:cstheme="majorBidi"/>
          <w:sz w:val="24"/>
          <w:szCs w:val="24"/>
          <w:lang w:val="en-GB" w:eastAsia="en-AU"/>
        </w:rPr>
        <w:t xml:space="preserve"> The growth assets</w:t>
      </w:r>
      <w:r>
        <w:rPr>
          <w:rFonts w:asciiTheme="majorBidi" w:eastAsia="Times New Roman" w:hAnsiTheme="majorBidi" w:cstheme="majorBidi"/>
          <w:sz w:val="24"/>
          <w:szCs w:val="24"/>
          <w:lang w:val="en-GB" w:eastAsia="en-AU"/>
        </w:rPr>
        <w:t xml:space="preserve"> that we consider include</w:t>
      </w:r>
      <w:r w:rsidRPr="00C80F34">
        <w:rPr>
          <w:rFonts w:asciiTheme="majorBidi" w:eastAsia="Times New Roman" w:hAnsiTheme="majorBidi" w:cstheme="majorBidi"/>
          <w:sz w:val="24"/>
          <w:szCs w:val="24"/>
          <w:lang w:val="en-GB" w:eastAsia="en-AU"/>
        </w:rPr>
        <w:t xml:space="preserve">, shares </w:t>
      </w:r>
      <w:r>
        <w:rPr>
          <w:rFonts w:asciiTheme="majorBidi" w:eastAsia="Times New Roman" w:hAnsiTheme="majorBidi" w:cstheme="majorBidi"/>
          <w:sz w:val="24"/>
          <w:szCs w:val="24"/>
          <w:lang w:val="en-GB" w:eastAsia="en-AU"/>
        </w:rPr>
        <w:t xml:space="preserve">(domestic and international) </w:t>
      </w:r>
      <w:r w:rsidRPr="00C80F34">
        <w:rPr>
          <w:rFonts w:asciiTheme="majorBidi" w:eastAsia="Times New Roman" w:hAnsiTheme="majorBidi" w:cstheme="majorBidi"/>
          <w:sz w:val="24"/>
          <w:szCs w:val="24"/>
          <w:lang w:val="en-GB" w:eastAsia="en-AU"/>
        </w:rPr>
        <w:t>and property</w:t>
      </w:r>
      <w:r>
        <w:rPr>
          <w:rFonts w:asciiTheme="majorBidi" w:eastAsia="Times New Roman" w:hAnsiTheme="majorBidi" w:cstheme="majorBidi"/>
          <w:sz w:val="24"/>
          <w:szCs w:val="24"/>
          <w:lang w:val="en-GB" w:eastAsia="en-AU"/>
        </w:rPr>
        <w:t xml:space="preserve"> (both listed and unlisted) and these </w:t>
      </w:r>
      <w:r w:rsidRPr="00C80F34">
        <w:rPr>
          <w:rFonts w:asciiTheme="majorBidi" w:eastAsia="Times New Roman" w:hAnsiTheme="majorBidi" w:cstheme="majorBidi"/>
          <w:sz w:val="24"/>
          <w:szCs w:val="24"/>
          <w:lang w:val="en-GB" w:eastAsia="en-AU"/>
        </w:rPr>
        <w:t>usually aim for higher average returns over the long term</w:t>
      </w:r>
      <w:r>
        <w:rPr>
          <w:rFonts w:asciiTheme="majorBidi" w:eastAsia="Times New Roman" w:hAnsiTheme="majorBidi" w:cstheme="majorBidi"/>
          <w:sz w:val="24"/>
          <w:szCs w:val="24"/>
          <w:lang w:val="en-GB" w:eastAsia="en-AU"/>
        </w:rPr>
        <w:t xml:space="preserve">. </w:t>
      </w:r>
      <w:r w:rsidRPr="00C80F34">
        <w:rPr>
          <w:rFonts w:asciiTheme="majorBidi" w:eastAsia="Times New Roman" w:hAnsiTheme="majorBidi" w:cstheme="majorBidi"/>
          <w:sz w:val="24"/>
          <w:szCs w:val="24"/>
          <w:lang w:val="en-GB" w:eastAsia="en-AU"/>
        </w:rPr>
        <w:t xml:space="preserve"> However, this equally implies higher volatility</w:t>
      </w:r>
      <w:r>
        <w:rPr>
          <w:rFonts w:asciiTheme="majorBidi" w:eastAsia="Times New Roman" w:hAnsiTheme="majorBidi" w:cstheme="majorBidi"/>
          <w:sz w:val="24"/>
          <w:szCs w:val="24"/>
          <w:lang w:val="en-GB" w:eastAsia="en-AU"/>
        </w:rPr>
        <w:t xml:space="preserve"> corresponding to</w:t>
      </w:r>
      <w:r w:rsidRPr="00C80F34">
        <w:rPr>
          <w:rFonts w:asciiTheme="majorBidi" w:eastAsia="Times New Roman" w:hAnsiTheme="majorBidi" w:cstheme="majorBidi"/>
          <w:sz w:val="24"/>
          <w:szCs w:val="24"/>
          <w:lang w:val="en-GB" w:eastAsia="en-AU"/>
        </w:rPr>
        <w:t xml:space="preserve"> higher risk</w:t>
      </w:r>
      <w:r>
        <w:rPr>
          <w:rFonts w:asciiTheme="majorBidi" w:eastAsia="Times New Roman" w:hAnsiTheme="majorBidi" w:cstheme="majorBidi"/>
          <w:sz w:val="24"/>
          <w:szCs w:val="24"/>
          <w:lang w:val="en-GB" w:eastAsia="en-AU"/>
        </w:rPr>
        <w:t>, which may result in</w:t>
      </w:r>
      <w:r w:rsidRPr="00C80F34">
        <w:rPr>
          <w:rFonts w:asciiTheme="majorBidi" w:eastAsia="Times New Roman" w:hAnsiTheme="majorBidi" w:cstheme="majorBidi"/>
          <w:sz w:val="24"/>
          <w:szCs w:val="24"/>
          <w:lang w:val="en-GB" w:eastAsia="en-AU"/>
        </w:rPr>
        <w:t xml:space="preserve"> higher losses in bad years as compared to the return obtained from lower risk options.</w:t>
      </w:r>
      <w:r>
        <w:rPr>
          <w:rFonts w:asciiTheme="majorBidi" w:eastAsia="Times New Roman" w:hAnsiTheme="majorBidi" w:cstheme="majorBidi"/>
          <w:sz w:val="24"/>
          <w:szCs w:val="24"/>
          <w:lang w:val="en-GB" w:eastAsia="en-AU"/>
        </w:rPr>
        <w:t xml:space="preserve"> </w:t>
      </w:r>
      <w:r w:rsidRPr="00C80F34">
        <w:rPr>
          <w:rFonts w:asciiTheme="majorBidi" w:eastAsia="Times New Roman" w:hAnsiTheme="majorBidi" w:cstheme="majorBidi"/>
          <w:sz w:val="24"/>
          <w:szCs w:val="24"/>
          <w:lang w:val="en-GB" w:eastAsia="en-AU"/>
        </w:rPr>
        <w:t xml:space="preserve">Australian superannuation funds provide investors with a variety of investment options that can suit the investment profile of the investors including a mixture of growth assets up to a ‘high growth option’ where investors can have the option of investing up to 100 percent in growth assets like shares and property. </w:t>
      </w:r>
      <w:r>
        <w:rPr>
          <w:rFonts w:asciiTheme="majorBidi" w:eastAsia="Times New Roman" w:hAnsiTheme="majorBidi" w:cstheme="majorBidi"/>
          <w:sz w:val="24"/>
          <w:szCs w:val="24"/>
          <w:lang w:val="en-GB" w:eastAsia="en-AU"/>
        </w:rPr>
        <w:t xml:space="preserve"> The objective of this study is to have some uniformity in the definition of asset classes included in the growth options, hence enabling a better comparison of the riskiness of investment options provided by superannuation funds. Using the historical asset allocation, we </w:t>
      </w:r>
      <w:r w:rsidRPr="00C80F34">
        <w:rPr>
          <w:rFonts w:asciiTheme="majorBidi" w:eastAsia="Times New Roman" w:hAnsiTheme="majorBidi" w:cstheme="majorBidi"/>
          <w:sz w:val="24"/>
          <w:szCs w:val="24"/>
          <w:lang w:val="en-GB" w:eastAsia="en-AU"/>
        </w:rPr>
        <w:t xml:space="preserve">consider two methods </w:t>
      </w:r>
      <w:r>
        <w:rPr>
          <w:rFonts w:asciiTheme="majorBidi" w:eastAsia="Times New Roman" w:hAnsiTheme="majorBidi" w:cstheme="majorBidi"/>
          <w:sz w:val="24"/>
          <w:szCs w:val="24"/>
          <w:lang w:val="en-GB" w:eastAsia="en-AU"/>
        </w:rPr>
        <w:t xml:space="preserve">of classification </w:t>
      </w:r>
      <w:r w:rsidRPr="00C80F34">
        <w:rPr>
          <w:rFonts w:asciiTheme="majorBidi" w:eastAsia="Times New Roman" w:hAnsiTheme="majorBidi" w:cstheme="majorBidi"/>
          <w:sz w:val="24"/>
          <w:szCs w:val="24"/>
          <w:lang w:val="en-GB" w:eastAsia="en-AU"/>
        </w:rPr>
        <w:t xml:space="preserve">to </w:t>
      </w:r>
      <w:r>
        <w:rPr>
          <w:rFonts w:asciiTheme="majorBidi" w:eastAsia="Times New Roman" w:hAnsiTheme="majorBidi" w:cstheme="majorBidi"/>
          <w:sz w:val="24"/>
          <w:szCs w:val="24"/>
          <w:lang w:val="en-GB" w:eastAsia="en-AU"/>
        </w:rPr>
        <w:t>redefine</w:t>
      </w:r>
      <w:r w:rsidRPr="00C80F34">
        <w:rPr>
          <w:rFonts w:asciiTheme="majorBidi" w:eastAsia="Times New Roman" w:hAnsiTheme="majorBidi" w:cstheme="majorBidi"/>
          <w:sz w:val="24"/>
          <w:szCs w:val="24"/>
          <w:lang w:val="en-GB" w:eastAsia="en-AU"/>
        </w:rPr>
        <w:t xml:space="preserve"> the investment options</w:t>
      </w:r>
      <w:r>
        <w:rPr>
          <w:rStyle w:val="FootnoteReference"/>
          <w:rFonts w:asciiTheme="majorBidi" w:eastAsia="Times New Roman" w:hAnsiTheme="majorBidi" w:cstheme="majorBidi"/>
          <w:sz w:val="24"/>
          <w:szCs w:val="24"/>
          <w:lang w:val="en-GB" w:eastAsia="en-AU"/>
        </w:rPr>
        <w:footnoteReference w:id="6"/>
      </w:r>
      <w:r w:rsidRPr="00C80F34">
        <w:rPr>
          <w:rFonts w:asciiTheme="majorBidi" w:eastAsia="Times New Roman" w:hAnsiTheme="majorBidi" w:cstheme="majorBidi"/>
          <w:sz w:val="24"/>
          <w:szCs w:val="24"/>
          <w:lang w:val="en-GB" w:eastAsia="en-AU"/>
        </w:rPr>
        <w:t>.</w:t>
      </w:r>
      <w:r>
        <w:rPr>
          <w:rFonts w:asciiTheme="majorBidi" w:eastAsia="Times New Roman" w:hAnsiTheme="majorBidi" w:cstheme="majorBidi"/>
          <w:sz w:val="24"/>
          <w:szCs w:val="24"/>
          <w:lang w:val="en-GB" w:eastAsia="en-AU"/>
        </w:rPr>
        <w:t xml:space="preserve"> Table 1 provides a summary of the two classification methods and the percentage of growth assets to define the four broad categories of investment options, that is, multi-sector moderate, multi-sector balanced, multi-sector growth and multi-sector aggressive. </w:t>
      </w:r>
      <w:r w:rsidRPr="00C80F34">
        <w:rPr>
          <w:rFonts w:asciiTheme="majorBidi" w:eastAsia="Times New Roman" w:hAnsiTheme="majorBidi" w:cstheme="majorBidi"/>
          <w:sz w:val="24"/>
          <w:szCs w:val="24"/>
          <w:lang w:val="en-GB" w:eastAsia="en-AU"/>
        </w:rPr>
        <w:t xml:space="preserve"> In the first option, we consider the definition provided by </w:t>
      </w:r>
      <w:proofErr w:type="spellStart"/>
      <w:r w:rsidRPr="00C80F34">
        <w:rPr>
          <w:rFonts w:asciiTheme="majorBidi" w:eastAsia="SimSun" w:hAnsiTheme="majorBidi" w:cstheme="majorBidi"/>
          <w:sz w:val="24"/>
          <w:szCs w:val="24"/>
          <w:lang w:eastAsia="en-AU"/>
        </w:rPr>
        <w:t>Canstar</w:t>
      </w:r>
      <w:proofErr w:type="spellEnd"/>
      <w:r w:rsidRPr="007F4D68">
        <w:rPr>
          <w:rFonts w:eastAsia="SimSun"/>
          <w:vertAlign w:val="superscript"/>
          <w:lang w:eastAsia="en-AU"/>
        </w:rPr>
        <w:footnoteReference w:id="7"/>
      </w:r>
      <w:r w:rsidRPr="00C80F34">
        <w:rPr>
          <w:rFonts w:asciiTheme="majorBidi" w:eastAsia="SimSun" w:hAnsiTheme="majorBidi" w:cstheme="majorBidi"/>
          <w:sz w:val="24"/>
          <w:szCs w:val="24"/>
          <w:lang w:eastAsia="en-AU"/>
        </w:rPr>
        <w:t xml:space="preserve">, that is, we will consider </w:t>
      </w:r>
      <w:r w:rsidRPr="00C80F34">
        <w:rPr>
          <w:rFonts w:asciiTheme="majorBidi" w:hAnsiTheme="majorBidi" w:cstheme="majorBidi"/>
          <w:sz w:val="24"/>
          <w:szCs w:val="24"/>
        </w:rPr>
        <w:t>a multi-sector aggressive (where the growth assets</w:t>
      </w:r>
      <w:r w:rsidRPr="00D71A23">
        <w:rPr>
          <w:vertAlign w:val="superscript"/>
        </w:rPr>
        <w:footnoteReference w:id="8"/>
      </w:r>
      <w:r w:rsidRPr="00C80F34">
        <w:rPr>
          <w:rFonts w:asciiTheme="majorBidi" w:hAnsiTheme="majorBidi" w:cstheme="majorBidi"/>
          <w:sz w:val="24"/>
          <w:szCs w:val="24"/>
        </w:rPr>
        <w:t xml:space="preserve"> are between 81 percent-100percent), multi-sector growth (growth </w:t>
      </w:r>
      <w:r w:rsidRPr="00C80F34">
        <w:rPr>
          <w:rFonts w:asciiTheme="majorBidi" w:hAnsiTheme="majorBidi" w:cstheme="majorBidi"/>
          <w:sz w:val="24"/>
          <w:szCs w:val="24"/>
        </w:rPr>
        <w:lastRenderedPageBreak/>
        <w:t>assets are in between 61-80 percent), multi-sector balanced (growth assets are in between 41-60 percent), and multi-sector moderate (growth assets are in between 21-40</w:t>
      </w:r>
      <w:r>
        <w:rPr>
          <w:rFonts w:asciiTheme="majorBidi" w:hAnsiTheme="majorBidi" w:cstheme="majorBidi"/>
          <w:sz w:val="24"/>
          <w:szCs w:val="24"/>
        </w:rPr>
        <w:t xml:space="preserve"> </w:t>
      </w:r>
      <w:r w:rsidRPr="00C80F34">
        <w:rPr>
          <w:rFonts w:asciiTheme="majorBidi" w:hAnsiTheme="majorBidi" w:cstheme="majorBidi"/>
          <w:sz w:val="24"/>
          <w:szCs w:val="24"/>
        </w:rPr>
        <w:t>percent).</w:t>
      </w:r>
      <w:r>
        <w:rPr>
          <w:rFonts w:asciiTheme="majorBidi" w:hAnsiTheme="majorBidi" w:cstheme="majorBidi"/>
          <w:sz w:val="24"/>
          <w:szCs w:val="24"/>
        </w:rPr>
        <w:t xml:space="preserve"> </w:t>
      </w:r>
      <w:r w:rsidRPr="00C80F34">
        <w:rPr>
          <w:rFonts w:asciiTheme="majorBidi" w:hAnsiTheme="majorBidi" w:cstheme="majorBidi"/>
          <w:sz w:val="24"/>
          <w:szCs w:val="24"/>
        </w:rPr>
        <w:t xml:space="preserve">In our second </w:t>
      </w:r>
      <w:r>
        <w:rPr>
          <w:rFonts w:asciiTheme="majorBidi" w:hAnsiTheme="majorBidi" w:cstheme="majorBidi"/>
          <w:sz w:val="24"/>
          <w:szCs w:val="24"/>
        </w:rPr>
        <w:t xml:space="preserve">method of </w:t>
      </w:r>
      <w:r w:rsidRPr="00C80F34">
        <w:rPr>
          <w:rFonts w:asciiTheme="majorBidi" w:hAnsiTheme="majorBidi" w:cstheme="majorBidi"/>
          <w:sz w:val="24"/>
          <w:szCs w:val="24"/>
        </w:rPr>
        <w:t>classification we consider the guidelines provided by ASIC</w:t>
      </w:r>
      <w:r w:rsidRPr="00D606A1">
        <w:rPr>
          <w:rStyle w:val="FootnoteReference"/>
          <w:rFonts w:asciiTheme="majorBidi" w:hAnsiTheme="majorBidi" w:cstheme="majorBidi"/>
          <w:sz w:val="24"/>
          <w:szCs w:val="24"/>
        </w:rPr>
        <w:footnoteReference w:id="9"/>
      </w:r>
      <w:r w:rsidRPr="00C80F34">
        <w:rPr>
          <w:rFonts w:asciiTheme="majorBidi" w:hAnsiTheme="majorBidi" w:cstheme="majorBidi"/>
          <w:sz w:val="24"/>
          <w:szCs w:val="24"/>
        </w:rPr>
        <w:t xml:space="preserve"> and define the investment options as follows. An aggressive investment option will have 85-100 percent in growth assets, a growth investment option will be in between 71 to 84 percent; a balanced option will be between 31 to 70 percent; </w:t>
      </w:r>
      <w:r>
        <w:rPr>
          <w:rFonts w:asciiTheme="majorBidi" w:hAnsiTheme="majorBidi" w:cstheme="majorBidi"/>
          <w:sz w:val="24"/>
          <w:szCs w:val="24"/>
        </w:rPr>
        <w:t>moderate</w:t>
      </w:r>
      <w:r w:rsidRPr="00C80F34">
        <w:rPr>
          <w:rFonts w:asciiTheme="majorBidi" w:hAnsiTheme="majorBidi" w:cstheme="majorBidi"/>
          <w:sz w:val="24"/>
          <w:szCs w:val="24"/>
        </w:rPr>
        <w:t xml:space="preserve"> option will be in between 1 to 30 percent. Considering the two methods of defining investment options, will </w:t>
      </w:r>
      <w:r>
        <w:rPr>
          <w:rFonts w:asciiTheme="majorBidi" w:hAnsiTheme="majorBidi" w:cstheme="majorBidi"/>
          <w:sz w:val="24"/>
          <w:szCs w:val="24"/>
        </w:rPr>
        <w:t xml:space="preserve">enable to assess if </w:t>
      </w:r>
      <w:r w:rsidRPr="00C80F34">
        <w:rPr>
          <w:rFonts w:asciiTheme="majorBidi" w:hAnsiTheme="majorBidi" w:cstheme="majorBidi"/>
          <w:sz w:val="24"/>
          <w:szCs w:val="24"/>
        </w:rPr>
        <w:t xml:space="preserve">the risk </w:t>
      </w:r>
      <w:r>
        <w:rPr>
          <w:rFonts w:asciiTheme="majorBidi" w:hAnsiTheme="majorBidi" w:cstheme="majorBidi"/>
          <w:sz w:val="24"/>
          <w:szCs w:val="24"/>
        </w:rPr>
        <w:t>level varies</w:t>
      </w:r>
      <w:r w:rsidRPr="00C80F34">
        <w:rPr>
          <w:rFonts w:asciiTheme="majorBidi" w:hAnsiTheme="majorBidi" w:cstheme="majorBidi"/>
          <w:sz w:val="24"/>
          <w:szCs w:val="24"/>
        </w:rPr>
        <w:t xml:space="preserve"> as the per</w:t>
      </w:r>
      <w:r>
        <w:rPr>
          <w:rFonts w:asciiTheme="majorBidi" w:hAnsiTheme="majorBidi" w:cstheme="majorBidi"/>
          <w:sz w:val="24"/>
          <w:szCs w:val="24"/>
        </w:rPr>
        <w:t>centage of growth assets varies and equally shed some light if the varying definitions of investment options across superannuation funds</w:t>
      </w:r>
      <w:r w:rsidRPr="00C80F34">
        <w:rPr>
          <w:rFonts w:asciiTheme="majorBidi" w:hAnsiTheme="majorBidi" w:cstheme="majorBidi"/>
          <w:sz w:val="24"/>
          <w:szCs w:val="24"/>
        </w:rPr>
        <w:t xml:space="preserve"> </w:t>
      </w:r>
      <w:r>
        <w:rPr>
          <w:rFonts w:asciiTheme="majorBidi" w:hAnsiTheme="majorBidi" w:cstheme="majorBidi"/>
          <w:sz w:val="24"/>
          <w:szCs w:val="24"/>
        </w:rPr>
        <w:t xml:space="preserve">impact on the risk level faced by members over the longer term. </w:t>
      </w:r>
    </w:p>
    <w:p w:rsidR="007F433F" w:rsidRDefault="007F433F" w:rsidP="007F433F">
      <w:pPr>
        <w:pStyle w:val="BodyText"/>
        <w:spacing w:after="0" w:line="480" w:lineRule="auto"/>
        <w:ind w:firstLine="720"/>
        <w:jc w:val="both"/>
        <w:rPr>
          <w:rFonts w:asciiTheme="majorBidi" w:hAnsiTheme="majorBidi" w:cstheme="majorBidi"/>
          <w:sz w:val="24"/>
          <w:szCs w:val="24"/>
        </w:rPr>
      </w:pPr>
      <w:r w:rsidRPr="00275AF9">
        <w:rPr>
          <w:rFonts w:asciiTheme="majorBidi" w:hAnsiTheme="majorBidi" w:cstheme="majorBidi"/>
          <w:sz w:val="24"/>
          <w:szCs w:val="24"/>
        </w:rPr>
        <w:t xml:space="preserve">Following our first </w:t>
      </w:r>
      <w:r>
        <w:rPr>
          <w:rFonts w:asciiTheme="majorBidi" w:hAnsiTheme="majorBidi" w:cstheme="majorBidi"/>
          <w:sz w:val="24"/>
          <w:szCs w:val="24"/>
        </w:rPr>
        <w:t xml:space="preserve">method of </w:t>
      </w:r>
      <w:r w:rsidRPr="00275AF9">
        <w:rPr>
          <w:rFonts w:asciiTheme="majorBidi" w:hAnsiTheme="majorBidi" w:cstheme="majorBidi"/>
          <w:sz w:val="24"/>
          <w:szCs w:val="24"/>
        </w:rPr>
        <w:t xml:space="preserve">classification, </w:t>
      </w:r>
      <w:proofErr w:type="spellStart"/>
      <w:r>
        <w:rPr>
          <w:rFonts w:asciiTheme="majorBidi" w:hAnsiTheme="majorBidi" w:cstheme="majorBidi"/>
          <w:sz w:val="24"/>
          <w:szCs w:val="24"/>
        </w:rPr>
        <w:t>Canstar</w:t>
      </w:r>
      <w:proofErr w:type="spellEnd"/>
      <w:r>
        <w:rPr>
          <w:rFonts w:asciiTheme="majorBidi" w:hAnsiTheme="majorBidi" w:cstheme="majorBidi"/>
          <w:sz w:val="24"/>
          <w:szCs w:val="24"/>
        </w:rPr>
        <w:t xml:space="preserve">, </w:t>
      </w:r>
      <w:r w:rsidRPr="00275AF9">
        <w:rPr>
          <w:rFonts w:asciiTheme="majorBidi" w:hAnsiTheme="majorBidi" w:cstheme="majorBidi"/>
          <w:sz w:val="24"/>
          <w:szCs w:val="24"/>
        </w:rPr>
        <w:t xml:space="preserve">we have 862 </w:t>
      </w:r>
      <w:r>
        <w:rPr>
          <w:rFonts w:asciiTheme="majorBidi" w:hAnsiTheme="majorBidi" w:cstheme="majorBidi"/>
          <w:sz w:val="24"/>
          <w:szCs w:val="24"/>
        </w:rPr>
        <w:t>investment options which include 116 investment options from the m</w:t>
      </w:r>
      <w:r w:rsidRPr="00275AF9">
        <w:rPr>
          <w:rFonts w:asciiTheme="majorBidi" w:hAnsiTheme="majorBidi" w:cstheme="majorBidi"/>
          <w:sz w:val="24"/>
          <w:szCs w:val="24"/>
        </w:rPr>
        <w:t xml:space="preserve">oderate category, 87 </w:t>
      </w:r>
      <w:r>
        <w:rPr>
          <w:rFonts w:asciiTheme="majorBidi" w:hAnsiTheme="majorBidi" w:cstheme="majorBidi"/>
          <w:sz w:val="24"/>
          <w:szCs w:val="24"/>
        </w:rPr>
        <w:t xml:space="preserve">investment options </w:t>
      </w:r>
      <w:r w:rsidRPr="00275AF9">
        <w:rPr>
          <w:rFonts w:asciiTheme="majorBidi" w:hAnsiTheme="majorBidi" w:cstheme="majorBidi"/>
          <w:sz w:val="24"/>
          <w:szCs w:val="24"/>
        </w:rPr>
        <w:t xml:space="preserve">from </w:t>
      </w:r>
      <w:r>
        <w:rPr>
          <w:rFonts w:asciiTheme="majorBidi" w:hAnsiTheme="majorBidi" w:cstheme="majorBidi"/>
          <w:sz w:val="24"/>
          <w:szCs w:val="24"/>
        </w:rPr>
        <w:t>the b</w:t>
      </w:r>
      <w:r w:rsidRPr="00275AF9">
        <w:rPr>
          <w:rFonts w:asciiTheme="majorBidi" w:hAnsiTheme="majorBidi" w:cstheme="majorBidi"/>
          <w:sz w:val="24"/>
          <w:szCs w:val="24"/>
        </w:rPr>
        <w:t xml:space="preserve">alanced category, 184 </w:t>
      </w:r>
      <w:r>
        <w:rPr>
          <w:rFonts w:asciiTheme="majorBidi" w:hAnsiTheme="majorBidi" w:cstheme="majorBidi"/>
          <w:sz w:val="24"/>
          <w:szCs w:val="24"/>
        </w:rPr>
        <w:t>investment options</w:t>
      </w:r>
      <w:r w:rsidRPr="00275AF9" w:rsidDel="00F81B2B">
        <w:rPr>
          <w:rFonts w:asciiTheme="majorBidi" w:hAnsiTheme="majorBidi" w:cstheme="majorBidi"/>
          <w:sz w:val="24"/>
          <w:szCs w:val="24"/>
        </w:rPr>
        <w:t xml:space="preserve"> </w:t>
      </w:r>
      <w:r w:rsidRPr="00275AF9">
        <w:rPr>
          <w:rFonts w:asciiTheme="majorBidi" w:hAnsiTheme="majorBidi" w:cstheme="majorBidi"/>
          <w:sz w:val="24"/>
          <w:szCs w:val="24"/>
        </w:rPr>
        <w:t xml:space="preserve">from </w:t>
      </w:r>
      <w:r>
        <w:rPr>
          <w:rFonts w:asciiTheme="majorBidi" w:hAnsiTheme="majorBidi" w:cstheme="majorBidi"/>
          <w:sz w:val="24"/>
          <w:szCs w:val="24"/>
        </w:rPr>
        <w:t xml:space="preserve">the growth </w:t>
      </w:r>
      <w:r w:rsidRPr="00275AF9">
        <w:rPr>
          <w:rFonts w:asciiTheme="majorBidi" w:hAnsiTheme="majorBidi" w:cstheme="majorBidi"/>
          <w:sz w:val="24"/>
          <w:szCs w:val="24"/>
        </w:rPr>
        <w:t xml:space="preserve">category and 475 </w:t>
      </w:r>
      <w:r>
        <w:rPr>
          <w:rFonts w:asciiTheme="majorBidi" w:hAnsiTheme="majorBidi" w:cstheme="majorBidi"/>
          <w:sz w:val="24"/>
          <w:szCs w:val="24"/>
        </w:rPr>
        <w:t>investment options</w:t>
      </w:r>
      <w:r w:rsidRPr="00275AF9" w:rsidDel="00F81B2B">
        <w:rPr>
          <w:rFonts w:asciiTheme="majorBidi" w:hAnsiTheme="majorBidi" w:cstheme="majorBidi"/>
          <w:sz w:val="24"/>
          <w:szCs w:val="24"/>
        </w:rPr>
        <w:t xml:space="preserve"> </w:t>
      </w:r>
      <w:r>
        <w:rPr>
          <w:rFonts w:asciiTheme="majorBidi" w:hAnsiTheme="majorBidi" w:cstheme="majorBidi"/>
          <w:sz w:val="24"/>
          <w:szCs w:val="24"/>
        </w:rPr>
        <w:t xml:space="preserve">from the </w:t>
      </w:r>
      <w:r w:rsidRPr="00275AF9">
        <w:rPr>
          <w:rFonts w:asciiTheme="majorBidi" w:hAnsiTheme="majorBidi" w:cstheme="majorBidi"/>
          <w:sz w:val="24"/>
          <w:szCs w:val="24"/>
        </w:rPr>
        <w:t xml:space="preserve">aggressive category </w:t>
      </w:r>
      <w:r>
        <w:rPr>
          <w:rFonts w:asciiTheme="majorBidi" w:hAnsiTheme="majorBidi" w:cstheme="majorBidi"/>
          <w:sz w:val="24"/>
          <w:szCs w:val="24"/>
        </w:rPr>
        <w:t>(this is referred as Option 1-Canstar classification). Using the definition by AISC of how to classify investment options, our final sample includes</w:t>
      </w:r>
      <w:r w:rsidRPr="005842A0">
        <w:rPr>
          <w:rFonts w:asciiTheme="majorBidi" w:hAnsiTheme="majorBidi" w:cstheme="majorBidi"/>
          <w:sz w:val="24"/>
          <w:szCs w:val="24"/>
        </w:rPr>
        <w:t xml:space="preserve"> 995</w:t>
      </w:r>
      <w:r>
        <w:rPr>
          <w:rStyle w:val="FootnoteReference"/>
          <w:rFonts w:asciiTheme="majorBidi" w:hAnsiTheme="majorBidi" w:cstheme="majorBidi"/>
          <w:sz w:val="24"/>
          <w:szCs w:val="24"/>
        </w:rPr>
        <w:footnoteReference w:id="10"/>
      </w:r>
      <w:r w:rsidRPr="005842A0">
        <w:rPr>
          <w:rFonts w:asciiTheme="majorBidi" w:hAnsiTheme="majorBidi" w:cstheme="majorBidi"/>
          <w:sz w:val="24"/>
          <w:szCs w:val="24"/>
        </w:rPr>
        <w:t xml:space="preserve"> </w:t>
      </w:r>
      <w:r>
        <w:rPr>
          <w:rFonts w:asciiTheme="majorBidi" w:hAnsiTheme="majorBidi" w:cstheme="majorBidi"/>
          <w:sz w:val="24"/>
          <w:szCs w:val="24"/>
        </w:rPr>
        <w:t>investment options distributed as</w:t>
      </w:r>
      <w:r w:rsidRPr="005842A0">
        <w:rPr>
          <w:rFonts w:asciiTheme="majorBidi" w:hAnsiTheme="majorBidi" w:cstheme="majorBidi"/>
          <w:sz w:val="24"/>
          <w:szCs w:val="24"/>
        </w:rPr>
        <w:t xml:space="preserve"> 109</w:t>
      </w:r>
      <w:r>
        <w:rPr>
          <w:rFonts w:asciiTheme="majorBidi" w:hAnsiTheme="majorBidi" w:cstheme="majorBidi"/>
          <w:sz w:val="24"/>
          <w:szCs w:val="24"/>
        </w:rPr>
        <w:t xml:space="preserve"> in the m</w:t>
      </w:r>
      <w:r w:rsidRPr="005842A0">
        <w:rPr>
          <w:rFonts w:asciiTheme="majorBidi" w:hAnsiTheme="majorBidi" w:cstheme="majorBidi"/>
          <w:sz w:val="24"/>
          <w:szCs w:val="24"/>
        </w:rPr>
        <w:t>oderate</w:t>
      </w:r>
      <w:r>
        <w:rPr>
          <w:rFonts w:asciiTheme="majorBidi" w:hAnsiTheme="majorBidi" w:cstheme="majorBidi"/>
          <w:sz w:val="24"/>
          <w:szCs w:val="24"/>
        </w:rPr>
        <w:t xml:space="preserve"> investment option</w:t>
      </w:r>
      <w:r w:rsidRPr="005842A0">
        <w:rPr>
          <w:rFonts w:asciiTheme="majorBidi" w:hAnsiTheme="majorBidi" w:cstheme="majorBidi"/>
          <w:sz w:val="24"/>
          <w:szCs w:val="24"/>
        </w:rPr>
        <w:t xml:space="preserve">, 261 </w:t>
      </w:r>
      <w:r>
        <w:rPr>
          <w:rFonts w:asciiTheme="majorBidi" w:hAnsiTheme="majorBidi" w:cstheme="majorBidi"/>
          <w:sz w:val="24"/>
          <w:szCs w:val="24"/>
        </w:rPr>
        <w:t>in b</w:t>
      </w:r>
      <w:r w:rsidRPr="005842A0">
        <w:rPr>
          <w:rFonts w:asciiTheme="majorBidi" w:hAnsiTheme="majorBidi" w:cstheme="majorBidi"/>
          <w:sz w:val="24"/>
          <w:szCs w:val="24"/>
        </w:rPr>
        <w:t xml:space="preserve">alanced </w:t>
      </w:r>
      <w:r>
        <w:rPr>
          <w:rFonts w:asciiTheme="majorBidi" w:hAnsiTheme="majorBidi" w:cstheme="majorBidi"/>
          <w:sz w:val="24"/>
          <w:szCs w:val="24"/>
        </w:rPr>
        <w:t>option</w:t>
      </w:r>
      <w:r w:rsidRPr="005842A0">
        <w:rPr>
          <w:rFonts w:asciiTheme="majorBidi" w:hAnsiTheme="majorBidi" w:cstheme="majorBidi"/>
          <w:sz w:val="24"/>
          <w:szCs w:val="24"/>
        </w:rPr>
        <w:t>, 128</w:t>
      </w:r>
      <w:r>
        <w:rPr>
          <w:rFonts w:asciiTheme="majorBidi" w:hAnsiTheme="majorBidi" w:cstheme="majorBidi"/>
          <w:sz w:val="24"/>
          <w:szCs w:val="24"/>
        </w:rPr>
        <w:t xml:space="preserve"> investment options</w:t>
      </w:r>
      <w:r w:rsidDel="00F81B2B">
        <w:rPr>
          <w:rFonts w:asciiTheme="majorBidi" w:hAnsiTheme="majorBidi" w:cstheme="majorBidi"/>
          <w:sz w:val="24"/>
          <w:szCs w:val="24"/>
        </w:rPr>
        <w:t xml:space="preserve"> </w:t>
      </w:r>
      <w:r>
        <w:rPr>
          <w:rFonts w:asciiTheme="majorBidi" w:hAnsiTheme="majorBidi" w:cstheme="majorBidi"/>
          <w:sz w:val="24"/>
          <w:szCs w:val="24"/>
        </w:rPr>
        <w:t>in g</w:t>
      </w:r>
      <w:r w:rsidRPr="005842A0">
        <w:rPr>
          <w:rFonts w:asciiTheme="majorBidi" w:hAnsiTheme="majorBidi" w:cstheme="majorBidi"/>
          <w:sz w:val="24"/>
          <w:szCs w:val="24"/>
        </w:rPr>
        <w:t xml:space="preserve">rowth category and 428 </w:t>
      </w:r>
      <w:r>
        <w:rPr>
          <w:rFonts w:asciiTheme="majorBidi" w:hAnsiTheme="majorBidi" w:cstheme="majorBidi"/>
          <w:sz w:val="24"/>
          <w:szCs w:val="24"/>
        </w:rPr>
        <w:t>investment options</w:t>
      </w:r>
      <w:r w:rsidDel="00F81B2B">
        <w:rPr>
          <w:rFonts w:asciiTheme="majorBidi" w:hAnsiTheme="majorBidi" w:cstheme="majorBidi"/>
          <w:sz w:val="24"/>
          <w:szCs w:val="24"/>
        </w:rPr>
        <w:t xml:space="preserve"> </w:t>
      </w:r>
      <w:r>
        <w:rPr>
          <w:rFonts w:asciiTheme="majorBidi" w:hAnsiTheme="majorBidi" w:cstheme="majorBidi"/>
          <w:sz w:val="24"/>
          <w:szCs w:val="24"/>
        </w:rPr>
        <w:t>in the a</w:t>
      </w:r>
      <w:r w:rsidRPr="005842A0">
        <w:rPr>
          <w:rFonts w:asciiTheme="majorBidi" w:hAnsiTheme="majorBidi" w:cstheme="majorBidi"/>
          <w:sz w:val="24"/>
          <w:szCs w:val="24"/>
        </w:rPr>
        <w:t xml:space="preserve">ggressive </w:t>
      </w:r>
      <w:r>
        <w:rPr>
          <w:rFonts w:asciiTheme="majorBidi" w:hAnsiTheme="majorBidi" w:cstheme="majorBidi"/>
          <w:sz w:val="24"/>
          <w:szCs w:val="24"/>
        </w:rPr>
        <w:t xml:space="preserve">category. </w:t>
      </w:r>
      <w:r w:rsidRPr="007E5170">
        <w:rPr>
          <w:rFonts w:asciiTheme="majorBidi" w:hAnsiTheme="majorBidi" w:cstheme="majorBidi"/>
          <w:sz w:val="24"/>
          <w:szCs w:val="24"/>
        </w:rPr>
        <w:t xml:space="preserve"> </w:t>
      </w:r>
    </w:p>
    <w:p w:rsidR="007F433F" w:rsidRDefault="007F433F" w:rsidP="007F433F">
      <w:pPr>
        <w:pStyle w:val="BodyText"/>
        <w:spacing w:after="0" w:line="480" w:lineRule="auto"/>
        <w:ind w:firstLine="720"/>
        <w:jc w:val="both"/>
        <w:rPr>
          <w:rFonts w:asciiTheme="majorBidi" w:hAnsiTheme="majorBidi" w:cstheme="majorBidi"/>
          <w:sz w:val="24"/>
          <w:szCs w:val="24"/>
        </w:rPr>
      </w:pPr>
    </w:p>
    <w:p w:rsidR="007F433F" w:rsidRDefault="007F433F" w:rsidP="007F433F">
      <w:pPr>
        <w:pStyle w:val="BodyText"/>
        <w:spacing w:after="0" w:line="480" w:lineRule="auto"/>
        <w:ind w:firstLine="720"/>
        <w:jc w:val="both"/>
        <w:rPr>
          <w:rFonts w:asciiTheme="majorBidi" w:hAnsiTheme="majorBidi" w:cstheme="majorBidi"/>
          <w:sz w:val="24"/>
          <w:szCs w:val="24"/>
        </w:rPr>
      </w:pPr>
    </w:p>
    <w:p w:rsidR="007F433F" w:rsidRPr="00B32228" w:rsidRDefault="007F433F" w:rsidP="007F433F">
      <w:pPr>
        <w:pStyle w:val="BodyText"/>
        <w:numPr>
          <w:ilvl w:val="0"/>
          <w:numId w:val="2"/>
        </w:numPr>
        <w:spacing w:after="0" w:line="480" w:lineRule="auto"/>
        <w:jc w:val="both"/>
        <w:rPr>
          <w:rFonts w:asciiTheme="majorBidi" w:hAnsiTheme="majorBidi" w:cstheme="majorBidi"/>
          <w:b/>
          <w:bCs/>
          <w:sz w:val="24"/>
          <w:szCs w:val="24"/>
        </w:rPr>
      </w:pPr>
      <w:r w:rsidRPr="00B32228">
        <w:rPr>
          <w:rFonts w:asciiTheme="majorBidi" w:hAnsiTheme="majorBidi" w:cstheme="majorBidi"/>
          <w:b/>
          <w:bCs/>
          <w:sz w:val="24"/>
          <w:szCs w:val="24"/>
        </w:rPr>
        <w:t xml:space="preserve">Modelling Framework </w:t>
      </w:r>
    </w:p>
    <w:p w:rsidR="007F433F" w:rsidRPr="005842A0" w:rsidRDefault="007F433F" w:rsidP="007F433F">
      <w:pPr>
        <w:pStyle w:val="BodyText"/>
        <w:spacing w:after="0" w:line="480" w:lineRule="auto"/>
        <w:ind w:firstLine="720"/>
        <w:jc w:val="both"/>
        <w:rPr>
          <w:rFonts w:asciiTheme="majorBidi" w:eastAsia="Arial" w:hAnsiTheme="majorBidi" w:cstheme="majorBidi"/>
          <w:b/>
          <w:bCs/>
          <w:color w:val="000000"/>
          <w:w w:val="105"/>
          <w:sz w:val="24"/>
          <w:szCs w:val="24"/>
          <w:lang w:eastAsia="en-US"/>
        </w:rPr>
      </w:pPr>
      <w:r>
        <w:rPr>
          <w:rFonts w:asciiTheme="majorBidi" w:hAnsiTheme="majorBidi" w:cstheme="majorBidi"/>
          <w:sz w:val="24"/>
          <w:szCs w:val="24"/>
        </w:rPr>
        <w:lastRenderedPageBreak/>
        <w:t xml:space="preserve">As highlighted in the previous section, </w:t>
      </w:r>
      <w:r w:rsidRPr="00D606A1">
        <w:rPr>
          <w:rFonts w:asciiTheme="majorBidi" w:hAnsiTheme="majorBidi" w:cstheme="majorBidi"/>
          <w:sz w:val="24"/>
          <w:szCs w:val="24"/>
        </w:rPr>
        <w:t>at a specific time, a</w:t>
      </w:r>
      <w:r>
        <w:rPr>
          <w:rFonts w:asciiTheme="majorBidi" w:hAnsiTheme="majorBidi" w:cstheme="majorBidi"/>
          <w:sz w:val="24"/>
          <w:szCs w:val="24"/>
        </w:rPr>
        <w:t xml:space="preserve"> superannuation fund</w:t>
      </w:r>
      <w:r w:rsidRPr="00D606A1">
        <w:rPr>
          <w:rFonts w:asciiTheme="majorBidi" w:hAnsiTheme="majorBidi" w:cstheme="majorBidi"/>
          <w:sz w:val="24"/>
          <w:szCs w:val="24"/>
        </w:rPr>
        <w:t xml:space="preserve"> </w:t>
      </w:r>
      <w:r>
        <w:rPr>
          <w:rFonts w:asciiTheme="majorBidi" w:hAnsiTheme="majorBidi" w:cstheme="majorBidi"/>
          <w:sz w:val="24"/>
          <w:szCs w:val="24"/>
        </w:rPr>
        <w:t xml:space="preserve">investment option </w:t>
      </w:r>
      <w:r w:rsidRPr="00D606A1">
        <w:rPr>
          <w:rFonts w:asciiTheme="majorBidi" w:hAnsiTheme="majorBidi" w:cstheme="majorBidi"/>
          <w:sz w:val="24"/>
          <w:szCs w:val="24"/>
        </w:rPr>
        <w:t>is classified in one</w:t>
      </w:r>
      <w:r>
        <w:rPr>
          <w:rFonts w:asciiTheme="majorBidi" w:hAnsiTheme="majorBidi" w:cstheme="majorBidi"/>
          <w:sz w:val="24"/>
          <w:szCs w:val="24"/>
        </w:rPr>
        <w:t xml:space="preserve"> investment</w:t>
      </w:r>
      <w:r w:rsidRPr="00D606A1">
        <w:rPr>
          <w:rFonts w:asciiTheme="majorBidi" w:hAnsiTheme="majorBidi" w:cstheme="majorBidi"/>
          <w:sz w:val="24"/>
          <w:szCs w:val="24"/>
        </w:rPr>
        <w:t xml:space="preserve"> category depending on proportion of its growth assets. In addition, the classification of a </w:t>
      </w:r>
      <w:r>
        <w:rPr>
          <w:rFonts w:asciiTheme="majorBidi" w:hAnsiTheme="majorBidi" w:cstheme="majorBidi"/>
          <w:sz w:val="24"/>
          <w:szCs w:val="24"/>
        </w:rPr>
        <w:t xml:space="preserve">superannuation </w:t>
      </w:r>
      <w:r w:rsidRPr="00D606A1">
        <w:rPr>
          <w:rFonts w:asciiTheme="majorBidi" w:hAnsiTheme="majorBidi" w:cstheme="majorBidi"/>
          <w:sz w:val="24"/>
          <w:szCs w:val="24"/>
        </w:rPr>
        <w:t xml:space="preserve">fund can be time-dependent since the proportion of its growth assets can change over time. </w:t>
      </w:r>
      <w:r>
        <w:rPr>
          <w:rFonts w:asciiTheme="majorBidi" w:hAnsiTheme="majorBidi" w:cstheme="majorBidi"/>
          <w:sz w:val="24"/>
          <w:szCs w:val="24"/>
        </w:rPr>
        <w:t xml:space="preserve">Therefore, it is essential that estimations of the risk-return relationship in superannuation funds accommodate differences in risk profiles of investment options as well as time varying classification of the funds. In this study, we utilise a </w:t>
      </w:r>
      <w:r w:rsidRPr="007E5170">
        <w:rPr>
          <w:rFonts w:asciiTheme="majorBidi" w:hAnsiTheme="majorBidi" w:cstheme="majorBidi"/>
          <w:sz w:val="24"/>
          <w:szCs w:val="24"/>
        </w:rPr>
        <w:t xml:space="preserve">varying coefficient panel </w:t>
      </w:r>
      <w:r>
        <w:rPr>
          <w:rFonts w:asciiTheme="majorBidi" w:hAnsiTheme="majorBidi" w:cstheme="majorBidi"/>
          <w:sz w:val="24"/>
          <w:szCs w:val="24"/>
        </w:rPr>
        <w:t>framework</w:t>
      </w:r>
      <w:r w:rsidRPr="007E5170">
        <w:rPr>
          <w:rFonts w:asciiTheme="majorBidi" w:hAnsiTheme="majorBidi" w:cstheme="majorBidi"/>
          <w:sz w:val="24"/>
          <w:szCs w:val="24"/>
        </w:rPr>
        <w:t xml:space="preserve"> to analys</w:t>
      </w:r>
      <w:r>
        <w:rPr>
          <w:rFonts w:asciiTheme="majorBidi" w:hAnsiTheme="majorBidi" w:cstheme="majorBidi"/>
          <w:sz w:val="24"/>
          <w:szCs w:val="24"/>
        </w:rPr>
        <w:t xml:space="preserve">e the risk behaviour of Australian superannuation fund investment options. Specifically, we apply a general estimation framework developed by </w:t>
      </w:r>
      <w:r w:rsidRPr="007E5170">
        <w:rPr>
          <w:rFonts w:asciiTheme="majorBidi" w:hAnsiTheme="majorBidi" w:cstheme="majorBidi"/>
          <w:sz w:val="24"/>
          <w:szCs w:val="24"/>
        </w:rPr>
        <w:t>Feng et al. (2017)</w:t>
      </w:r>
      <w:r>
        <w:rPr>
          <w:rFonts w:asciiTheme="majorBidi" w:hAnsiTheme="majorBidi" w:cstheme="majorBidi"/>
          <w:sz w:val="24"/>
          <w:szCs w:val="24"/>
        </w:rPr>
        <w:t xml:space="preserve"> in different model specifications, which</w:t>
      </w:r>
      <w:r w:rsidRPr="007E5170">
        <w:rPr>
          <w:rFonts w:asciiTheme="majorBidi" w:hAnsiTheme="majorBidi" w:cstheme="majorBidi"/>
          <w:sz w:val="24"/>
          <w:szCs w:val="24"/>
        </w:rPr>
        <w:t xml:space="preserve"> allow the relationship between risk and return to be different </w:t>
      </w:r>
      <w:r>
        <w:rPr>
          <w:rFonts w:asciiTheme="majorBidi" w:hAnsiTheme="majorBidi" w:cstheme="majorBidi"/>
          <w:sz w:val="24"/>
          <w:szCs w:val="24"/>
        </w:rPr>
        <w:t>across</w:t>
      </w:r>
      <w:r w:rsidRPr="007E5170">
        <w:rPr>
          <w:rFonts w:asciiTheme="majorBidi" w:hAnsiTheme="majorBidi" w:cstheme="majorBidi"/>
          <w:sz w:val="24"/>
          <w:szCs w:val="24"/>
        </w:rPr>
        <w:t xml:space="preserve"> different defined time-varying categories, </w:t>
      </w:r>
      <w:r>
        <w:rPr>
          <w:rFonts w:asciiTheme="majorBidi" w:hAnsiTheme="majorBidi" w:cstheme="majorBidi"/>
          <w:sz w:val="24"/>
          <w:szCs w:val="24"/>
        </w:rPr>
        <w:t>representing</w:t>
      </w:r>
      <w:r w:rsidRPr="007E5170">
        <w:rPr>
          <w:rFonts w:asciiTheme="majorBidi" w:hAnsiTheme="majorBidi" w:cstheme="majorBidi"/>
          <w:sz w:val="24"/>
          <w:szCs w:val="24"/>
        </w:rPr>
        <w:t xml:space="preserve"> </w:t>
      </w:r>
      <w:r>
        <w:rPr>
          <w:rFonts w:asciiTheme="majorBidi" w:hAnsiTheme="majorBidi" w:cstheme="majorBidi"/>
          <w:sz w:val="24"/>
          <w:szCs w:val="24"/>
        </w:rPr>
        <w:t>investment options and crisis periods. We ensure robustness of results using four models in our investigation, which are widely used in the literature, including the CAPM,</w:t>
      </w:r>
      <w:r w:rsidRPr="007E5170">
        <w:rPr>
          <w:rFonts w:asciiTheme="majorBidi" w:hAnsiTheme="majorBidi" w:cstheme="majorBidi"/>
          <w:sz w:val="24"/>
          <w:szCs w:val="24"/>
        </w:rPr>
        <w:t xml:space="preserve"> </w:t>
      </w:r>
      <w:r>
        <w:rPr>
          <w:rFonts w:asciiTheme="majorBidi" w:hAnsiTheme="majorBidi" w:cstheme="majorBidi"/>
          <w:sz w:val="24"/>
          <w:szCs w:val="24"/>
        </w:rPr>
        <w:t>the FF</w:t>
      </w:r>
      <w:r w:rsidRPr="007E5170">
        <w:rPr>
          <w:rFonts w:asciiTheme="majorBidi" w:hAnsiTheme="majorBidi" w:cstheme="majorBidi"/>
          <w:sz w:val="24"/>
          <w:szCs w:val="24"/>
        </w:rPr>
        <w:t xml:space="preserve"> three factor model</w:t>
      </w:r>
      <w:r>
        <w:rPr>
          <w:rFonts w:asciiTheme="majorBidi" w:hAnsiTheme="majorBidi" w:cstheme="majorBidi"/>
          <w:sz w:val="24"/>
          <w:szCs w:val="24"/>
        </w:rPr>
        <w:t>, the FF four factor model and the FF five factor model</w:t>
      </w:r>
      <w:r w:rsidRPr="007E5170">
        <w:rPr>
          <w:rFonts w:asciiTheme="majorBidi" w:hAnsiTheme="majorBidi" w:cstheme="majorBidi"/>
          <w:sz w:val="24"/>
          <w:szCs w:val="24"/>
        </w:rPr>
        <w:t xml:space="preserve">.   </w:t>
      </w:r>
    </w:p>
    <w:p w:rsidR="007F433F" w:rsidRDefault="007F433F" w:rsidP="007F433F">
      <w:pPr>
        <w:snapToGrid w:val="0"/>
        <w:spacing w:after="0" w:line="480" w:lineRule="auto"/>
        <w:ind w:firstLine="720"/>
        <w:jc w:val="both"/>
        <w:rPr>
          <w:rFonts w:asciiTheme="majorBidi" w:eastAsia="SimSun" w:hAnsiTheme="majorBidi" w:cstheme="majorBidi"/>
          <w:sz w:val="24"/>
          <w:szCs w:val="24"/>
          <w:lang w:val="en-GB"/>
        </w:rPr>
      </w:pPr>
      <w:r>
        <w:rPr>
          <w:rFonts w:asciiTheme="majorBidi" w:eastAsia="SimSun" w:hAnsiTheme="majorBidi" w:cstheme="majorBidi"/>
          <w:sz w:val="24"/>
          <w:szCs w:val="24"/>
          <w:lang w:val="en-GB"/>
        </w:rPr>
        <w:t>O</w:t>
      </w:r>
      <w:r w:rsidRPr="00432FE0">
        <w:rPr>
          <w:rFonts w:asciiTheme="majorBidi" w:eastAsia="SimSun" w:hAnsiTheme="majorBidi" w:cstheme="majorBidi"/>
          <w:sz w:val="24"/>
          <w:szCs w:val="24"/>
          <w:lang w:val="en-GB"/>
        </w:rPr>
        <w:t>ne of the most widely used model</w:t>
      </w:r>
      <w:r>
        <w:rPr>
          <w:rFonts w:asciiTheme="majorBidi" w:eastAsia="SimSun" w:hAnsiTheme="majorBidi" w:cstheme="majorBidi"/>
          <w:sz w:val="24"/>
          <w:szCs w:val="24"/>
          <w:lang w:val="en-GB"/>
        </w:rPr>
        <w:t>s</w:t>
      </w:r>
      <w:r w:rsidRPr="00432FE0">
        <w:rPr>
          <w:rFonts w:asciiTheme="majorBidi" w:eastAsia="SimSun" w:hAnsiTheme="majorBidi" w:cstheme="majorBidi"/>
          <w:sz w:val="24"/>
          <w:szCs w:val="24"/>
          <w:lang w:val="en-GB"/>
        </w:rPr>
        <w:t xml:space="preserve"> </w:t>
      </w:r>
      <w:r>
        <w:rPr>
          <w:rFonts w:asciiTheme="majorBidi" w:eastAsia="SimSun" w:hAnsiTheme="majorBidi" w:cstheme="majorBidi"/>
          <w:sz w:val="24"/>
          <w:szCs w:val="24"/>
          <w:lang w:val="en-GB"/>
        </w:rPr>
        <w:t xml:space="preserve">to estimate risk in the finance literature has been the </w:t>
      </w:r>
      <w:r w:rsidRPr="00432FE0">
        <w:rPr>
          <w:rFonts w:asciiTheme="majorBidi" w:eastAsia="SimSun" w:hAnsiTheme="majorBidi" w:cstheme="majorBidi"/>
          <w:sz w:val="24"/>
          <w:szCs w:val="24"/>
          <w:lang w:val="en-GB"/>
        </w:rPr>
        <w:t>CAPM of Sharpe (1964) due to its simplicity and ease to implement. The CAPM assumes the expected return on a portfolio can be explained by the</w:t>
      </w:r>
      <w:r>
        <w:rPr>
          <w:rFonts w:asciiTheme="majorBidi" w:eastAsia="SimSun" w:hAnsiTheme="majorBidi" w:cstheme="majorBidi"/>
          <w:sz w:val="24"/>
          <w:szCs w:val="24"/>
          <w:lang w:val="en-GB"/>
        </w:rPr>
        <w:t xml:space="preserve"> return on the market portfolio, and in our analysis, it can be defined as follows: </w:t>
      </w:r>
    </w:p>
    <w:p w:rsidR="007F433F" w:rsidRDefault="007F433F" w:rsidP="007F433F">
      <w:pPr>
        <w:spacing w:line="480" w:lineRule="auto"/>
        <w:jc w:val="right"/>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M</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Mt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ω</m:t>
            </m:r>
          </m:e>
          <m:sub>
            <m:r>
              <w:rPr>
                <w:rFonts w:ascii="Cambria Math" w:hAnsi="Cambria Math" w:cstheme="majorBidi"/>
                <w:sz w:val="24"/>
                <w:szCs w:val="24"/>
              </w:rPr>
              <m:t>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it</m:t>
            </m:r>
          </m:sub>
        </m:sSub>
        <m:r>
          <w:rPr>
            <w:rFonts w:ascii="Cambria Math" w:hAnsi="Cambria Math" w:cstheme="majorBidi"/>
            <w:sz w:val="24"/>
            <w:szCs w:val="24"/>
          </w:rPr>
          <m:t>,</m:t>
        </m:r>
      </m:oMath>
      <w:r>
        <w:tab/>
      </w:r>
      <w:r>
        <w:tab/>
      </w:r>
      <w:r w:rsidRPr="00307E6B">
        <w:rPr>
          <w:rFonts w:ascii="Times New Roman" w:hAnsi="Times New Roman" w:cs="Times New Roman"/>
          <w:sz w:val="24"/>
          <w:szCs w:val="24"/>
        </w:rPr>
        <w:tab/>
        <w:t xml:space="preserve">(1) </w:t>
      </w:r>
    </w:p>
    <w:p w:rsidR="007F433F" w:rsidRDefault="007F433F" w:rsidP="007F433F">
      <w:pPr>
        <w:snapToGrid w:val="0"/>
        <w:spacing w:after="0" w:line="480" w:lineRule="auto"/>
        <w:jc w:val="both"/>
        <w:rPr>
          <w:rFonts w:asciiTheme="majorBidi" w:eastAsia="SimSun" w:hAnsiTheme="majorBidi" w:cstheme="majorBidi"/>
          <w:sz w:val="24"/>
          <w:szCs w:val="24"/>
          <w:lang w:val="en-GB"/>
        </w:rPr>
      </w:pPr>
      <w:proofErr w:type="gramStart"/>
      <w:r w:rsidRPr="00307E6B">
        <w:rPr>
          <w:rFonts w:ascii="Times New Roman" w:hAnsi="Times New Roman" w:cs="Times New Roman"/>
          <w:sz w:val="24"/>
          <w:szCs w:val="24"/>
        </w:rPr>
        <w:t>where</w:t>
      </w:r>
      <w:proofErr w:type="gramEnd"/>
      <w:r>
        <w:rPr>
          <w:rFonts w:ascii="Times New Roman" w:hAnsi="Times New Roman" w:cs="Times New Roman"/>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it</m:t>
            </m:r>
          </m:sub>
        </m:sSub>
      </m:oMath>
      <w:r>
        <w:rPr>
          <w:rFonts w:ascii="Times New Roman" w:hAnsi="Times New Roman" w:cs="Times New Roman"/>
          <w:sz w:val="24"/>
          <w:szCs w:val="24"/>
        </w:rPr>
        <w:t xml:space="preserve"> is a random error term;</w:t>
      </w:r>
      <w:r w:rsidRPr="00307E6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it</m:t>
            </m:r>
          </m:sub>
        </m:sSub>
      </m:oMath>
      <w:r w:rsidRPr="00307E6B">
        <w:rPr>
          <w:rFonts w:ascii="Times New Roman" w:hAnsi="Times New Roman" w:cs="Times New Roman"/>
          <w:sz w:val="24"/>
          <w:szCs w:val="24"/>
        </w:rPr>
        <w:t xml:space="preserve"> is the return on </w:t>
      </w:r>
      <w:r>
        <w:rPr>
          <w:rFonts w:ascii="Times New Roman" w:hAnsi="Times New Roman" w:cs="Times New Roman"/>
          <w:sz w:val="24"/>
          <w:szCs w:val="24"/>
        </w:rPr>
        <w:t xml:space="preserve">a </w:t>
      </w:r>
      <w:r w:rsidRPr="00307E6B">
        <w:rPr>
          <w:rFonts w:ascii="Times New Roman" w:hAnsi="Times New Roman" w:cs="Times New Roman"/>
          <w:sz w:val="24"/>
          <w:szCs w:val="24"/>
        </w:rPr>
        <w:t>super</w:t>
      </w:r>
      <w:r>
        <w:rPr>
          <w:rFonts w:ascii="Times New Roman" w:hAnsi="Times New Roman" w:cs="Times New Roman"/>
          <w:sz w:val="24"/>
          <w:szCs w:val="24"/>
        </w:rPr>
        <w:t xml:space="preserve">annuation </w:t>
      </w:r>
      <w:r w:rsidRPr="00307E6B">
        <w:rPr>
          <w:rFonts w:ascii="Times New Roman" w:hAnsi="Times New Roman" w:cs="Times New Roman"/>
          <w:sz w:val="24"/>
          <w:szCs w:val="24"/>
        </w:rPr>
        <w:t xml:space="preserve">fund </w:t>
      </w:r>
      <w:proofErr w:type="spellStart"/>
      <w:r w:rsidRPr="00307E6B">
        <w:rPr>
          <w:rFonts w:ascii="Times New Roman" w:hAnsi="Times New Roman" w:cs="Times New Roman"/>
          <w:i/>
          <w:sz w:val="24"/>
          <w:szCs w:val="24"/>
        </w:rPr>
        <w:t>i</w:t>
      </w:r>
      <w:proofErr w:type="spellEnd"/>
      <w:r w:rsidRPr="00307E6B">
        <w:rPr>
          <w:rFonts w:ascii="Times New Roman" w:hAnsi="Times New Roman" w:cs="Times New Roman"/>
          <w:sz w:val="24"/>
          <w:szCs w:val="24"/>
        </w:rPr>
        <w:t xml:space="preserve"> at time </w:t>
      </w:r>
      <w:r w:rsidRPr="00307E6B">
        <w:rPr>
          <w:rFonts w:ascii="Times New Roman" w:hAnsi="Times New Roman" w:cs="Times New Roman"/>
          <w:i/>
          <w:sz w:val="24"/>
          <w:szCs w:val="24"/>
        </w:rPr>
        <w:t>t</w:t>
      </w:r>
      <w:r>
        <w:rPr>
          <w:rFonts w:ascii="Times New Roman" w:hAnsi="Times New Roman" w:cs="Times New Roman"/>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oMath>
      <w:r w:rsidRPr="00432FE0">
        <w:rPr>
          <w:rFonts w:asciiTheme="majorBidi" w:eastAsia="SimSun" w:hAnsiTheme="majorBidi" w:cstheme="majorBidi"/>
          <w:sz w:val="24"/>
          <w:szCs w:val="24"/>
          <w:lang w:val="en-GB"/>
        </w:rPr>
        <w:t xml:space="preserve"> is the risk</w:t>
      </w:r>
      <w:r>
        <w:rPr>
          <w:rFonts w:asciiTheme="majorBidi" w:eastAsia="SimSun" w:hAnsiTheme="majorBidi" w:cstheme="majorBidi"/>
          <w:sz w:val="24"/>
          <w:szCs w:val="24"/>
          <w:lang w:val="en-GB"/>
        </w:rPr>
        <w:t>-</w:t>
      </w:r>
      <w:r w:rsidRPr="00432FE0">
        <w:rPr>
          <w:rFonts w:asciiTheme="majorBidi" w:eastAsia="SimSun" w:hAnsiTheme="majorBidi" w:cstheme="majorBidi"/>
          <w:sz w:val="24"/>
          <w:szCs w:val="24"/>
          <w:lang w:val="en-GB"/>
        </w:rPr>
        <w:t xml:space="preserve">free return; </w:t>
      </w: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Mt</m:t>
            </m:r>
          </m:sub>
        </m:sSub>
      </m:oMath>
      <w:r w:rsidRPr="00432FE0">
        <w:rPr>
          <w:rFonts w:asciiTheme="majorBidi" w:eastAsia="SimSun" w:hAnsiTheme="majorBidi" w:cstheme="majorBidi"/>
          <w:sz w:val="24"/>
          <w:szCs w:val="24"/>
          <w:lang w:val="en-GB"/>
        </w:rPr>
        <w:t xml:space="preserve"> is the return on the market portfolio</w:t>
      </w:r>
      <w:r>
        <w:rPr>
          <w:rFonts w:asciiTheme="majorBidi" w:eastAsia="SimSun" w:hAnsiTheme="majorBidi" w:cstheme="majorBidi"/>
          <w:sz w:val="24"/>
          <w:szCs w:val="24"/>
          <w:lang w:val="en-GB"/>
        </w:rPr>
        <w:t>.</w:t>
      </w:r>
      <w:r w:rsidRPr="00307E6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oMath>
      <w:r w:rsidRPr="00307E6B">
        <w:rPr>
          <w:rFonts w:ascii="Times New Roman" w:hAnsi="Times New Roman" w:cs="Times New Roman"/>
          <w:sz w:val="24"/>
          <w:szCs w:val="24"/>
        </w:rPr>
        <w:t xml:space="preserve"> </w:t>
      </w:r>
      <w:proofErr w:type="gramStart"/>
      <w:r w:rsidRPr="00307E6B">
        <w:rPr>
          <w:rFonts w:ascii="Times New Roman" w:hAnsi="Times New Roman" w:cs="Times New Roman"/>
          <w:sz w:val="24"/>
          <w:szCs w:val="24"/>
        </w:rPr>
        <w:t>is</w:t>
      </w:r>
      <w:proofErr w:type="gramEnd"/>
      <w:r w:rsidRPr="00307E6B">
        <w:rPr>
          <w:rFonts w:ascii="Times New Roman" w:hAnsi="Times New Roman" w:cs="Times New Roman"/>
          <w:sz w:val="24"/>
          <w:szCs w:val="24"/>
        </w:rPr>
        <w:t xml:space="preserve"> a vector of time-varying category variables which captures the information of economic regimes (crisis and non-crisis) and the categories of investment options defined </w:t>
      </w:r>
      <w:r>
        <w:rPr>
          <w:rFonts w:ascii="Times New Roman" w:hAnsi="Times New Roman" w:cs="Times New Roman"/>
          <w:sz w:val="24"/>
          <w:szCs w:val="24"/>
        </w:rPr>
        <w:t>in previous section</w:t>
      </w:r>
      <w:r w:rsidRPr="00307E6B">
        <w:rPr>
          <w:rFonts w:ascii="Times New Roman" w:hAnsi="Times New Roman" w:cs="Times New Roman"/>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ω</m:t>
            </m:r>
          </m:e>
          <m:sub>
            <m:r>
              <w:rPr>
                <w:rFonts w:ascii="Cambria Math" w:hAnsi="Cambria Math" w:cstheme="majorBidi"/>
                <w:sz w:val="24"/>
                <w:szCs w:val="24"/>
              </w:rPr>
              <m:t>i</m:t>
            </m:r>
          </m:sub>
        </m:sSub>
      </m:oMath>
      <w:r w:rsidRPr="00307E6B">
        <w:rPr>
          <w:rFonts w:ascii="Times New Roman" w:hAnsi="Times New Roman" w:cs="Times New Roman"/>
          <w:sz w:val="24"/>
          <w:szCs w:val="24"/>
        </w:rPr>
        <w:t xml:space="preserve"> </w:t>
      </w:r>
      <w:proofErr w:type="gramStart"/>
      <w:r w:rsidRPr="00307E6B">
        <w:rPr>
          <w:rFonts w:ascii="Times New Roman" w:hAnsi="Times New Roman" w:cs="Times New Roman"/>
          <w:sz w:val="24"/>
          <w:szCs w:val="24"/>
        </w:rPr>
        <w:t>denotes</w:t>
      </w:r>
      <w:proofErr w:type="gramEnd"/>
      <w:r>
        <w:rPr>
          <w:rFonts w:ascii="Times New Roman" w:hAnsi="Times New Roman" w:cs="Times New Roman"/>
          <w:sz w:val="24"/>
          <w:szCs w:val="24"/>
        </w:rPr>
        <w:t xml:space="preserve"> unobservable</w:t>
      </w:r>
      <w:r w:rsidRPr="00307E6B">
        <w:rPr>
          <w:rFonts w:ascii="Times New Roman" w:hAnsi="Times New Roman" w:cs="Times New Roman"/>
          <w:sz w:val="24"/>
          <w:szCs w:val="24"/>
        </w:rPr>
        <w:t xml:space="preserve"> fix</w:t>
      </w:r>
      <w:r>
        <w:rPr>
          <w:rFonts w:ascii="Times New Roman" w:hAnsi="Times New Roman" w:cs="Times New Roman"/>
          <w:sz w:val="24"/>
          <w:szCs w:val="24"/>
        </w:rPr>
        <w:t>ed</w:t>
      </w:r>
      <w:r w:rsidRPr="00307E6B">
        <w:rPr>
          <w:rFonts w:ascii="Times New Roman" w:hAnsi="Times New Roman" w:cs="Times New Roman"/>
          <w:sz w:val="24"/>
          <w:szCs w:val="24"/>
        </w:rPr>
        <w:t xml:space="preserve"> effects</w:t>
      </w:r>
      <w:r>
        <w:rPr>
          <w:rFonts w:ascii="Times New Roman" w:hAnsi="Times New Roman" w:cs="Times New Roman"/>
          <w:sz w:val="24"/>
          <w:szCs w:val="24"/>
        </w:rPr>
        <w:t xml:space="preserve"> of superannuation fund </w:t>
      </w:r>
      <w:proofErr w:type="spellStart"/>
      <w:r w:rsidRPr="00307E6B">
        <w:rPr>
          <w:rFonts w:ascii="Times New Roman" w:hAnsi="Times New Roman" w:cs="Times New Roman"/>
          <w:i/>
          <w:sz w:val="24"/>
          <w:szCs w:val="24"/>
        </w:rPr>
        <w:t>i</w:t>
      </w:r>
      <w:proofErr w:type="spellEnd"/>
      <w:r w:rsidRPr="00307E6B">
        <w:rPr>
          <w:rFonts w:ascii="Times New Roman" w:hAnsi="Times New Roman" w:cs="Times New Roman"/>
          <w:sz w:val="24"/>
          <w:szCs w:val="24"/>
        </w:rPr>
        <w:t xml:space="preserve"> </w:t>
      </w:r>
      <w:r>
        <w:rPr>
          <w:rFonts w:ascii="Times New Roman" w:hAnsi="Times New Roman" w:cs="Times New Roman"/>
          <w:sz w:val="24"/>
          <w:szCs w:val="24"/>
        </w:rPr>
        <w:t>that</w:t>
      </w:r>
      <w:r w:rsidRPr="00307E6B">
        <w:rPr>
          <w:rFonts w:ascii="Times New Roman" w:hAnsi="Times New Roman" w:cs="Times New Roman"/>
          <w:sz w:val="24"/>
          <w:szCs w:val="24"/>
        </w:rPr>
        <w:t xml:space="preserve"> can be arbitrarily correlated with any other variables. </w:t>
      </w:r>
      <w:r>
        <w:rPr>
          <w:rFonts w:ascii="Times New Roman" w:hAnsi="Times New Roman" w:cs="Times New Roman"/>
          <w:sz w:val="24"/>
          <w:szCs w:val="24"/>
        </w:rPr>
        <w:t>In this modelling setup</w:t>
      </w:r>
      <w:proofErr w:type="gramStart"/>
      <w:r>
        <w:rPr>
          <w:rFonts w:ascii="Times New Roman" w:hAnsi="Times New Roman" w:cs="Times New Roman"/>
          <w:sz w:val="24"/>
          <w:szCs w:val="24"/>
        </w:rPr>
        <w:t xml:space="preserve">,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M</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oMath>
      <w:r>
        <w:rPr>
          <w:rFonts w:ascii="Times New Roman" w:hAnsi="Times New Roman" w:cs="Times New Roman"/>
          <w:sz w:val="24"/>
          <w:szCs w:val="24"/>
        </w:rPr>
        <w:t xml:space="preserve">, which represents the sensitivity (or riskiness) of investment </w:t>
      </w:r>
      <w:r>
        <w:rPr>
          <w:rFonts w:ascii="Times New Roman" w:hAnsi="Times New Roman" w:cs="Times New Roman"/>
          <w:sz w:val="24"/>
          <w:szCs w:val="24"/>
        </w:rPr>
        <w:lastRenderedPageBreak/>
        <w:t xml:space="preserve">options to performance of market portfolio, is a function of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it</m:t>
            </m:r>
          </m:sub>
        </m:sSub>
      </m:oMath>
      <w:r>
        <w:rPr>
          <w:rFonts w:ascii="Times New Roman" w:hAnsi="Times New Roman" w:cs="Times New Roman"/>
          <w:sz w:val="24"/>
          <w:szCs w:val="24"/>
        </w:rPr>
        <w:t xml:space="preserve">, that is, the risk-return relationship is allowed to be different across each investment option and crisis/non-crisis period.   </w:t>
      </w:r>
    </w:p>
    <w:p w:rsidR="007F433F" w:rsidRDefault="007F433F" w:rsidP="007F433F">
      <w:pPr>
        <w:snapToGrid w:val="0"/>
        <w:spacing w:after="0" w:line="480" w:lineRule="auto"/>
        <w:ind w:firstLine="709"/>
        <w:jc w:val="both"/>
        <w:rPr>
          <w:rFonts w:asciiTheme="majorBidi" w:eastAsia="SimSun" w:hAnsiTheme="majorBidi" w:cstheme="majorBidi"/>
          <w:sz w:val="24"/>
          <w:szCs w:val="24"/>
          <w:lang w:val="en-GB"/>
        </w:rPr>
      </w:pPr>
      <w:r w:rsidRPr="003F17FB">
        <w:rPr>
          <w:rFonts w:asciiTheme="majorBidi" w:eastAsia="SimSun" w:hAnsiTheme="majorBidi" w:cstheme="majorBidi"/>
          <w:sz w:val="24"/>
          <w:szCs w:val="24"/>
          <w:lang w:val="en-GB"/>
        </w:rPr>
        <w:t xml:space="preserve">According to the </w:t>
      </w:r>
      <w:r>
        <w:rPr>
          <w:rFonts w:asciiTheme="majorBidi" w:eastAsia="SimSun" w:hAnsiTheme="majorBidi" w:cstheme="majorBidi"/>
          <w:sz w:val="24"/>
          <w:szCs w:val="24"/>
          <w:lang w:val="en-GB"/>
        </w:rPr>
        <w:t>CAPM</w:t>
      </w:r>
      <w:r w:rsidRPr="003F17FB">
        <w:rPr>
          <w:rFonts w:asciiTheme="majorBidi" w:eastAsia="SimSun" w:hAnsiTheme="majorBidi" w:cstheme="majorBidi"/>
          <w:sz w:val="24"/>
          <w:szCs w:val="24"/>
          <w:lang w:val="en-GB"/>
        </w:rPr>
        <w:t xml:space="preserve">, investors only price market risk. </w:t>
      </w:r>
      <w:proofErr w:type="spellStart"/>
      <w:r w:rsidRPr="003F17FB">
        <w:rPr>
          <w:rFonts w:asciiTheme="majorBidi" w:eastAsia="SimSun" w:hAnsiTheme="majorBidi" w:cstheme="majorBidi"/>
          <w:sz w:val="24"/>
          <w:szCs w:val="24"/>
          <w:lang w:val="en-GB"/>
        </w:rPr>
        <w:t>Fama</w:t>
      </w:r>
      <w:proofErr w:type="spellEnd"/>
      <w:r w:rsidRPr="003F17FB">
        <w:rPr>
          <w:rFonts w:asciiTheme="majorBidi" w:eastAsia="SimSun" w:hAnsiTheme="majorBidi" w:cstheme="majorBidi"/>
          <w:sz w:val="24"/>
          <w:szCs w:val="24"/>
          <w:lang w:val="en-GB"/>
        </w:rPr>
        <w:t xml:space="preserve"> and French (1993, 1996) find that the non-market risk factors</w:t>
      </w:r>
      <w:r>
        <w:rPr>
          <w:rFonts w:asciiTheme="majorBidi" w:eastAsia="SimSun" w:hAnsiTheme="majorBidi" w:cstheme="majorBidi"/>
          <w:sz w:val="24"/>
          <w:szCs w:val="24"/>
          <w:lang w:val="en-GB"/>
        </w:rPr>
        <w:t xml:space="preserve"> including the size factor,</w:t>
      </w:r>
      <w:r w:rsidRPr="003F17FB">
        <w:rPr>
          <w:rFonts w:asciiTheme="majorBidi" w:eastAsia="SimSun" w:hAnsiTheme="majorBidi" w:cstheme="majorBidi"/>
          <w:sz w:val="24"/>
          <w:szCs w:val="24"/>
          <w:lang w:val="en-GB"/>
        </w:rPr>
        <w:t xml:space="preserve"> </w:t>
      </w:r>
      <w:r w:rsidRPr="00307E6B">
        <w:rPr>
          <w:rFonts w:asciiTheme="majorBidi" w:eastAsia="SimSun" w:hAnsiTheme="majorBidi" w:cstheme="majorBidi"/>
          <w:i/>
          <w:sz w:val="24"/>
          <w:szCs w:val="24"/>
          <w:lang w:val="en-GB"/>
        </w:rPr>
        <w:t>SMB</w:t>
      </w:r>
      <w:r w:rsidRPr="003F17FB">
        <w:rPr>
          <w:rFonts w:asciiTheme="majorBidi" w:eastAsia="SimSun" w:hAnsiTheme="majorBidi" w:cstheme="majorBidi"/>
          <w:sz w:val="24"/>
          <w:szCs w:val="24"/>
          <w:lang w:val="en-GB"/>
        </w:rPr>
        <w:t xml:space="preserve"> (the return on a portfolio of small stocks less the return on a portfolio of large stocks) and</w:t>
      </w:r>
      <w:r>
        <w:rPr>
          <w:rFonts w:asciiTheme="majorBidi" w:eastAsia="SimSun" w:hAnsiTheme="majorBidi" w:cstheme="majorBidi"/>
          <w:sz w:val="24"/>
          <w:szCs w:val="24"/>
          <w:lang w:val="en-GB"/>
        </w:rPr>
        <w:t xml:space="preserve"> the value factor,</w:t>
      </w:r>
      <w:r w:rsidRPr="003F17FB">
        <w:rPr>
          <w:rFonts w:asciiTheme="majorBidi" w:eastAsia="SimSun" w:hAnsiTheme="majorBidi" w:cstheme="majorBidi"/>
          <w:sz w:val="24"/>
          <w:szCs w:val="24"/>
          <w:lang w:val="en-GB"/>
        </w:rPr>
        <w:t xml:space="preserve"> </w:t>
      </w:r>
      <w:r w:rsidRPr="00307E6B">
        <w:rPr>
          <w:rFonts w:asciiTheme="majorBidi" w:eastAsia="SimSun" w:hAnsiTheme="majorBidi" w:cstheme="majorBidi"/>
          <w:i/>
          <w:sz w:val="24"/>
          <w:szCs w:val="24"/>
          <w:lang w:val="en-GB"/>
        </w:rPr>
        <w:t>HML</w:t>
      </w:r>
      <w:r w:rsidRPr="003F17FB">
        <w:rPr>
          <w:rFonts w:asciiTheme="majorBidi" w:eastAsia="SimSun" w:hAnsiTheme="majorBidi" w:cstheme="majorBidi"/>
          <w:sz w:val="24"/>
          <w:szCs w:val="24"/>
          <w:lang w:val="en-GB"/>
        </w:rPr>
        <w:t xml:space="preserve"> (the return on a portfolio of high book-to-market-value</w:t>
      </w:r>
      <w:r>
        <w:rPr>
          <w:rFonts w:asciiTheme="majorBidi" w:eastAsia="SimSun" w:hAnsiTheme="majorBidi" w:cstheme="majorBidi"/>
          <w:sz w:val="24"/>
          <w:szCs w:val="24"/>
          <w:lang w:val="en-GB"/>
        </w:rPr>
        <w:t xml:space="preserve"> </w:t>
      </w:r>
      <w:r w:rsidRPr="003F17FB">
        <w:rPr>
          <w:rFonts w:asciiTheme="majorBidi" w:eastAsia="SimSun" w:hAnsiTheme="majorBidi" w:cstheme="majorBidi"/>
          <w:sz w:val="24"/>
          <w:szCs w:val="24"/>
          <w:lang w:val="en-GB"/>
        </w:rPr>
        <w:t xml:space="preserve">stocks less the return on a portfolio of low book-to-market-value stocks) are statistically important in explaining the cross-section of equity returns. </w:t>
      </w:r>
      <w:r>
        <w:rPr>
          <w:rFonts w:asciiTheme="majorBidi" w:eastAsia="SimSun" w:hAnsiTheme="majorBidi" w:cstheme="majorBidi"/>
          <w:sz w:val="24"/>
          <w:szCs w:val="24"/>
          <w:lang w:val="en-GB"/>
        </w:rPr>
        <w:t xml:space="preserve">We therefore estimate the riskiness of investment options, as measured by beta, using the FF three factor model which is specified as follows: </w:t>
      </w:r>
    </w:p>
    <w:p w:rsidR="007F433F" w:rsidRDefault="007F433F" w:rsidP="007F433F">
      <w:pPr>
        <w:spacing w:line="480" w:lineRule="auto"/>
        <w:jc w:val="right"/>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M</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Mt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SMB</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sSub>
          <m:sSubPr>
            <m:ctrlPr>
              <w:rPr>
                <w:rFonts w:ascii="Cambria Math" w:hAnsi="Cambria Math" w:cstheme="majorBidi"/>
                <w:i/>
                <w:sz w:val="24"/>
                <w:szCs w:val="24"/>
              </w:rPr>
            </m:ctrlPr>
          </m:sSubPr>
          <m:e>
            <m:r>
              <w:rPr>
                <w:rFonts w:ascii="Cambria Math" w:hAnsi="Cambria Math" w:cstheme="majorBidi"/>
                <w:sz w:val="24"/>
                <w:szCs w:val="24"/>
              </w:rPr>
              <m:t>SMB</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HML</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sSub>
          <m:sSubPr>
            <m:ctrlPr>
              <w:rPr>
                <w:rFonts w:ascii="Cambria Math" w:hAnsi="Cambria Math" w:cstheme="majorBidi"/>
                <w:i/>
                <w:sz w:val="24"/>
                <w:szCs w:val="24"/>
              </w:rPr>
            </m:ctrlPr>
          </m:sSubPr>
          <m:e>
            <m:r>
              <w:rPr>
                <w:rFonts w:ascii="Cambria Math" w:hAnsi="Cambria Math" w:cstheme="majorBidi"/>
                <w:sz w:val="24"/>
                <w:szCs w:val="24"/>
              </w:rPr>
              <m:t>HML</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ω</m:t>
            </m:r>
          </m:e>
          <m:sub>
            <m:r>
              <w:rPr>
                <w:rFonts w:ascii="Cambria Math" w:hAnsi="Cambria Math" w:cstheme="majorBidi"/>
                <w:sz w:val="24"/>
                <w:szCs w:val="24"/>
              </w:rPr>
              <m:t>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it</m:t>
            </m:r>
          </m:sub>
        </m:sSub>
      </m:oMath>
      <w:r>
        <w:tab/>
      </w:r>
      <w:r w:rsidRPr="00307E6B">
        <w:rPr>
          <w:rFonts w:ascii="Times New Roman" w:hAnsi="Times New Roman" w:cs="Times New Roman"/>
          <w:sz w:val="24"/>
          <w:szCs w:val="24"/>
        </w:rPr>
        <w:t>(2)</w:t>
      </w:r>
      <w:r>
        <w:t xml:space="preserve"> </w:t>
      </w:r>
    </w:p>
    <w:p w:rsidR="007F433F" w:rsidRDefault="007F433F" w:rsidP="007F433F">
      <w:pPr>
        <w:snapToGrid w:val="0"/>
        <w:spacing w:after="0" w:line="480" w:lineRule="auto"/>
        <w:jc w:val="both"/>
        <w:rPr>
          <w:rFonts w:asciiTheme="majorBidi" w:eastAsia="SimSun" w:hAnsiTheme="majorBidi" w:cstheme="majorBidi"/>
          <w:sz w:val="24"/>
          <w:szCs w:val="24"/>
          <w:lang w:val="en-GB"/>
        </w:rPr>
      </w:pPr>
      <w:r w:rsidRPr="007C3A1A">
        <w:rPr>
          <w:rFonts w:asciiTheme="majorBidi" w:eastAsia="SimSun" w:hAnsiTheme="majorBidi" w:cstheme="majorBidi"/>
          <w:sz w:val="24"/>
          <w:szCs w:val="24"/>
          <w:lang w:val="en-GB"/>
        </w:rPr>
        <w:t>This model</w:t>
      </w:r>
      <w:r>
        <w:rPr>
          <w:rFonts w:asciiTheme="majorBidi" w:eastAsia="SimSun" w:hAnsiTheme="majorBidi" w:cstheme="majorBidi"/>
          <w:sz w:val="24"/>
          <w:szCs w:val="24"/>
          <w:lang w:val="en-GB"/>
        </w:rPr>
        <w:t xml:space="preserve"> specification</w:t>
      </w:r>
      <w:r w:rsidRPr="007C3A1A">
        <w:rPr>
          <w:rFonts w:asciiTheme="majorBidi" w:eastAsia="SimSun" w:hAnsiTheme="majorBidi" w:cstheme="majorBidi"/>
          <w:sz w:val="24"/>
          <w:szCs w:val="24"/>
          <w:lang w:val="en-GB"/>
        </w:rPr>
        <w:t xml:space="preserve"> aims to capture </w:t>
      </w:r>
      <w:r>
        <w:rPr>
          <w:rFonts w:asciiTheme="majorBidi" w:eastAsia="SimSun" w:hAnsiTheme="majorBidi" w:cstheme="majorBidi"/>
          <w:sz w:val="24"/>
          <w:szCs w:val="24"/>
          <w:lang w:val="en-GB"/>
        </w:rPr>
        <w:t>a varying</w:t>
      </w:r>
      <w:r w:rsidRPr="007C3A1A">
        <w:rPr>
          <w:rFonts w:asciiTheme="majorBidi" w:eastAsia="SimSun" w:hAnsiTheme="majorBidi" w:cstheme="majorBidi"/>
          <w:sz w:val="24"/>
          <w:szCs w:val="24"/>
          <w:lang w:val="en-GB"/>
        </w:rPr>
        <w:t xml:space="preserve"> relation</w:t>
      </w:r>
      <w:r>
        <w:rPr>
          <w:rFonts w:asciiTheme="majorBidi" w:eastAsia="SimSun" w:hAnsiTheme="majorBidi" w:cstheme="majorBidi"/>
          <w:sz w:val="24"/>
          <w:szCs w:val="24"/>
          <w:lang w:val="en-GB"/>
        </w:rPr>
        <w:t>ship</w:t>
      </w:r>
      <w:r w:rsidRPr="007C3A1A">
        <w:rPr>
          <w:rFonts w:asciiTheme="majorBidi" w:eastAsia="SimSun" w:hAnsiTheme="majorBidi" w:cstheme="majorBidi"/>
          <w:sz w:val="24"/>
          <w:szCs w:val="24"/>
          <w:lang w:val="en-GB"/>
        </w:rPr>
        <w:t xml:space="preserve"> between portfolio returns and market portfolio return</w:t>
      </w:r>
      <w:r>
        <w:rPr>
          <w:rFonts w:asciiTheme="majorBidi" w:eastAsia="SimSun" w:hAnsiTheme="majorBidi" w:cstheme="majorBidi"/>
          <w:sz w:val="24"/>
          <w:szCs w:val="24"/>
          <w:lang w:val="en-GB"/>
        </w:rPr>
        <w:t xml:space="preserve"> (or risk level of each investment option)</w:t>
      </w:r>
      <w:r w:rsidRPr="007C3A1A">
        <w:rPr>
          <w:rFonts w:asciiTheme="majorBidi" w:eastAsia="SimSun" w:hAnsiTheme="majorBidi" w:cstheme="majorBidi"/>
          <w:sz w:val="24"/>
          <w:szCs w:val="24"/>
          <w:lang w:val="en-GB"/>
        </w:rPr>
        <w:t>,</w:t>
      </w:r>
      <w:r>
        <w:rPr>
          <w:rFonts w:asciiTheme="majorBidi" w:eastAsia="SimSun" w:hAnsiTheme="majorBidi" w:cstheme="majorBidi"/>
          <w:sz w:val="24"/>
          <w:szCs w:val="24"/>
          <w:lang w:val="en-GB"/>
        </w:rPr>
        <w:t xml:space="preserve"> a varying</w:t>
      </w:r>
      <w:r w:rsidRPr="007C3A1A">
        <w:rPr>
          <w:rFonts w:asciiTheme="majorBidi" w:eastAsia="SimSun" w:hAnsiTheme="majorBidi" w:cstheme="majorBidi"/>
          <w:sz w:val="24"/>
          <w:szCs w:val="24"/>
          <w:lang w:val="en-GB"/>
        </w:rPr>
        <w:t xml:space="preserve"> relation</w:t>
      </w:r>
      <w:r>
        <w:rPr>
          <w:rFonts w:asciiTheme="majorBidi" w:eastAsia="SimSun" w:hAnsiTheme="majorBidi" w:cstheme="majorBidi"/>
          <w:sz w:val="24"/>
          <w:szCs w:val="24"/>
          <w:lang w:val="en-GB"/>
        </w:rPr>
        <w:t>ship</w:t>
      </w:r>
      <w:r w:rsidRPr="007C3A1A">
        <w:rPr>
          <w:rFonts w:asciiTheme="majorBidi" w:eastAsia="SimSun" w:hAnsiTheme="majorBidi" w:cstheme="majorBidi"/>
          <w:sz w:val="24"/>
          <w:szCs w:val="24"/>
          <w:lang w:val="en-GB"/>
        </w:rPr>
        <w:t xml:space="preserve"> between portfolio returns and </w:t>
      </w:r>
      <w:r w:rsidRPr="00E57DB6">
        <w:rPr>
          <w:rFonts w:asciiTheme="majorBidi" w:eastAsia="SimSun" w:hAnsiTheme="majorBidi" w:cstheme="majorBidi"/>
          <w:i/>
          <w:sz w:val="24"/>
          <w:szCs w:val="24"/>
          <w:lang w:val="en-GB"/>
        </w:rPr>
        <w:t>SMB</w:t>
      </w:r>
      <w:r>
        <w:rPr>
          <w:rFonts w:asciiTheme="majorBidi" w:eastAsia="SimSun" w:hAnsiTheme="majorBidi" w:cstheme="majorBidi"/>
          <w:sz w:val="24"/>
          <w:szCs w:val="24"/>
          <w:lang w:val="en-GB"/>
        </w:rPr>
        <w:t xml:space="preserve"> factor</w:t>
      </w:r>
      <w:r w:rsidRPr="007C3A1A">
        <w:rPr>
          <w:rFonts w:asciiTheme="majorBidi" w:eastAsia="SimSun" w:hAnsiTheme="majorBidi" w:cstheme="majorBidi"/>
          <w:sz w:val="24"/>
          <w:szCs w:val="24"/>
          <w:lang w:val="en-GB"/>
        </w:rPr>
        <w:t>, and</w:t>
      </w:r>
      <w:r>
        <w:rPr>
          <w:rFonts w:asciiTheme="majorBidi" w:eastAsia="SimSun" w:hAnsiTheme="majorBidi" w:cstheme="majorBidi"/>
          <w:sz w:val="24"/>
          <w:szCs w:val="24"/>
          <w:lang w:val="en-GB"/>
        </w:rPr>
        <w:t xml:space="preserve"> a</w:t>
      </w:r>
      <w:r w:rsidRPr="007C3A1A">
        <w:rPr>
          <w:rFonts w:asciiTheme="majorBidi" w:eastAsia="SimSun" w:hAnsiTheme="majorBidi" w:cstheme="majorBidi"/>
          <w:sz w:val="24"/>
          <w:szCs w:val="24"/>
          <w:lang w:val="en-GB"/>
        </w:rPr>
        <w:t xml:space="preserve"> </w:t>
      </w:r>
      <w:r>
        <w:rPr>
          <w:rFonts w:asciiTheme="majorBidi" w:eastAsia="SimSun" w:hAnsiTheme="majorBidi" w:cstheme="majorBidi"/>
          <w:sz w:val="24"/>
          <w:szCs w:val="24"/>
          <w:lang w:val="en-GB"/>
        </w:rPr>
        <w:t xml:space="preserve">varying </w:t>
      </w:r>
      <w:r w:rsidRPr="007C3A1A">
        <w:rPr>
          <w:rFonts w:asciiTheme="majorBidi" w:eastAsia="SimSun" w:hAnsiTheme="majorBidi" w:cstheme="majorBidi"/>
          <w:sz w:val="24"/>
          <w:szCs w:val="24"/>
          <w:lang w:val="en-GB"/>
        </w:rPr>
        <w:t>relation</w:t>
      </w:r>
      <w:r>
        <w:rPr>
          <w:rFonts w:asciiTheme="majorBidi" w:eastAsia="SimSun" w:hAnsiTheme="majorBidi" w:cstheme="majorBidi"/>
          <w:sz w:val="24"/>
          <w:szCs w:val="24"/>
          <w:lang w:val="en-GB"/>
        </w:rPr>
        <w:t>ship</w:t>
      </w:r>
      <w:r w:rsidRPr="007C3A1A">
        <w:rPr>
          <w:rFonts w:asciiTheme="majorBidi" w:eastAsia="SimSun" w:hAnsiTheme="majorBidi" w:cstheme="majorBidi"/>
          <w:sz w:val="24"/>
          <w:szCs w:val="24"/>
          <w:lang w:val="en-GB"/>
        </w:rPr>
        <w:t xml:space="preserve"> between portfolio returns and </w:t>
      </w:r>
      <w:r w:rsidRPr="00E57DB6">
        <w:rPr>
          <w:rFonts w:asciiTheme="majorBidi" w:eastAsia="SimSun" w:hAnsiTheme="majorBidi" w:cstheme="majorBidi"/>
          <w:i/>
          <w:sz w:val="24"/>
          <w:szCs w:val="24"/>
          <w:lang w:val="en-GB"/>
        </w:rPr>
        <w:t>HML</w:t>
      </w:r>
      <w:r>
        <w:rPr>
          <w:rFonts w:asciiTheme="majorBidi" w:eastAsia="SimSun" w:hAnsiTheme="majorBidi" w:cstheme="majorBidi"/>
          <w:sz w:val="24"/>
          <w:szCs w:val="24"/>
          <w:lang w:val="en-GB"/>
        </w:rPr>
        <w:t xml:space="preserve"> factor</w:t>
      </w:r>
      <w:r w:rsidRPr="007C3A1A">
        <w:rPr>
          <w:rFonts w:asciiTheme="majorBidi" w:eastAsia="SimSun" w:hAnsiTheme="majorBidi" w:cstheme="majorBidi"/>
          <w:sz w:val="24"/>
          <w:szCs w:val="24"/>
          <w:lang w:val="en-GB"/>
        </w:rPr>
        <w:t xml:space="preserve"> by measuring the </w:t>
      </w:r>
      <w:proofErr w:type="gramStart"/>
      <w:r w:rsidRPr="007C3A1A">
        <w:rPr>
          <w:rFonts w:asciiTheme="majorBidi" w:eastAsia="SimSun" w:hAnsiTheme="majorBidi" w:cstheme="majorBidi"/>
          <w:sz w:val="24"/>
          <w:szCs w:val="24"/>
          <w:lang w:val="en-GB"/>
        </w:rPr>
        <w:t xml:space="preserve">coefficients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M</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oMath>
      <w:r w:rsidRPr="007C3A1A">
        <w:rPr>
          <w:rFonts w:asciiTheme="majorBidi" w:eastAsia="SimSun" w:hAnsiTheme="majorBidi" w:cstheme="majorBidi"/>
          <w:sz w:val="24"/>
          <w:szCs w:val="24"/>
          <w:lang w:val="en-GB"/>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SMB</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oMath>
      <w:r w:rsidRPr="007C3A1A">
        <w:rPr>
          <w:rFonts w:asciiTheme="majorBidi" w:eastAsia="SimSun" w:hAnsiTheme="majorBidi" w:cstheme="majorBidi"/>
          <w:sz w:val="24"/>
          <w:szCs w:val="24"/>
          <w:lang w:val="en-GB"/>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HML</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oMath>
      <w:r w:rsidRPr="007C3A1A">
        <w:rPr>
          <w:rFonts w:asciiTheme="majorBidi" w:eastAsia="SimSun" w:hAnsiTheme="majorBidi" w:cstheme="majorBidi"/>
          <w:sz w:val="24"/>
          <w:szCs w:val="24"/>
          <w:lang w:val="en-GB"/>
        </w:rPr>
        <w:t xml:space="preserve"> </w:t>
      </w:r>
      <w:r>
        <w:rPr>
          <w:rFonts w:asciiTheme="majorBidi" w:eastAsia="SimSun" w:hAnsiTheme="majorBidi" w:cstheme="majorBidi"/>
          <w:sz w:val="24"/>
          <w:szCs w:val="24"/>
          <w:lang w:val="en-GB"/>
        </w:rPr>
        <w:t xml:space="preserve">respectively </w:t>
      </w:r>
      <w:r w:rsidRPr="007C3A1A">
        <w:rPr>
          <w:rFonts w:asciiTheme="majorBidi" w:eastAsia="SimSun" w:hAnsiTheme="majorBidi" w:cstheme="majorBidi"/>
          <w:sz w:val="24"/>
          <w:szCs w:val="24"/>
          <w:lang w:val="en-GB"/>
        </w:rPr>
        <w:t>in</w:t>
      </w:r>
      <w:r>
        <w:rPr>
          <w:rFonts w:asciiTheme="majorBidi" w:eastAsia="SimSun" w:hAnsiTheme="majorBidi" w:cstheme="majorBidi"/>
          <w:sz w:val="24"/>
          <w:szCs w:val="24"/>
          <w:lang w:val="en-GB"/>
        </w:rPr>
        <w:t xml:space="preserve"> equation</w:t>
      </w:r>
      <w:r w:rsidRPr="007C3A1A">
        <w:rPr>
          <w:rFonts w:asciiTheme="majorBidi" w:eastAsia="SimSun" w:hAnsiTheme="majorBidi" w:cstheme="majorBidi"/>
          <w:sz w:val="24"/>
          <w:szCs w:val="24"/>
          <w:lang w:val="en-GB"/>
        </w:rPr>
        <w:t xml:space="preserve"> (2).</w:t>
      </w:r>
      <w:r>
        <w:rPr>
          <w:rFonts w:asciiTheme="majorBidi" w:eastAsia="SimSun" w:hAnsiTheme="majorBidi" w:cstheme="majorBidi"/>
          <w:sz w:val="24"/>
          <w:szCs w:val="24"/>
          <w:lang w:val="en-GB"/>
        </w:rPr>
        <w:t xml:space="preserve"> </w:t>
      </w:r>
    </w:p>
    <w:p w:rsidR="007F433F" w:rsidRDefault="007F433F" w:rsidP="007F433F">
      <w:pPr>
        <w:snapToGrid w:val="0"/>
        <w:spacing w:line="480" w:lineRule="auto"/>
        <w:ind w:firstLine="709"/>
        <w:jc w:val="both"/>
        <w:rPr>
          <w:rFonts w:asciiTheme="majorBidi" w:eastAsia="Calibri" w:hAnsiTheme="majorBidi" w:cstheme="majorBidi"/>
          <w:sz w:val="24"/>
          <w:szCs w:val="24"/>
          <w:lang w:eastAsia="en-AU"/>
        </w:rPr>
      </w:pPr>
      <w:proofErr w:type="spellStart"/>
      <w:r w:rsidRPr="00DB61D5">
        <w:rPr>
          <w:rStyle w:val="articlesmainbody1"/>
          <w:rFonts w:asciiTheme="majorBidi" w:hAnsiTheme="majorBidi" w:cstheme="majorBidi"/>
          <w:sz w:val="24"/>
          <w:szCs w:val="24"/>
          <w:lang w:val="en-CA"/>
        </w:rPr>
        <w:t>Carhart</w:t>
      </w:r>
      <w:proofErr w:type="spellEnd"/>
      <w:r w:rsidRPr="00DB61D5">
        <w:rPr>
          <w:rStyle w:val="articlesmainbody1"/>
          <w:rFonts w:asciiTheme="majorBidi" w:hAnsiTheme="majorBidi" w:cstheme="majorBidi"/>
          <w:sz w:val="24"/>
          <w:szCs w:val="24"/>
          <w:lang w:val="en-CA"/>
        </w:rPr>
        <w:t xml:space="preserve"> (1997) </w:t>
      </w:r>
      <w:r>
        <w:rPr>
          <w:rStyle w:val="articlesmainbody1"/>
          <w:rFonts w:asciiTheme="majorBidi" w:hAnsiTheme="majorBidi" w:cstheme="majorBidi"/>
          <w:sz w:val="24"/>
          <w:szCs w:val="24"/>
          <w:lang w:val="en-CA"/>
        </w:rPr>
        <w:t xml:space="preserve">extended </w:t>
      </w:r>
      <w:r w:rsidRPr="00DB61D5">
        <w:rPr>
          <w:rStyle w:val="articlesmainbody1"/>
          <w:rFonts w:asciiTheme="majorBidi" w:hAnsiTheme="majorBidi" w:cstheme="majorBidi"/>
          <w:sz w:val="24"/>
          <w:szCs w:val="24"/>
          <w:lang w:val="en-CA"/>
        </w:rPr>
        <w:t>the</w:t>
      </w:r>
      <w:r>
        <w:rPr>
          <w:rStyle w:val="articlesmainbody1"/>
          <w:rFonts w:asciiTheme="majorBidi" w:hAnsiTheme="majorBidi" w:cstheme="majorBidi"/>
          <w:sz w:val="24"/>
          <w:szCs w:val="24"/>
          <w:lang w:val="en-CA"/>
        </w:rPr>
        <w:t xml:space="preserve"> FF</w:t>
      </w:r>
      <w:r w:rsidRPr="00DB61D5">
        <w:rPr>
          <w:rStyle w:val="articlesmainbody1"/>
          <w:rFonts w:asciiTheme="majorBidi" w:hAnsiTheme="majorBidi" w:cstheme="majorBidi"/>
          <w:sz w:val="24"/>
          <w:szCs w:val="24"/>
          <w:lang w:val="en-CA"/>
        </w:rPr>
        <w:t xml:space="preserve"> three factor model </w:t>
      </w:r>
      <w:r>
        <w:rPr>
          <w:rStyle w:val="articlesmainbody1"/>
          <w:rFonts w:asciiTheme="majorBidi" w:hAnsiTheme="majorBidi" w:cstheme="majorBidi"/>
          <w:sz w:val="24"/>
          <w:szCs w:val="24"/>
          <w:lang w:val="en-CA"/>
        </w:rPr>
        <w:t xml:space="preserve">to include the momentum factor. This aims to further </w:t>
      </w:r>
      <w:r w:rsidRPr="00DB61D5">
        <w:rPr>
          <w:rFonts w:asciiTheme="majorBidi" w:eastAsia="Calibri" w:hAnsiTheme="majorBidi" w:cstheme="majorBidi"/>
          <w:sz w:val="24"/>
          <w:szCs w:val="24"/>
          <w:lang w:eastAsia="en-AU"/>
        </w:rPr>
        <w:t>improve the model’s ability to capture the cross-sectional variation of stock returns,</w:t>
      </w:r>
      <w:r>
        <w:rPr>
          <w:rFonts w:asciiTheme="majorBidi" w:eastAsia="Calibri" w:hAnsiTheme="majorBidi" w:cstheme="majorBidi"/>
          <w:sz w:val="24"/>
          <w:szCs w:val="24"/>
          <w:lang w:eastAsia="en-AU"/>
        </w:rPr>
        <w:t xml:space="preserve"> which is referred as the FF Four factor model. To serve our purpose, the model is specified as follow: </w:t>
      </w:r>
    </w:p>
    <w:p w:rsidR="007F433F" w:rsidRPr="00307E6B" w:rsidRDefault="007F433F" w:rsidP="007F433F">
      <w:pPr>
        <w:spacing w:after="0" w:line="480" w:lineRule="auto"/>
        <w:rPr>
          <w:rFonts w:asciiTheme="majorBidi" w:eastAsia="Calibr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M</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Mt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SMB</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sSub>
            <m:sSubPr>
              <m:ctrlPr>
                <w:rPr>
                  <w:rFonts w:ascii="Cambria Math" w:hAnsi="Cambria Math" w:cstheme="majorBidi"/>
                  <w:i/>
                  <w:sz w:val="24"/>
                  <w:szCs w:val="24"/>
                </w:rPr>
              </m:ctrlPr>
            </m:sSubPr>
            <m:e>
              <m:r>
                <w:rPr>
                  <w:rFonts w:ascii="Cambria Math" w:hAnsi="Cambria Math" w:cstheme="majorBidi"/>
                  <w:sz w:val="24"/>
                  <w:szCs w:val="24"/>
                </w:rPr>
                <m:t>SMB</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HML</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sSub>
            <m:sSubPr>
              <m:ctrlPr>
                <w:rPr>
                  <w:rFonts w:ascii="Cambria Math" w:hAnsi="Cambria Math" w:cstheme="majorBidi"/>
                  <w:i/>
                  <w:sz w:val="24"/>
                  <w:szCs w:val="24"/>
                </w:rPr>
              </m:ctrlPr>
            </m:sSubPr>
            <m:e>
              <m:r>
                <w:rPr>
                  <w:rFonts w:ascii="Cambria Math" w:hAnsi="Cambria Math" w:cstheme="majorBidi"/>
                  <w:sz w:val="24"/>
                  <w:szCs w:val="24"/>
                </w:rPr>
                <m:t>HML</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UMD</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sSub>
            <m:sSubPr>
              <m:ctrlPr>
                <w:rPr>
                  <w:rFonts w:ascii="Cambria Math" w:hAnsi="Cambria Math" w:cstheme="majorBidi"/>
                  <w:i/>
                  <w:sz w:val="24"/>
                  <w:szCs w:val="24"/>
                </w:rPr>
              </m:ctrlPr>
            </m:sSubPr>
            <m:e>
              <m:r>
                <w:rPr>
                  <w:rFonts w:ascii="Cambria Math" w:hAnsi="Cambria Math" w:cstheme="majorBidi"/>
                  <w:sz w:val="24"/>
                  <w:szCs w:val="24"/>
                </w:rPr>
                <m:t>UMD</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ω</m:t>
              </m:r>
            </m:e>
            <m:sub>
              <m:r>
                <w:rPr>
                  <w:rFonts w:ascii="Cambria Math" w:hAnsi="Cambria Math" w:cstheme="majorBidi"/>
                  <w:sz w:val="24"/>
                  <w:szCs w:val="24"/>
                </w:rPr>
                <m:t>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it</m:t>
              </m:r>
            </m:sub>
          </m:sSub>
        </m:oMath>
      </m:oMathPara>
    </w:p>
    <w:p w:rsidR="007F433F" w:rsidRDefault="007F433F" w:rsidP="007F433F">
      <w:pPr>
        <w:jc w:val="right"/>
      </w:pPr>
      <w:r>
        <w:tab/>
      </w:r>
      <w:r>
        <w:tab/>
      </w:r>
      <w:r>
        <w:tab/>
      </w:r>
      <w:r>
        <w:tab/>
      </w:r>
      <w:r>
        <w:tab/>
      </w:r>
      <w:r>
        <w:tab/>
      </w:r>
      <w:r>
        <w:tab/>
      </w:r>
      <w:r>
        <w:tab/>
      </w:r>
      <w:r>
        <w:tab/>
      </w:r>
      <w:r w:rsidRPr="00307E6B">
        <w:rPr>
          <w:rFonts w:ascii="Times New Roman" w:hAnsi="Times New Roman" w:cs="Times New Roman"/>
          <w:sz w:val="24"/>
          <w:szCs w:val="24"/>
        </w:rPr>
        <w:t>(3)</w:t>
      </w:r>
    </w:p>
    <w:p w:rsidR="007F433F" w:rsidRDefault="007F433F" w:rsidP="007F433F">
      <w:pPr>
        <w:pStyle w:val="BodyText"/>
        <w:spacing w:after="0" w:line="480" w:lineRule="auto"/>
        <w:jc w:val="both"/>
      </w:pPr>
      <w:proofErr w:type="gramStart"/>
      <w:r>
        <w:rPr>
          <w:rFonts w:asciiTheme="majorBidi" w:hAnsiTheme="majorBidi" w:cstheme="majorBidi"/>
          <w:w w:val="105"/>
          <w:sz w:val="24"/>
          <w:szCs w:val="24"/>
        </w:rPr>
        <w:t>w</w:t>
      </w:r>
      <w:r w:rsidRPr="007C3A1A">
        <w:rPr>
          <w:rFonts w:asciiTheme="majorBidi" w:hAnsiTheme="majorBidi" w:cstheme="majorBidi"/>
          <w:w w:val="105"/>
          <w:sz w:val="24"/>
          <w:szCs w:val="24"/>
        </w:rPr>
        <w:t>he</w:t>
      </w:r>
      <w:r w:rsidRPr="007C3A1A">
        <w:rPr>
          <w:rFonts w:asciiTheme="majorBidi" w:hAnsiTheme="majorBidi" w:cstheme="majorBidi"/>
          <w:spacing w:val="-6"/>
          <w:w w:val="105"/>
          <w:sz w:val="24"/>
          <w:szCs w:val="24"/>
        </w:rPr>
        <w:t>r</w:t>
      </w:r>
      <w:r w:rsidRPr="007C3A1A">
        <w:rPr>
          <w:rFonts w:asciiTheme="majorBidi" w:hAnsiTheme="majorBidi" w:cstheme="majorBidi"/>
          <w:w w:val="105"/>
          <w:sz w:val="24"/>
          <w:szCs w:val="24"/>
        </w:rPr>
        <w:t>e</w:t>
      </w:r>
      <w:proofErr w:type="gramEnd"/>
      <w:r w:rsidRPr="007C3A1A">
        <w:rPr>
          <w:rFonts w:asciiTheme="majorBidi" w:hAnsiTheme="majorBidi" w:cstheme="majorBidi"/>
          <w:spacing w:val="-33"/>
          <w:w w:val="105"/>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UMD</m:t>
            </m:r>
          </m:e>
          <m:sub>
            <m:r>
              <w:rPr>
                <w:rFonts w:ascii="Cambria Math" w:hAnsi="Cambria Math" w:cstheme="majorBidi"/>
                <w:sz w:val="24"/>
                <w:szCs w:val="24"/>
              </w:rPr>
              <m:t>t</m:t>
            </m:r>
          </m:sub>
        </m:sSub>
      </m:oMath>
      <w:r w:rsidRPr="007C3A1A">
        <w:rPr>
          <w:rFonts w:asciiTheme="majorBidi" w:eastAsia="Arial" w:hAnsiTheme="majorBidi" w:cstheme="majorBidi"/>
          <w:i/>
          <w:spacing w:val="18"/>
          <w:w w:val="105"/>
          <w:position w:val="-3"/>
          <w:sz w:val="24"/>
          <w:szCs w:val="24"/>
        </w:rPr>
        <w:t xml:space="preserve"> </w:t>
      </w:r>
      <w:r w:rsidRPr="007C3A1A">
        <w:rPr>
          <w:rFonts w:asciiTheme="majorBidi" w:hAnsiTheme="majorBidi" w:cstheme="majorBidi"/>
          <w:w w:val="105"/>
          <w:sz w:val="24"/>
          <w:szCs w:val="24"/>
        </w:rPr>
        <w:t>is</w:t>
      </w:r>
      <w:r w:rsidRPr="007C3A1A">
        <w:rPr>
          <w:rFonts w:asciiTheme="majorBidi" w:hAnsiTheme="majorBidi" w:cstheme="majorBidi"/>
          <w:spacing w:val="-23"/>
          <w:w w:val="105"/>
          <w:sz w:val="24"/>
          <w:szCs w:val="24"/>
        </w:rPr>
        <w:t xml:space="preserve"> </w:t>
      </w:r>
      <w:r w:rsidRPr="007C3A1A">
        <w:rPr>
          <w:rFonts w:asciiTheme="majorBidi" w:hAnsiTheme="majorBidi" w:cstheme="majorBidi"/>
          <w:spacing w:val="-1"/>
          <w:w w:val="105"/>
          <w:sz w:val="24"/>
          <w:szCs w:val="24"/>
        </w:rPr>
        <w:t>t</w:t>
      </w:r>
      <w:r w:rsidRPr="007C3A1A">
        <w:rPr>
          <w:rFonts w:asciiTheme="majorBidi" w:hAnsiTheme="majorBidi" w:cstheme="majorBidi"/>
          <w:w w:val="105"/>
          <w:sz w:val="24"/>
          <w:szCs w:val="24"/>
        </w:rPr>
        <w:t>he</w:t>
      </w:r>
      <w:r w:rsidRPr="007C3A1A">
        <w:rPr>
          <w:rFonts w:asciiTheme="majorBidi" w:hAnsiTheme="majorBidi" w:cstheme="majorBidi"/>
          <w:spacing w:val="-23"/>
          <w:w w:val="105"/>
          <w:sz w:val="24"/>
          <w:szCs w:val="24"/>
        </w:rPr>
        <w:t xml:space="preserve"> </w:t>
      </w:r>
      <w:r w:rsidRPr="007C3A1A">
        <w:rPr>
          <w:rFonts w:asciiTheme="majorBidi" w:hAnsiTheme="majorBidi" w:cstheme="majorBidi"/>
          <w:spacing w:val="-1"/>
          <w:w w:val="105"/>
          <w:sz w:val="24"/>
          <w:szCs w:val="24"/>
        </w:rPr>
        <w:t>m</w:t>
      </w:r>
      <w:r w:rsidRPr="007C3A1A">
        <w:rPr>
          <w:rFonts w:asciiTheme="majorBidi" w:hAnsiTheme="majorBidi" w:cstheme="majorBidi"/>
          <w:w w:val="105"/>
          <w:sz w:val="24"/>
          <w:szCs w:val="24"/>
        </w:rPr>
        <w:t>o</w:t>
      </w:r>
      <w:r w:rsidRPr="007C3A1A">
        <w:rPr>
          <w:rFonts w:asciiTheme="majorBidi" w:hAnsiTheme="majorBidi" w:cstheme="majorBidi"/>
          <w:spacing w:val="-1"/>
          <w:w w:val="105"/>
          <w:sz w:val="24"/>
          <w:szCs w:val="24"/>
        </w:rPr>
        <w:t>m</w:t>
      </w:r>
      <w:r w:rsidRPr="007C3A1A">
        <w:rPr>
          <w:rFonts w:asciiTheme="majorBidi" w:hAnsiTheme="majorBidi" w:cstheme="majorBidi"/>
          <w:w w:val="105"/>
          <w:sz w:val="24"/>
          <w:szCs w:val="24"/>
        </w:rPr>
        <w:t>e</w:t>
      </w:r>
      <w:r w:rsidRPr="007C3A1A">
        <w:rPr>
          <w:rFonts w:asciiTheme="majorBidi" w:hAnsiTheme="majorBidi" w:cstheme="majorBidi"/>
          <w:spacing w:val="-1"/>
          <w:w w:val="105"/>
          <w:sz w:val="24"/>
          <w:szCs w:val="24"/>
        </w:rPr>
        <w:t>n</w:t>
      </w:r>
      <w:r w:rsidRPr="007C3A1A">
        <w:rPr>
          <w:rFonts w:asciiTheme="majorBidi" w:hAnsiTheme="majorBidi" w:cstheme="majorBidi"/>
          <w:w w:val="105"/>
          <w:sz w:val="24"/>
          <w:szCs w:val="24"/>
        </w:rPr>
        <w:t>tum</w:t>
      </w:r>
      <w:r w:rsidRPr="007C3A1A">
        <w:rPr>
          <w:rFonts w:asciiTheme="majorBidi" w:hAnsiTheme="majorBidi" w:cstheme="majorBidi"/>
          <w:spacing w:val="-22"/>
          <w:w w:val="105"/>
          <w:sz w:val="24"/>
          <w:szCs w:val="24"/>
        </w:rPr>
        <w:t xml:space="preserve"> </w:t>
      </w:r>
      <w:r w:rsidRPr="007C3A1A">
        <w:rPr>
          <w:rFonts w:asciiTheme="majorBidi" w:hAnsiTheme="majorBidi" w:cstheme="majorBidi"/>
          <w:spacing w:val="-1"/>
          <w:w w:val="105"/>
          <w:sz w:val="24"/>
          <w:szCs w:val="24"/>
        </w:rPr>
        <w:t>f</w:t>
      </w:r>
      <w:r w:rsidRPr="007C3A1A">
        <w:rPr>
          <w:rFonts w:asciiTheme="majorBidi" w:hAnsiTheme="majorBidi" w:cstheme="majorBidi"/>
          <w:w w:val="105"/>
          <w:sz w:val="24"/>
          <w:szCs w:val="24"/>
        </w:rPr>
        <w:t>ac</w:t>
      </w:r>
      <w:r w:rsidRPr="007C3A1A">
        <w:rPr>
          <w:rFonts w:asciiTheme="majorBidi" w:hAnsiTheme="majorBidi" w:cstheme="majorBidi"/>
          <w:spacing w:val="-2"/>
          <w:w w:val="105"/>
          <w:sz w:val="24"/>
          <w:szCs w:val="24"/>
        </w:rPr>
        <w:t>t</w:t>
      </w:r>
      <w:r w:rsidRPr="007C3A1A">
        <w:rPr>
          <w:rFonts w:asciiTheme="majorBidi" w:hAnsiTheme="majorBidi" w:cstheme="majorBidi"/>
          <w:w w:val="105"/>
          <w:sz w:val="24"/>
          <w:szCs w:val="24"/>
        </w:rPr>
        <w:t>or</w:t>
      </w:r>
      <w:r w:rsidRPr="007C3A1A">
        <w:rPr>
          <w:rFonts w:asciiTheme="majorBidi" w:hAnsiTheme="majorBidi" w:cstheme="majorBidi"/>
          <w:spacing w:val="-23"/>
          <w:w w:val="105"/>
          <w:sz w:val="24"/>
          <w:szCs w:val="24"/>
        </w:rPr>
        <w:t xml:space="preserve"> </w:t>
      </w:r>
      <w:r w:rsidRPr="007C3A1A">
        <w:rPr>
          <w:rFonts w:asciiTheme="majorBidi" w:hAnsiTheme="majorBidi" w:cstheme="majorBidi"/>
          <w:w w:val="105"/>
          <w:sz w:val="24"/>
          <w:szCs w:val="24"/>
        </w:rPr>
        <w:t>measu</w:t>
      </w:r>
      <w:r w:rsidRPr="007C3A1A">
        <w:rPr>
          <w:rFonts w:asciiTheme="majorBidi" w:hAnsiTheme="majorBidi" w:cstheme="majorBidi"/>
          <w:spacing w:val="-6"/>
          <w:w w:val="105"/>
          <w:sz w:val="24"/>
          <w:szCs w:val="24"/>
        </w:rPr>
        <w:t>r</w:t>
      </w:r>
      <w:r w:rsidRPr="007C3A1A">
        <w:rPr>
          <w:rFonts w:asciiTheme="majorBidi" w:hAnsiTheme="majorBidi" w:cstheme="majorBidi"/>
          <w:w w:val="105"/>
          <w:sz w:val="24"/>
          <w:szCs w:val="24"/>
        </w:rPr>
        <w:t>ed</w:t>
      </w:r>
      <w:r w:rsidRPr="007C3A1A">
        <w:rPr>
          <w:rFonts w:asciiTheme="majorBidi" w:hAnsiTheme="majorBidi" w:cstheme="majorBidi"/>
          <w:spacing w:val="-23"/>
          <w:w w:val="105"/>
          <w:sz w:val="24"/>
          <w:szCs w:val="24"/>
        </w:rPr>
        <w:t xml:space="preserve"> </w:t>
      </w:r>
      <w:r w:rsidRPr="007C3A1A">
        <w:rPr>
          <w:rFonts w:asciiTheme="majorBidi" w:hAnsiTheme="majorBidi" w:cstheme="majorBidi"/>
          <w:w w:val="105"/>
          <w:sz w:val="24"/>
          <w:szCs w:val="24"/>
        </w:rPr>
        <w:t>as</w:t>
      </w:r>
      <w:r w:rsidRPr="007C3A1A">
        <w:rPr>
          <w:rFonts w:asciiTheme="majorBidi" w:hAnsiTheme="majorBidi" w:cstheme="majorBidi"/>
          <w:spacing w:val="-23"/>
          <w:w w:val="105"/>
          <w:sz w:val="24"/>
          <w:szCs w:val="24"/>
        </w:rPr>
        <w:t xml:space="preserve"> </w:t>
      </w:r>
      <w:r w:rsidRPr="007C3A1A">
        <w:rPr>
          <w:rFonts w:asciiTheme="majorBidi" w:hAnsiTheme="majorBidi" w:cstheme="majorBidi"/>
          <w:spacing w:val="-1"/>
          <w:w w:val="105"/>
          <w:sz w:val="24"/>
          <w:szCs w:val="24"/>
        </w:rPr>
        <w:t>t</w:t>
      </w:r>
      <w:r w:rsidRPr="007C3A1A">
        <w:rPr>
          <w:rFonts w:asciiTheme="majorBidi" w:hAnsiTheme="majorBidi" w:cstheme="majorBidi"/>
          <w:w w:val="105"/>
          <w:sz w:val="24"/>
          <w:szCs w:val="24"/>
        </w:rPr>
        <w:t>he</w:t>
      </w:r>
      <w:r w:rsidRPr="007C3A1A">
        <w:rPr>
          <w:rFonts w:asciiTheme="majorBidi" w:hAnsiTheme="majorBidi" w:cstheme="majorBidi"/>
          <w:spacing w:val="-23"/>
          <w:w w:val="105"/>
          <w:sz w:val="24"/>
          <w:szCs w:val="24"/>
        </w:rPr>
        <w:t xml:space="preserve"> </w:t>
      </w:r>
      <w:r w:rsidRPr="007C3A1A">
        <w:rPr>
          <w:rFonts w:asciiTheme="majorBidi" w:hAnsiTheme="majorBidi" w:cstheme="majorBidi"/>
          <w:spacing w:val="-1"/>
          <w:w w:val="105"/>
          <w:sz w:val="24"/>
          <w:szCs w:val="24"/>
        </w:rPr>
        <w:t>d</w:t>
      </w:r>
      <w:r w:rsidRPr="007C3A1A">
        <w:rPr>
          <w:rFonts w:asciiTheme="majorBidi" w:hAnsiTheme="majorBidi" w:cstheme="majorBidi"/>
          <w:w w:val="105"/>
          <w:sz w:val="24"/>
          <w:szCs w:val="24"/>
        </w:rPr>
        <w:t>if</w:t>
      </w:r>
      <w:r w:rsidRPr="007C3A1A">
        <w:rPr>
          <w:rFonts w:asciiTheme="majorBidi" w:hAnsiTheme="majorBidi" w:cstheme="majorBidi"/>
          <w:spacing w:val="-1"/>
          <w:w w:val="105"/>
          <w:sz w:val="24"/>
          <w:szCs w:val="24"/>
        </w:rPr>
        <w:t>f</w:t>
      </w:r>
      <w:r w:rsidRPr="007C3A1A">
        <w:rPr>
          <w:rFonts w:asciiTheme="majorBidi" w:hAnsiTheme="majorBidi" w:cstheme="majorBidi"/>
          <w:w w:val="105"/>
          <w:sz w:val="24"/>
          <w:szCs w:val="24"/>
        </w:rPr>
        <w:t>e</w:t>
      </w:r>
      <w:r w:rsidRPr="007C3A1A">
        <w:rPr>
          <w:rFonts w:asciiTheme="majorBidi" w:hAnsiTheme="majorBidi" w:cstheme="majorBidi"/>
          <w:spacing w:val="-6"/>
          <w:w w:val="105"/>
          <w:sz w:val="24"/>
          <w:szCs w:val="24"/>
        </w:rPr>
        <w:t>r</w:t>
      </w:r>
      <w:r w:rsidRPr="007C3A1A">
        <w:rPr>
          <w:rFonts w:asciiTheme="majorBidi" w:hAnsiTheme="majorBidi" w:cstheme="majorBidi"/>
          <w:w w:val="105"/>
          <w:sz w:val="24"/>
          <w:szCs w:val="24"/>
        </w:rPr>
        <w:t>en</w:t>
      </w:r>
      <w:r w:rsidRPr="007C3A1A">
        <w:rPr>
          <w:rFonts w:asciiTheme="majorBidi" w:hAnsiTheme="majorBidi" w:cstheme="majorBidi"/>
          <w:spacing w:val="-2"/>
          <w:w w:val="105"/>
          <w:sz w:val="24"/>
          <w:szCs w:val="24"/>
        </w:rPr>
        <w:t>c</w:t>
      </w:r>
      <w:r w:rsidRPr="007C3A1A">
        <w:rPr>
          <w:rFonts w:asciiTheme="majorBidi" w:hAnsiTheme="majorBidi" w:cstheme="majorBidi"/>
          <w:w w:val="105"/>
          <w:sz w:val="24"/>
          <w:szCs w:val="24"/>
        </w:rPr>
        <w:t>e</w:t>
      </w:r>
      <w:r w:rsidRPr="007C3A1A">
        <w:rPr>
          <w:rFonts w:asciiTheme="majorBidi" w:hAnsiTheme="majorBidi" w:cstheme="majorBidi"/>
          <w:spacing w:val="-23"/>
          <w:w w:val="105"/>
          <w:sz w:val="24"/>
          <w:szCs w:val="24"/>
        </w:rPr>
        <w:t xml:space="preserve"> </w:t>
      </w:r>
      <w:r w:rsidRPr="007C3A1A">
        <w:rPr>
          <w:rFonts w:asciiTheme="majorBidi" w:hAnsiTheme="majorBidi" w:cstheme="majorBidi"/>
          <w:w w:val="105"/>
          <w:sz w:val="24"/>
          <w:szCs w:val="24"/>
        </w:rPr>
        <w:t>bet</w:t>
      </w:r>
      <w:r w:rsidRPr="007C3A1A">
        <w:rPr>
          <w:rFonts w:asciiTheme="majorBidi" w:hAnsiTheme="majorBidi" w:cstheme="majorBidi"/>
          <w:spacing w:val="-2"/>
          <w:w w:val="105"/>
          <w:sz w:val="24"/>
          <w:szCs w:val="24"/>
        </w:rPr>
        <w:t>w</w:t>
      </w:r>
      <w:r w:rsidRPr="007C3A1A">
        <w:rPr>
          <w:rFonts w:asciiTheme="majorBidi" w:hAnsiTheme="majorBidi" w:cstheme="majorBidi"/>
          <w:w w:val="105"/>
          <w:sz w:val="24"/>
          <w:szCs w:val="24"/>
        </w:rPr>
        <w:t>een</w:t>
      </w:r>
      <w:r w:rsidRPr="007C3A1A">
        <w:rPr>
          <w:rFonts w:asciiTheme="majorBidi" w:hAnsiTheme="majorBidi" w:cstheme="majorBidi"/>
          <w:spacing w:val="-23"/>
          <w:w w:val="105"/>
          <w:sz w:val="24"/>
          <w:szCs w:val="24"/>
        </w:rPr>
        <w:t xml:space="preserve"> </w:t>
      </w:r>
      <w:r w:rsidRPr="007C3A1A">
        <w:rPr>
          <w:rFonts w:asciiTheme="majorBidi" w:hAnsiTheme="majorBidi" w:cstheme="majorBidi"/>
          <w:spacing w:val="-1"/>
          <w:w w:val="105"/>
          <w:sz w:val="24"/>
          <w:szCs w:val="24"/>
        </w:rPr>
        <w:t>t</w:t>
      </w:r>
      <w:r w:rsidRPr="007C3A1A">
        <w:rPr>
          <w:rFonts w:asciiTheme="majorBidi" w:hAnsiTheme="majorBidi" w:cstheme="majorBidi"/>
          <w:w w:val="105"/>
          <w:sz w:val="24"/>
          <w:szCs w:val="24"/>
        </w:rPr>
        <w:t>he</w:t>
      </w:r>
      <w:r w:rsidRPr="007C3A1A">
        <w:rPr>
          <w:rFonts w:asciiTheme="majorBidi" w:hAnsiTheme="majorBidi" w:cstheme="majorBidi"/>
          <w:spacing w:val="-23"/>
          <w:w w:val="105"/>
          <w:sz w:val="24"/>
          <w:szCs w:val="24"/>
        </w:rPr>
        <w:t xml:space="preserve"> </w:t>
      </w:r>
      <w:r w:rsidRPr="007C3A1A">
        <w:rPr>
          <w:rFonts w:asciiTheme="majorBidi" w:hAnsiTheme="majorBidi" w:cstheme="majorBidi"/>
          <w:spacing w:val="-5"/>
          <w:w w:val="105"/>
          <w:sz w:val="24"/>
          <w:szCs w:val="24"/>
        </w:rPr>
        <w:t>r</w:t>
      </w:r>
      <w:r w:rsidRPr="007C3A1A">
        <w:rPr>
          <w:rFonts w:asciiTheme="majorBidi" w:hAnsiTheme="majorBidi" w:cstheme="majorBidi"/>
          <w:w w:val="105"/>
          <w:sz w:val="24"/>
          <w:szCs w:val="24"/>
        </w:rPr>
        <w:t>etu</w:t>
      </w:r>
      <w:r w:rsidRPr="007C3A1A">
        <w:rPr>
          <w:rFonts w:asciiTheme="majorBidi" w:hAnsiTheme="majorBidi" w:cstheme="majorBidi"/>
          <w:spacing w:val="1"/>
          <w:w w:val="105"/>
          <w:sz w:val="24"/>
          <w:szCs w:val="24"/>
        </w:rPr>
        <w:t>r</w:t>
      </w:r>
      <w:r w:rsidRPr="007C3A1A">
        <w:rPr>
          <w:rFonts w:asciiTheme="majorBidi" w:hAnsiTheme="majorBidi" w:cstheme="majorBidi"/>
          <w:w w:val="105"/>
          <w:sz w:val="24"/>
          <w:szCs w:val="24"/>
        </w:rPr>
        <w:t>ns</w:t>
      </w:r>
      <w:r w:rsidRPr="007C3A1A">
        <w:rPr>
          <w:rFonts w:asciiTheme="majorBidi" w:hAnsiTheme="majorBidi" w:cstheme="majorBidi"/>
          <w:spacing w:val="-22"/>
          <w:w w:val="105"/>
          <w:sz w:val="24"/>
          <w:szCs w:val="24"/>
        </w:rPr>
        <w:t xml:space="preserve"> </w:t>
      </w:r>
      <w:r w:rsidRPr="007C3A1A">
        <w:rPr>
          <w:rFonts w:asciiTheme="majorBidi" w:hAnsiTheme="majorBidi" w:cstheme="majorBidi"/>
          <w:w w:val="105"/>
          <w:sz w:val="24"/>
          <w:szCs w:val="24"/>
        </w:rPr>
        <w:t>o</w:t>
      </w:r>
      <w:r>
        <w:rPr>
          <w:rFonts w:asciiTheme="majorBidi" w:hAnsiTheme="majorBidi" w:cstheme="majorBidi"/>
          <w:w w:val="105"/>
          <w:sz w:val="24"/>
          <w:szCs w:val="24"/>
        </w:rPr>
        <w:t>f</w:t>
      </w:r>
      <w:r w:rsidRPr="007C3A1A">
        <w:rPr>
          <w:rFonts w:asciiTheme="majorBidi" w:hAnsiTheme="majorBidi" w:cstheme="majorBidi"/>
          <w:spacing w:val="-23"/>
          <w:w w:val="105"/>
          <w:sz w:val="24"/>
          <w:szCs w:val="24"/>
        </w:rPr>
        <w:t xml:space="preserve"> </w:t>
      </w:r>
      <w:r w:rsidRPr="007C3A1A">
        <w:rPr>
          <w:rFonts w:asciiTheme="majorBidi" w:hAnsiTheme="majorBidi" w:cstheme="majorBidi"/>
          <w:w w:val="105"/>
          <w:sz w:val="24"/>
          <w:szCs w:val="24"/>
        </w:rPr>
        <w:t>di</w:t>
      </w:r>
      <w:r w:rsidRPr="007C3A1A">
        <w:rPr>
          <w:rFonts w:asciiTheme="majorBidi" w:hAnsiTheme="majorBidi" w:cstheme="majorBidi"/>
          <w:spacing w:val="-3"/>
          <w:w w:val="105"/>
          <w:sz w:val="24"/>
          <w:szCs w:val="24"/>
        </w:rPr>
        <w:t>v</w:t>
      </w:r>
      <w:r w:rsidRPr="007C3A1A">
        <w:rPr>
          <w:rFonts w:asciiTheme="majorBidi" w:hAnsiTheme="majorBidi" w:cstheme="majorBidi"/>
          <w:w w:val="105"/>
          <w:sz w:val="24"/>
          <w:szCs w:val="24"/>
        </w:rPr>
        <w:t>ersified</w:t>
      </w:r>
      <w:r w:rsidRPr="007C3A1A">
        <w:rPr>
          <w:rFonts w:asciiTheme="majorBidi" w:hAnsiTheme="majorBidi" w:cstheme="majorBidi"/>
          <w:spacing w:val="-19"/>
          <w:w w:val="105"/>
          <w:sz w:val="24"/>
          <w:szCs w:val="24"/>
        </w:rPr>
        <w:t xml:space="preserve"> </w:t>
      </w:r>
      <w:r w:rsidRPr="007C3A1A">
        <w:rPr>
          <w:rFonts w:asciiTheme="majorBidi" w:hAnsiTheme="majorBidi" w:cstheme="majorBidi"/>
          <w:spacing w:val="-1"/>
          <w:w w:val="105"/>
          <w:sz w:val="24"/>
          <w:szCs w:val="24"/>
        </w:rPr>
        <w:t>p</w:t>
      </w:r>
      <w:r w:rsidRPr="007C3A1A">
        <w:rPr>
          <w:rFonts w:asciiTheme="majorBidi" w:hAnsiTheme="majorBidi" w:cstheme="majorBidi"/>
          <w:w w:val="105"/>
          <w:sz w:val="24"/>
          <w:szCs w:val="24"/>
        </w:rPr>
        <w:t>ort</w:t>
      </w:r>
      <w:r w:rsidRPr="007C3A1A">
        <w:rPr>
          <w:rFonts w:asciiTheme="majorBidi" w:hAnsiTheme="majorBidi" w:cstheme="majorBidi"/>
          <w:spacing w:val="-1"/>
          <w:w w:val="105"/>
          <w:sz w:val="24"/>
          <w:szCs w:val="24"/>
        </w:rPr>
        <w:t>f</w:t>
      </w:r>
      <w:r w:rsidRPr="007C3A1A">
        <w:rPr>
          <w:rFonts w:asciiTheme="majorBidi" w:hAnsiTheme="majorBidi" w:cstheme="majorBidi"/>
          <w:w w:val="105"/>
          <w:sz w:val="24"/>
          <w:szCs w:val="24"/>
        </w:rPr>
        <w:t>olios</w:t>
      </w:r>
      <w:r>
        <w:rPr>
          <w:rFonts w:asciiTheme="majorBidi" w:hAnsiTheme="majorBidi" w:cstheme="majorBidi"/>
          <w:spacing w:val="-19"/>
          <w:w w:val="105"/>
          <w:sz w:val="24"/>
          <w:szCs w:val="24"/>
        </w:rPr>
        <w:t>.</w:t>
      </w:r>
    </w:p>
    <w:p w:rsidR="007F433F" w:rsidRDefault="007F433F" w:rsidP="007F433F">
      <w:pPr>
        <w:pStyle w:val="BodyText"/>
        <w:spacing w:line="480" w:lineRule="auto"/>
        <w:ind w:firstLine="709"/>
        <w:jc w:val="both"/>
        <w:rPr>
          <w:rFonts w:asciiTheme="majorBidi" w:hAnsiTheme="majorBidi" w:cstheme="majorBidi"/>
          <w:w w:val="105"/>
          <w:sz w:val="24"/>
          <w:szCs w:val="24"/>
        </w:rPr>
      </w:pPr>
      <w:r w:rsidRPr="000D0DAF">
        <w:rPr>
          <w:rFonts w:asciiTheme="majorBidi" w:hAnsiTheme="majorBidi" w:cstheme="majorBidi"/>
          <w:w w:val="105"/>
          <w:sz w:val="24"/>
          <w:szCs w:val="24"/>
        </w:rPr>
        <w:lastRenderedPageBreak/>
        <w:t xml:space="preserve">Another improved version of </w:t>
      </w:r>
      <w:r>
        <w:rPr>
          <w:rFonts w:asciiTheme="majorBidi" w:hAnsiTheme="majorBidi" w:cstheme="majorBidi"/>
          <w:w w:val="105"/>
          <w:sz w:val="24"/>
          <w:szCs w:val="24"/>
        </w:rPr>
        <w:t>FF</w:t>
      </w:r>
      <w:r w:rsidRPr="000D0DAF">
        <w:rPr>
          <w:rFonts w:asciiTheme="majorBidi" w:hAnsiTheme="majorBidi" w:cstheme="majorBidi"/>
          <w:w w:val="105"/>
          <w:sz w:val="24"/>
          <w:szCs w:val="24"/>
        </w:rPr>
        <w:t xml:space="preserve"> three factor model</w:t>
      </w:r>
      <w:r>
        <w:rPr>
          <w:rFonts w:asciiTheme="majorBidi" w:hAnsiTheme="majorBidi" w:cstheme="majorBidi"/>
          <w:w w:val="105"/>
          <w:sz w:val="24"/>
          <w:szCs w:val="24"/>
        </w:rPr>
        <w:t>,</w:t>
      </w:r>
      <w:r w:rsidRPr="000D0DAF">
        <w:rPr>
          <w:rFonts w:asciiTheme="majorBidi" w:hAnsiTheme="majorBidi" w:cstheme="majorBidi"/>
          <w:w w:val="105"/>
          <w:sz w:val="24"/>
          <w:szCs w:val="24"/>
        </w:rPr>
        <w:t xml:space="preserve"> </w:t>
      </w:r>
      <w:r>
        <w:rPr>
          <w:rFonts w:asciiTheme="majorBidi" w:hAnsiTheme="majorBidi" w:cstheme="majorBidi"/>
          <w:w w:val="105"/>
          <w:sz w:val="24"/>
          <w:szCs w:val="24"/>
        </w:rPr>
        <w:t>that includes</w:t>
      </w:r>
      <w:r w:rsidRPr="000D0DAF">
        <w:rPr>
          <w:rFonts w:asciiTheme="majorBidi" w:hAnsiTheme="majorBidi" w:cstheme="majorBidi"/>
          <w:w w:val="105"/>
          <w:sz w:val="24"/>
          <w:szCs w:val="24"/>
        </w:rPr>
        <w:t xml:space="preserve"> two additional factors</w:t>
      </w:r>
      <w:r>
        <w:rPr>
          <w:rFonts w:asciiTheme="majorBidi" w:hAnsiTheme="majorBidi" w:cstheme="majorBidi"/>
          <w:w w:val="105"/>
          <w:sz w:val="24"/>
          <w:szCs w:val="24"/>
        </w:rPr>
        <w:t>,</w:t>
      </w:r>
      <w:r w:rsidRPr="000D0DAF">
        <w:rPr>
          <w:rFonts w:asciiTheme="majorBidi" w:hAnsiTheme="majorBidi" w:cstheme="majorBidi"/>
          <w:w w:val="105"/>
          <w:sz w:val="24"/>
          <w:szCs w:val="24"/>
        </w:rPr>
        <w:t xml:space="preserve"> was introduced by </w:t>
      </w:r>
      <w:proofErr w:type="spellStart"/>
      <w:r w:rsidRPr="000D0DAF">
        <w:rPr>
          <w:rFonts w:asciiTheme="majorBidi" w:hAnsiTheme="majorBidi" w:cstheme="majorBidi"/>
          <w:w w:val="105"/>
          <w:sz w:val="24"/>
          <w:szCs w:val="24"/>
        </w:rPr>
        <w:t>Fama</w:t>
      </w:r>
      <w:proofErr w:type="spellEnd"/>
      <w:r w:rsidRPr="000D0DAF">
        <w:rPr>
          <w:rFonts w:asciiTheme="majorBidi" w:hAnsiTheme="majorBidi" w:cstheme="majorBidi"/>
          <w:w w:val="105"/>
          <w:sz w:val="24"/>
          <w:szCs w:val="24"/>
        </w:rPr>
        <w:t xml:space="preserve"> and French (2015)</w:t>
      </w:r>
      <w:r>
        <w:rPr>
          <w:rFonts w:asciiTheme="majorBidi" w:hAnsiTheme="majorBidi" w:cstheme="majorBidi"/>
          <w:w w:val="105"/>
          <w:sz w:val="24"/>
          <w:szCs w:val="24"/>
        </w:rPr>
        <w:t>,</w:t>
      </w:r>
      <w:r w:rsidRPr="000D0DAF">
        <w:rPr>
          <w:rFonts w:asciiTheme="majorBidi" w:hAnsiTheme="majorBidi" w:cstheme="majorBidi"/>
          <w:w w:val="105"/>
          <w:sz w:val="24"/>
          <w:szCs w:val="24"/>
        </w:rPr>
        <w:t xml:space="preserve"> </w:t>
      </w:r>
      <w:r>
        <w:rPr>
          <w:rFonts w:asciiTheme="majorBidi" w:hAnsiTheme="majorBidi" w:cstheme="majorBidi"/>
          <w:w w:val="105"/>
          <w:sz w:val="24"/>
          <w:szCs w:val="24"/>
        </w:rPr>
        <w:t>as</w:t>
      </w:r>
      <w:r w:rsidRPr="000D0DAF">
        <w:rPr>
          <w:rFonts w:asciiTheme="majorBidi" w:hAnsiTheme="majorBidi" w:cstheme="majorBidi"/>
          <w:w w:val="105"/>
          <w:sz w:val="24"/>
          <w:szCs w:val="24"/>
        </w:rPr>
        <w:t xml:space="preserve"> they believe the returns of a portfolio </w:t>
      </w:r>
      <w:r>
        <w:rPr>
          <w:rFonts w:asciiTheme="majorBidi" w:hAnsiTheme="majorBidi" w:cstheme="majorBidi"/>
          <w:w w:val="105"/>
          <w:sz w:val="24"/>
          <w:szCs w:val="24"/>
        </w:rPr>
        <w:t>are</w:t>
      </w:r>
      <w:r w:rsidRPr="000D0DAF">
        <w:rPr>
          <w:rFonts w:asciiTheme="majorBidi" w:hAnsiTheme="majorBidi" w:cstheme="majorBidi"/>
          <w:w w:val="105"/>
          <w:sz w:val="24"/>
          <w:szCs w:val="24"/>
        </w:rPr>
        <w:t xml:space="preserve"> also closely related </w:t>
      </w:r>
      <w:r>
        <w:rPr>
          <w:rFonts w:asciiTheme="majorBidi" w:hAnsiTheme="majorBidi" w:cstheme="majorBidi"/>
          <w:w w:val="105"/>
          <w:sz w:val="24"/>
          <w:szCs w:val="24"/>
        </w:rPr>
        <w:t>to</w:t>
      </w:r>
      <w:r w:rsidRPr="000D0DAF">
        <w:rPr>
          <w:rFonts w:asciiTheme="majorBidi" w:hAnsiTheme="majorBidi" w:cstheme="majorBidi"/>
          <w:w w:val="105"/>
          <w:sz w:val="24"/>
          <w:szCs w:val="24"/>
        </w:rPr>
        <w:t xml:space="preserve"> investment profitability and investment patterns. </w:t>
      </w:r>
      <w:r>
        <w:rPr>
          <w:rFonts w:asciiTheme="majorBidi" w:hAnsiTheme="majorBidi" w:cstheme="majorBidi"/>
          <w:w w:val="105"/>
          <w:sz w:val="24"/>
          <w:szCs w:val="24"/>
        </w:rPr>
        <w:t xml:space="preserve">In our study, </w:t>
      </w:r>
      <w:r w:rsidRPr="00366E34">
        <w:rPr>
          <w:rFonts w:asciiTheme="majorBidi" w:hAnsiTheme="majorBidi" w:cstheme="majorBidi"/>
          <w:w w:val="105"/>
          <w:sz w:val="24"/>
          <w:szCs w:val="24"/>
        </w:rPr>
        <w:t xml:space="preserve">we use the </w:t>
      </w:r>
      <w:proofErr w:type="spellStart"/>
      <w:r w:rsidRPr="00366E34">
        <w:rPr>
          <w:rFonts w:asciiTheme="majorBidi" w:hAnsiTheme="majorBidi" w:cstheme="majorBidi"/>
          <w:w w:val="105"/>
          <w:sz w:val="24"/>
          <w:szCs w:val="24"/>
        </w:rPr>
        <w:t>Fama</w:t>
      </w:r>
      <w:proofErr w:type="spellEnd"/>
      <w:r w:rsidRPr="00366E34">
        <w:rPr>
          <w:rFonts w:asciiTheme="majorBidi" w:hAnsiTheme="majorBidi" w:cstheme="majorBidi"/>
          <w:w w:val="105"/>
          <w:sz w:val="24"/>
          <w:szCs w:val="24"/>
        </w:rPr>
        <w:t xml:space="preserve"> French five factors which have been calculated in similar method as </w:t>
      </w:r>
      <w:proofErr w:type="spellStart"/>
      <w:r w:rsidRPr="00366E34">
        <w:rPr>
          <w:rFonts w:asciiTheme="majorBidi" w:hAnsiTheme="majorBidi" w:cstheme="majorBidi"/>
          <w:w w:val="105"/>
          <w:sz w:val="24"/>
          <w:szCs w:val="24"/>
        </w:rPr>
        <w:t>Fama</w:t>
      </w:r>
      <w:proofErr w:type="spellEnd"/>
      <w:r w:rsidRPr="00366E34">
        <w:rPr>
          <w:rFonts w:asciiTheme="majorBidi" w:hAnsiTheme="majorBidi" w:cstheme="majorBidi"/>
          <w:w w:val="105"/>
          <w:sz w:val="24"/>
          <w:szCs w:val="24"/>
        </w:rPr>
        <w:t xml:space="preserve"> and French (</w:t>
      </w:r>
      <w:r>
        <w:rPr>
          <w:rFonts w:asciiTheme="majorBidi" w:hAnsiTheme="majorBidi" w:cstheme="majorBidi"/>
          <w:w w:val="105"/>
          <w:sz w:val="24"/>
          <w:szCs w:val="24"/>
        </w:rPr>
        <w:t>2015</w:t>
      </w:r>
      <w:r w:rsidRPr="00366E34">
        <w:rPr>
          <w:rFonts w:asciiTheme="majorBidi" w:hAnsiTheme="majorBidi" w:cstheme="majorBidi"/>
          <w:w w:val="105"/>
          <w:sz w:val="24"/>
          <w:szCs w:val="24"/>
        </w:rPr>
        <w:t>)</w:t>
      </w:r>
      <w:r>
        <w:rPr>
          <w:rFonts w:asciiTheme="majorBidi" w:hAnsiTheme="majorBidi" w:cstheme="majorBidi"/>
          <w:w w:val="105"/>
          <w:sz w:val="24"/>
          <w:szCs w:val="24"/>
        </w:rPr>
        <w:t>,</w:t>
      </w:r>
      <w:r w:rsidRPr="00366E34">
        <w:rPr>
          <w:rFonts w:asciiTheme="majorBidi" w:hAnsiTheme="majorBidi" w:cstheme="majorBidi"/>
          <w:w w:val="105"/>
          <w:sz w:val="24"/>
          <w:szCs w:val="24"/>
        </w:rPr>
        <w:t xml:space="preserve"> but using Australian stock market data.</w:t>
      </w:r>
      <w:r>
        <w:rPr>
          <w:rFonts w:asciiTheme="majorBidi" w:hAnsiTheme="majorBidi" w:cstheme="majorBidi"/>
          <w:w w:val="105"/>
          <w:sz w:val="24"/>
          <w:szCs w:val="24"/>
        </w:rPr>
        <w:t xml:space="preserve"> The m</w:t>
      </w:r>
      <w:r w:rsidRPr="00366E34">
        <w:rPr>
          <w:rFonts w:asciiTheme="majorBidi" w:hAnsiTheme="majorBidi" w:cstheme="majorBidi"/>
          <w:w w:val="105"/>
          <w:sz w:val="24"/>
          <w:szCs w:val="24"/>
        </w:rPr>
        <w:t xml:space="preserve">onthly asset-pricing factors are constructed in the spirit of </w:t>
      </w:r>
      <w:proofErr w:type="spellStart"/>
      <w:r w:rsidRPr="00366E34">
        <w:rPr>
          <w:rFonts w:asciiTheme="majorBidi" w:hAnsiTheme="majorBidi" w:cstheme="majorBidi"/>
          <w:w w:val="105"/>
          <w:sz w:val="24"/>
          <w:szCs w:val="24"/>
        </w:rPr>
        <w:t>Fama</w:t>
      </w:r>
      <w:proofErr w:type="spellEnd"/>
      <w:r w:rsidRPr="00366E34">
        <w:rPr>
          <w:rFonts w:asciiTheme="majorBidi" w:hAnsiTheme="majorBidi" w:cstheme="majorBidi"/>
          <w:w w:val="105"/>
          <w:sz w:val="24"/>
          <w:szCs w:val="24"/>
        </w:rPr>
        <w:t xml:space="preserve"> and French (1993) with minor modifications tailored to the Australian equity market. In brief, each December, stocks are independently double sorted into 2x3 size/</w:t>
      </w:r>
      <w:r w:rsidRPr="003F17FB">
        <w:rPr>
          <w:rFonts w:asciiTheme="majorBidi" w:eastAsia="SimSun" w:hAnsiTheme="majorBidi" w:cstheme="majorBidi"/>
          <w:sz w:val="24"/>
          <w:szCs w:val="24"/>
          <w:lang w:val="en-GB"/>
        </w:rPr>
        <w:t>book-to-market-value</w:t>
      </w:r>
      <w:r w:rsidRPr="00366E34" w:rsidDel="006E136A">
        <w:rPr>
          <w:rFonts w:asciiTheme="majorBidi" w:hAnsiTheme="majorBidi" w:cstheme="majorBidi"/>
          <w:w w:val="105"/>
          <w:sz w:val="24"/>
          <w:szCs w:val="24"/>
        </w:rPr>
        <w:t xml:space="preserve"> </w:t>
      </w:r>
      <w:r w:rsidRPr="00366E34">
        <w:rPr>
          <w:rFonts w:asciiTheme="majorBidi" w:hAnsiTheme="majorBidi" w:cstheme="majorBidi"/>
          <w:w w:val="105"/>
          <w:sz w:val="24"/>
          <w:szCs w:val="24"/>
        </w:rPr>
        <w:t xml:space="preserve">portfolios. Stocks within the S&amp;P/ASX200 index are classified as Big, with the remainder classified </w:t>
      </w:r>
      <w:proofErr w:type="gramStart"/>
      <w:r w:rsidRPr="00366E34">
        <w:rPr>
          <w:rFonts w:asciiTheme="majorBidi" w:hAnsiTheme="majorBidi" w:cstheme="majorBidi"/>
          <w:w w:val="105"/>
          <w:sz w:val="24"/>
          <w:szCs w:val="24"/>
        </w:rPr>
        <w:t>Small</w:t>
      </w:r>
      <w:proofErr w:type="gramEnd"/>
      <w:r w:rsidRPr="00366E34">
        <w:rPr>
          <w:rFonts w:asciiTheme="majorBidi" w:hAnsiTheme="majorBidi" w:cstheme="majorBidi"/>
          <w:w w:val="105"/>
          <w:sz w:val="24"/>
          <w:szCs w:val="24"/>
        </w:rPr>
        <w:t xml:space="preserve">. </w:t>
      </w:r>
      <w:r>
        <w:rPr>
          <w:rFonts w:asciiTheme="majorBidi" w:hAnsiTheme="majorBidi" w:cstheme="majorBidi"/>
          <w:w w:val="105"/>
          <w:sz w:val="24"/>
          <w:szCs w:val="24"/>
        </w:rPr>
        <w:t>P</w:t>
      </w:r>
      <w:r w:rsidRPr="00366E34">
        <w:rPr>
          <w:rFonts w:asciiTheme="majorBidi" w:hAnsiTheme="majorBidi" w:cstheme="majorBidi"/>
          <w:w w:val="105"/>
          <w:sz w:val="24"/>
          <w:szCs w:val="24"/>
        </w:rPr>
        <w:t xml:space="preserve">ortfolio cut-offs for </w:t>
      </w:r>
      <w:r w:rsidRPr="003F17FB">
        <w:rPr>
          <w:rFonts w:asciiTheme="majorBidi" w:eastAsia="SimSun" w:hAnsiTheme="majorBidi" w:cstheme="majorBidi"/>
          <w:sz w:val="24"/>
          <w:szCs w:val="24"/>
          <w:lang w:val="en-GB"/>
        </w:rPr>
        <w:t>book-to-market-value</w:t>
      </w:r>
      <w:r>
        <w:rPr>
          <w:rFonts w:asciiTheme="majorBidi" w:eastAsia="SimSun" w:hAnsiTheme="majorBidi" w:cstheme="majorBidi"/>
          <w:sz w:val="24"/>
          <w:szCs w:val="24"/>
          <w:lang w:val="en-GB"/>
        </w:rPr>
        <w:t xml:space="preserve"> (BM)</w:t>
      </w:r>
      <w:r w:rsidRPr="00366E34" w:rsidDel="001A6300">
        <w:rPr>
          <w:rFonts w:asciiTheme="majorBidi" w:hAnsiTheme="majorBidi" w:cstheme="majorBidi"/>
          <w:w w:val="105"/>
          <w:sz w:val="24"/>
          <w:szCs w:val="24"/>
        </w:rPr>
        <w:t xml:space="preserve"> </w:t>
      </w:r>
      <w:r w:rsidRPr="00366E34">
        <w:rPr>
          <w:rFonts w:asciiTheme="majorBidi" w:hAnsiTheme="majorBidi" w:cstheme="majorBidi"/>
          <w:w w:val="105"/>
          <w:sz w:val="24"/>
          <w:szCs w:val="24"/>
        </w:rPr>
        <w:t>are based on the 30th and 70th percentiles of BM for the S&amp;P/ASX200. Stocks are value weighted into portfolios with annual rebalancing. In a similar fashion, the momentum factor is formed to be size neutral and utilises momentum cut</w:t>
      </w:r>
      <w:r>
        <w:rPr>
          <w:rFonts w:asciiTheme="majorBidi" w:hAnsiTheme="majorBidi" w:cstheme="majorBidi"/>
          <w:w w:val="105"/>
          <w:sz w:val="24"/>
          <w:szCs w:val="24"/>
        </w:rPr>
        <w:t>-</w:t>
      </w:r>
      <w:r w:rsidRPr="00366E34">
        <w:rPr>
          <w:rFonts w:asciiTheme="majorBidi" w:hAnsiTheme="majorBidi" w:cstheme="majorBidi"/>
          <w:w w:val="105"/>
          <w:sz w:val="24"/>
          <w:szCs w:val="24"/>
        </w:rPr>
        <w:t>offs drawn from the 30th and 70th percentiles of the S&amp;P/ASX200 constituents</w:t>
      </w:r>
      <w:r>
        <w:rPr>
          <w:rStyle w:val="FootnoteReference"/>
          <w:rFonts w:asciiTheme="majorBidi" w:hAnsiTheme="majorBidi" w:cstheme="majorBidi"/>
          <w:w w:val="105"/>
          <w:sz w:val="24"/>
          <w:szCs w:val="24"/>
        </w:rPr>
        <w:footnoteReference w:id="11"/>
      </w:r>
      <w:r w:rsidRPr="00366E34">
        <w:rPr>
          <w:rFonts w:asciiTheme="majorBidi" w:hAnsiTheme="majorBidi" w:cstheme="majorBidi"/>
          <w:w w:val="105"/>
          <w:sz w:val="24"/>
          <w:szCs w:val="24"/>
        </w:rPr>
        <w:t>.</w:t>
      </w:r>
      <w:r>
        <w:rPr>
          <w:rFonts w:asciiTheme="majorBidi" w:hAnsiTheme="majorBidi" w:cstheme="majorBidi"/>
          <w:w w:val="105"/>
          <w:sz w:val="24"/>
          <w:szCs w:val="24"/>
        </w:rPr>
        <w:t xml:space="preserve"> </w:t>
      </w:r>
      <w:r w:rsidRPr="00E92347">
        <w:rPr>
          <w:rFonts w:asciiTheme="majorBidi" w:hAnsiTheme="majorBidi" w:cstheme="majorBidi"/>
          <w:w w:val="105"/>
          <w:sz w:val="24"/>
          <w:szCs w:val="24"/>
        </w:rPr>
        <w:t xml:space="preserve">The </w:t>
      </w:r>
      <w:r w:rsidRPr="00307E6B">
        <w:rPr>
          <w:rFonts w:asciiTheme="majorBidi" w:hAnsiTheme="majorBidi" w:cstheme="majorBidi"/>
          <w:i/>
          <w:w w:val="105"/>
          <w:sz w:val="24"/>
          <w:szCs w:val="24"/>
        </w:rPr>
        <w:t>RMW</w:t>
      </w:r>
      <w:r w:rsidRPr="00E92347">
        <w:rPr>
          <w:rFonts w:asciiTheme="majorBidi" w:hAnsiTheme="majorBidi" w:cstheme="majorBidi"/>
          <w:w w:val="105"/>
          <w:sz w:val="24"/>
          <w:szCs w:val="24"/>
        </w:rPr>
        <w:t xml:space="preserve"> factor portfolio and the </w:t>
      </w:r>
      <w:r w:rsidRPr="00307E6B">
        <w:rPr>
          <w:rFonts w:asciiTheme="majorBidi" w:hAnsiTheme="majorBidi" w:cstheme="majorBidi"/>
          <w:i/>
          <w:w w:val="105"/>
          <w:sz w:val="24"/>
          <w:szCs w:val="24"/>
        </w:rPr>
        <w:t>CMA</w:t>
      </w:r>
      <w:r w:rsidRPr="00E92347">
        <w:rPr>
          <w:rFonts w:asciiTheme="majorBidi" w:hAnsiTheme="majorBidi" w:cstheme="majorBidi"/>
          <w:w w:val="105"/>
          <w:sz w:val="24"/>
          <w:szCs w:val="24"/>
        </w:rPr>
        <w:t xml:space="preserve"> factor portfolio were constructed in the same way as the</w:t>
      </w:r>
      <w:r w:rsidRPr="00307E6B">
        <w:rPr>
          <w:rFonts w:asciiTheme="majorBidi" w:hAnsiTheme="majorBidi" w:cstheme="majorBidi"/>
          <w:i/>
          <w:w w:val="105"/>
          <w:sz w:val="24"/>
          <w:szCs w:val="24"/>
        </w:rPr>
        <w:t xml:space="preserve"> HML</w:t>
      </w:r>
      <w:r w:rsidRPr="00E92347">
        <w:rPr>
          <w:rFonts w:asciiTheme="majorBidi" w:hAnsiTheme="majorBidi" w:cstheme="majorBidi"/>
          <w:w w:val="105"/>
          <w:sz w:val="24"/>
          <w:szCs w:val="24"/>
        </w:rPr>
        <w:t xml:space="preserve"> factor portfolios using the 30th and 70th percentiles.</w:t>
      </w:r>
      <w:r>
        <w:rPr>
          <w:rFonts w:asciiTheme="majorBidi" w:hAnsiTheme="majorBidi" w:cstheme="majorBidi"/>
          <w:w w:val="105"/>
          <w:sz w:val="24"/>
          <w:szCs w:val="24"/>
        </w:rPr>
        <w:t xml:space="preserve"> To fit our analysis, we specify the FF </w:t>
      </w:r>
      <w:r w:rsidRPr="000D0DAF">
        <w:rPr>
          <w:rFonts w:asciiTheme="majorBidi" w:hAnsiTheme="majorBidi" w:cstheme="majorBidi"/>
          <w:w w:val="105"/>
          <w:sz w:val="24"/>
          <w:szCs w:val="24"/>
        </w:rPr>
        <w:t>five factor model as</w:t>
      </w:r>
      <w:r>
        <w:rPr>
          <w:rFonts w:asciiTheme="majorBidi" w:hAnsiTheme="majorBidi" w:cstheme="majorBidi"/>
          <w:w w:val="105"/>
          <w:sz w:val="24"/>
          <w:szCs w:val="24"/>
        </w:rPr>
        <w:t xml:space="preserve"> follows: </w:t>
      </w:r>
    </w:p>
    <w:p w:rsidR="007F433F" w:rsidRPr="000D0DAF" w:rsidRDefault="007F433F" w:rsidP="007F433F">
      <w:pPr>
        <w:spacing w:line="480" w:lineRule="auto"/>
        <w:jc w:val="right"/>
      </w:pPr>
      <m:oMathPara>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M</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Mt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SMB</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sSub>
            <m:sSubPr>
              <m:ctrlPr>
                <w:rPr>
                  <w:rFonts w:ascii="Cambria Math" w:hAnsi="Cambria Math" w:cstheme="majorBidi"/>
                  <w:i/>
                  <w:sz w:val="24"/>
                  <w:szCs w:val="24"/>
                </w:rPr>
              </m:ctrlPr>
            </m:sSubPr>
            <m:e>
              <m:r>
                <w:rPr>
                  <w:rFonts w:ascii="Cambria Math" w:hAnsi="Cambria Math" w:cstheme="majorBidi"/>
                  <w:sz w:val="24"/>
                  <w:szCs w:val="24"/>
                </w:rPr>
                <m:t>SMB</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HML</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sSub>
            <m:sSubPr>
              <m:ctrlPr>
                <w:rPr>
                  <w:rFonts w:ascii="Cambria Math" w:hAnsi="Cambria Math" w:cstheme="majorBidi"/>
                  <w:i/>
                  <w:sz w:val="24"/>
                  <w:szCs w:val="24"/>
                </w:rPr>
              </m:ctrlPr>
            </m:sSubPr>
            <m:e>
              <m:r>
                <w:rPr>
                  <w:rFonts w:ascii="Cambria Math" w:hAnsi="Cambria Math" w:cstheme="majorBidi"/>
                  <w:sz w:val="24"/>
                  <w:szCs w:val="24"/>
                </w:rPr>
                <m:t>HML</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RMW</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sSub>
            <m:sSubPr>
              <m:ctrlPr>
                <w:rPr>
                  <w:rFonts w:ascii="Cambria Math" w:hAnsi="Cambria Math" w:cstheme="majorBidi"/>
                  <w:i/>
                  <w:sz w:val="24"/>
                  <w:szCs w:val="24"/>
                </w:rPr>
              </m:ctrlPr>
            </m:sSubPr>
            <m:e>
              <m:r>
                <w:rPr>
                  <w:rFonts w:ascii="Cambria Math" w:hAnsi="Cambria Math" w:cstheme="majorBidi"/>
                  <w:sz w:val="24"/>
                  <w:szCs w:val="24"/>
                </w:rPr>
                <m:t>RMW</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CMA</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sSub>
            <m:sSubPr>
              <m:ctrlPr>
                <w:rPr>
                  <w:rFonts w:ascii="Cambria Math" w:hAnsi="Cambria Math" w:cstheme="majorBidi"/>
                  <w:i/>
                  <w:sz w:val="24"/>
                  <w:szCs w:val="24"/>
                </w:rPr>
              </m:ctrlPr>
            </m:sSubPr>
            <m:e>
              <m:r>
                <w:rPr>
                  <w:rFonts w:ascii="Cambria Math" w:hAnsi="Cambria Math" w:cstheme="majorBidi"/>
                  <w:sz w:val="24"/>
                  <w:szCs w:val="24"/>
                </w:rPr>
                <m:t>CMA</m:t>
              </m:r>
            </m:e>
            <m:sub>
              <m:r>
                <w:rPr>
                  <w:rFonts w:ascii="Cambria Math" w:hAnsi="Cambria Math" w:cstheme="majorBidi"/>
                  <w:sz w:val="24"/>
                  <w:szCs w:val="24"/>
                </w:rPr>
                <m:t>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ω</m:t>
              </m:r>
            </m:e>
            <m:sub>
              <m:r>
                <w:rPr>
                  <w:rFonts w:ascii="Cambria Math" w:hAnsi="Cambria Math" w:cstheme="majorBidi"/>
                  <w:sz w:val="24"/>
                  <w:szCs w:val="24"/>
                </w:rPr>
                <m:t>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it</m:t>
              </m:r>
            </m:sub>
          </m:sSub>
          <m:r>
            <m:rPr>
              <m:sty m:val="p"/>
            </m:rPr>
            <w:br/>
          </m:r>
        </m:oMath>
      </m:oMathPara>
      <w:r>
        <w:tab/>
        <w:t xml:space="preserve"> </w:t>
      </w:r>
      <w:r>
        <w:rPr>
          <w:rFonts w:asciiTheme="majorBidi" w:hAnsiTheme="majorBidi" w:cstheme="majorBidi"/>
          <w:sz w:val="24"/>
          <w:szCs w:val="24"/>
        </w:rPr>
        <w:t xml:space="preserve">               </w:t>
      </w:r>
      <w:r>
        <w:t xml:space="preserve">                           </w:t>
      </w:r>
      <w:r w:rsidRPr="00307E6B">
        <w:rPr>
          <w:rFonts w:ascii="Times New Roman" w:hAnsi="Times New Roman" w:cs="Times New Roman"/>
          <w:sz w:val="24"/>
          <w:szCs w:val="24"/>
        </w:rPr>
        <w:t>(4)</w:t>
      </w:r>
    </w:p>
    <w:p w:rsidR="007F433F" w:rsidRDefault="007F433F" w:rsidP="007F433F">
      <w:pPr>
        <w:pStyle w:val="BodyText"/>
        <w:spacing w:after="0" w:line="480" w:lineRule="auto"/>
        <w:jc w:val="both"/>
        <w:rPr>
          <w:rFonts w:asciiTheme="majorBidi" w:hAnsiTheme="majorBidi" w:cstheme="majorBidi"/>
          <w:spacing w:val="-3"/>
          <w:w w:val="105"/>
          <w:sz w:val="24"/>
          <w:szCs w:val="24"/>
        </w:rPr>
      </w:pPr>
      <w:r>
        <w:rPr>
          <w:rFonts w:asciiTheme="majorBidi" w:hAnsiTheme="majorBidi" w:cstheme="majorBidi"/>
          <w:w w:val="105"/>
          <w:sz w:val="24"/>
          <w:szCs w:val="24"/>
        </w:rPr>
        <w:t>w</w:t>
      </w:r>
      <w:r w:rsidRPr="00B8462C">
        <w:rPr>
          <w:rFonts w:asciiTheme="majorBidi" w:hAnsiTheme="majorBidi" w:cstheme="majorBidi"/>
          <w:w w:val="105"/>
          <w:sz w:val="24"/>
          <w:szCs w:val="24"/>
        </w:rPr>
        <w:t>here</w:t>
      </w:r>
      <w:r w:rsidRPr="00B8462C">
        <w:rPr>
          <w:rFonts w:asciiTheme="majorBidi" w:hAnsiTheme="majorBidi" w:cstheme="majorBidi"/>
          <w:spacing w:val="-11"/>
          <w:w w:val="105"/>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RMW</m:t>
            </m:r>
          </m:e>
          <m:sub>
            <m:r>
              <w:rPr>
                <w:rFonts w:ascii="Cambria Math" w:hAnsi="Cambria Math" w:cstheme="majorBidi"/>
                <w:sz w:val="24"/>
                <w:szCs w:val="24"/>
              </w:rPr>
              <m:t>t</m:t>
            </m:r>
          </m:sub>
        </m:sSub>
      </m:oMath>
      <w:r w:rsidRPr="00B8462C">
        <w:rPr>
          <w:rFonts w:asciiTheme="majorBidi" w:eastAsia="Arial" w:hAnsiTheme="majorBidi" w:cstheme="majorBidi"/>
          <w:iCs/>
          <w:spacing w:val="38"/>
          <w:w w:val="105"/>
          <w:position w:val="-3"/>
          <w:sz w:val="24"/>
          <w:szCs w:val="24"/>
        </w:rPr>
        <w:t xml:space="preserve"> </w:t>
      </w:r>
      <w:r w:rsidRPr="00B8462C">
        <w:rPr>
          <w:rFonts w:asciiTheme="majorBidi" w:hAnsiTheme="majorBidi" w:cstheme="majorBidi"/>
          <w:w w:val="105"/>
          <w:sz w:val="24"/>
          <w:szCs w:val="24"/>
        </w:rPr>
        <w:t>is</w:t>
      </w:r>
      <w:r w:rsidRPr="00B8462C">
        <w:rPr>
          <w:rFonts w:asciiTheme="majorBidi" w:hAnsiTheme="majorBidi" w:cstheme="majorBidi"/>
          <w:spacing w:val="-10"/>
          <w:w w:val="105"/>
          <w:sz w:val="24"/>
          <w:szCs w:val="24"/>
        </w:rPr>
        <w:t xml:space="preserve"> </w:t>
      </w:r>
      <w:r w:rsidRPr="00B8462C">
        <w:rPr>
          <w:rFonts w:asciiTheme="majorBidi" w:hAnsiTheme="majorBidi" w:cstheme="majorBidi"/>
          <w:w w:val="105"/>
          <w:sz w:val="24"/>
          <w:szCs w:val="24"/>
        </w:rPr>
        <w:t>t</w:t>
      </w:r>
      <w:r w:rsidRPr="00B8462C">
        <w:rPr>
          <w:rFonts w:asciiTheme="majorBidi" w:hAnsiTheme="majorBidi" w:cstheme="majorBidi"/>
          <w:spacing w:val="-1"/>
          <w:w w:val="105"/>
          <w:sz w:val="24"/>
          <w:szCs w:val="24"/>
        </w:rPr>
        <w:t>h</w:t>
      </w:r>
      <w:r w:rsidRPr="00B8462C">
        <w:rPr>
          <w:rFonts w:asciiTheme="majorBidi" w:hAnsiTheme="majorBidi" w:cstheme="majorBidi"/>
          <w:w w:val="105"/>
          <w:sz w:val="24"/>
          <w:szCs w:val="24"/>
        </w:rPr>
        <w:t>e</w:t>
      </w:r>
      <w:r w:rsidRPr="00B8462C">
        <w:rPr>
          <w:rFonts w:asciiTheme="majorBidi" w:hAnsiTheme="majorBidi" w:cstheme="majorBidi"/>
          <w:spacing w:val="-10"/>
          <w:w w:val="105"/>
          <w:sz w:val="24"/>
          <w:szCs w:val="24"/>
        </w:rPr>
        <w:t xml:space="preserve"> </w:t>
      </w:r>
      <w:r w:rsidRPr="00B8462C">
        <w:rPr>
          <w:rFonts w:asciiTheme="majorBidi" w:hAnsiTheme="majorBidi" w:cstheme="majorBidi"/>
          <w:spacing w:val="-1"/>
          <w:w w:val="105"/>
          <w:sz w:val="24"/>
          <w:szCs w:val="24"/>
        </w:rPr>
        <w:t>d</w:t>
      </w:r>
      <w:r w:rsidRPr="00B8462C">
        <w:rPr>
          <w:rFonts w:asciiTheme="majorBidi" w:hAnsiTheme="majorBidi" w:cstheme="majorBidi"/>
          <w:w w:val="105"/>
          <w:sz w:val="24"/>
          <w:szCs w:val="24"/>
        </w:rPr>
        <w:t>if</w:t>
      </w:r>
      <w:r w:rsidRPr="00B8462C">
        <w:rPr>
          <w:rFonts w:asciiTheme="majorBidi" w:hAnsiTheme="majorBidi" w:cstheme="majorBidi"/>
          <w:spacing w:val="-1"/>
          <w:w w:val="105"/>
          <w:sz w:val="24"/>
          <w:szCs w:val="24"/>
        </w:rPr>
        <w:t>f</w:t>
      </w:r>
      <w:r w:rsidRPr="00B8462C">
        <w:rPr>
          <w:rFonts w:asciiTheme="majorBidi" w:hAnsiTheme="majorBidi" w:cstheme="majorBidi"/>
          <w:w w:val="105"/>
          <w:sz w:val="24"/>
          <w:szCs w:val="24"/>
        </w:rPr>
        <w:t>e</w:t>
      </w:r>
      <w:r w:rsidRPr="00B8462C">
        <w:rPr>
          <w:rFonts w:asciiTheme="majorBidi" w:hAnsiTheme="majorBidi" w:cstheme="majorBidi"/>
          <w:spacing w:val="-6"/>
          <w:w w:val="105"/>
          <w:sz w:val="24"/>
          <w:szCs w:val="24"/>
        </w:rPr>
        <w:t>r</w:t>
      </w:r>
      <w:r w:rsidRPr="00B8462C">
        <w:rPr>
          <w:rFonts w:asciiTheme="majorBidi" w:hAnsiTheme="majorBidi" w:cstheme="majorBidi"/>
          <w:w w:val="105"/>
          <w:sz w:val="24"/>
          <w:szCs w:val="24"/>
        </w:rPr>
        <w:t>e</w:t>
      </w:r>
      <w:r w:rsidRPr="00B8462C">
        <w:rPr>
          <w:rFonts w:asciiTheme="majorBidi" w:hAnsiTheme="majorBidi" w:cstheme="majorBidi"/>
          <w:spacing w:val="-1"/>
          <w:w w:val="105"/>
          <w:sz w:val="24"/>
          <w:szCs w:val="24"/>
        </w:rPr>
        <w:t>n</w:t>
      </w:r>
      <w:r w:rsidRPr="00B8462C">
        <w:rPr>
          <w:rFonts w:asciiTheme="majorBidi" w:hAnsiTheme="majorBidi" w:cstheme="majorBidi"/>
          <w:w w:val="105"/>
          <w:sz w:val="24"/>
          <w:szCs w:val="24"/>
        </w:rPr>
        <w:t>ce</w:t>
      </w:r>
      <w:r w:rsidRPr="00B8462C">
        <w:rPr>
          <w:rFonts w:asciiTheme="majorBidi" w:hAnsiTheme="majorBidi" w:cstheme="majorBidi"/>
          <w:spacing w:val="-10"/>
          <w:w w:val="105"/>
          <w:sz w:val="24"/>
          <w:szCs w:val="24"/>
        </w:rPr>
        <w:t xml:space="preserve"> </w:t>
      </w:r>
      <w:r w:rsidRPr="00B8462C">
        <w:rPr>
          <w:rFonts w:asciiTheme="majorBidi" w:hAnsiTheme="majorBidi" w:cstheme="majorBidi"/>
          <w:w w:val="105"/>
          <w:sz w:val="24"/>
          <w:szCs w:val="24"/>
        </w:rPr>
        <w:t>bet</w:t>
      </w:r>
      <w:r w:rsidRPr="00B8462C">
        <w:rPr>
          <w:rFonts w:asciiTheme="majorBidi" w:hAnsiTheme="majorBidi" w:cstheme="majorBidi"/>
          <w:spacing w:val="-2"/>
          <w:w w:val="105"/>
          <w:sz w:val="24"/>
          <w:szCs w:val="24"/>
        </w:rPr>
        <w:t>w</w:t>
      </w:r>
      <w:r w:rsidRPr="00B8462C">
        <w:rPr>
          <w:rFonts w:asciiTheme="majorBidi" w:hAnsiTheme="majorBidi" w:cstheme="majorBidi"/>
          <w:w w:val="105"/>
          <w:sz w:val="24"/>
          <w:szCs w:val="24"/>
        </w:rPr>
        <w:t>een</w:t>
      </w:r>
      <w:r w:rsidRPr="00B8462C">
        <w:rPr>
          <w:rFonts w:asciiTheme="majorBidi" w:hAnsiTheme="majorBidi" w:cstheme="majorBidi"/>
          <w:spacing w:val="-10"/>
          <w:w w:val="105"/>
          <w:sz w:val="24"/>
          <w:szCs w:val="24"/>
        </w:rPr>
        <w:t xml:space="preserve"> </w:t>
      </w:r>
      <w:r w:rsidRPr="00B8462C">
        <w:rPr>
          <w:rFonts w:asciiTheme="majorBidi" w:hAnsiTheme="majorBidi" w:cstheme="majorBidi"/>
          <w:spacing w:val="-1"/>
          <w:w w:val="105"/>
          <w:sz w:val="24"/>
          <w:szCs w:val="24"/>
        </w:rPr>
        <w:t>t</w:t>
      </w:r>
      <w:r w:rsidRPr="00B8462C">
        <w:rPr>
          <w:rFonts w:asciiTheme="majorBidi" w:hAnsiTheme="majorBidi" w:cstheme="majorBidi"/>
          <w:w w:val="105"/>
          <w:sz w:val="24"/>
          <w:szCs w:val="24"/>
        </w:rPr>
        <w:t>he</w:t>
      </w:r>
      <w:r w:rsidRPr="00B8462C">
        <w:rPr>
          <w:rFonts w:asciiTheme="majorBidi" w:hAnsiTheme="majorBidi" w:cstheme="majorBidi"/>
          <w:spacing w:val="-10"/>
          <w:w w:val="105"/>
          <w:sz w:val="24"/>
          <w:szCs w:val="24"/>
        </w:rPr>
        <w:t xml:space="preserve"> </w:t>
      </w:r>
      <w:r w:rsidRPr="00B8462C">
        <w:rPr>
          <w:rFonts w:asciiTheme="majorBidi" w:hAnsiTheme="majorBidi" w:cstheme="majorBidi"/>
          <w:spacing w:val="-5"/>
          <w:w w:val="105"/>
          <w:sz w:val="24"/>
          <w:szCs w:val="24"/>
        </w:rPr>
        <w:t>r</w:t>
      </w:r>
      <w:r w:rsidRPr="00B8462C">
        <w:rPr>
          <w:rFonts w:asciiTheme="majorBidi" w:hAnsiTheme="majorBidi" w:cstheme="majorBidi"/>
          <w:w w:val="105"/>
          <w:sz w:val="24"/>
          <w:szCs w:val="24"/>
        </w:rPr>
        <w:t>etur</w:t>
      </w:r>
      <w:r w:rsidRPr="00B8462C">
        <w:rPr>
          <w:rFonts w:asciiTheme="majorBidi" w:hAnsiTheme="majorBidi" w:cstheme="majorBidi"/>
          <w:spacing w:val="-1"/>
          <w:w w:val="105"/>
          <w:sz w:val="24"/>
          <w:szCs w:val="24"/>
        </w:rPr>
        <w:t>n</w:t>
      </w:r>
      <w:r w:rsidRPr="00B8462C">
        <w:rPr>
          <w:rFonts w:asciiTheme="majorBidi" w:hAnsiTheme="majorBidi" w:cstheme="majorBidi"/>
          <w:w w:val="105"/>
          <w:sz w:val="24"/>
          <w:szCs w:val="24"/>
        </w:rPr>
        <w:t>s</w:t>
      </w:r>
      <w:r w:rsidRPr="00B8462C">
        <w:rPr>
          <w:rFonts w:asciiTheme="majorBidi" w:hAnsiTheme="majorBidi" w:cstheme="majorBidi"/>
          <w:spacing w:val="-11"/>
          <w:w w:val="105"/>
          <w:sz w:val="24"/>
          <w:szCs w:val="24"/>
        </w:rPr>
        <w:t xml:space="preserve"> </w:t>
      </w:r>
      <w:r w:rsidRPr="00B8462C">
        <w:rPr>
          <w:rFonts w:asciiTheme="majorBidi" w:hAnsiTheme="majorBidi" w:cstheme="majorBidi"/>
          <w:w w:val="105"/>
          <w:sz w:val="24"/>
          <w:szCs w:val="24"/>
        </w:rPr>
        <w:t>on</w:t>
      </w:r>
      <w:r w:rsidRPr="00B8462C">
        <w:rPr>
          <w:rFonts w:asciiTheme="majorBidi" w:hAnsiTheme="majorBidi" w:cstheme="majorBidi"/>
          <w:spacing w:val="-10"/>
          <w:w w:val="105"/>
          <w:sz w:val="24"/>
          <w:szCs w:val="24"/>
        </w:rPr>
        <w:t xml:space="preserve"> </w:t>
      </w:r>
      <w:r w:rsidRPr="00B8462C">
        <w:rPr>
          <w:rFonts w:asciiTheme="majorBidi" w:hAnsiTheme="majorBidi" w:cstheme="majorBidi"/>
          <w:w w:val="105"/>
          <w:sz w:val="24"/>
          <w:szCs w:val="24"/>
        </w:rPr>
        <w:t>di</w:t>
      </w:r>
      <w:r w:rsidRPr="00B8462C">
        <w:rPr>
          <w:rFonts w:asciiTheme="majorBidi" w:hAnsiTheme="majorBidi" w:cstheme="majorBidi"/>
          <w:spacing w:val="-2"/>
          <w:w w:val="105"/>
          <w:sz w:val="24"/>
          <w:szCs w:val="24"/>
        </w:rPr>
        <w:t>v</w:t>
      </w:r>
      <w:r w:rsidRPr="00B8462C">
        <w:rPr>
          <w:rFonts w:asciiTheme="majorBidi" w:hAnsiTheme="majorBidi" w:cstheme="majorBidi"/>
          <w:w w:val="105"/>
          <w:sz w:val="24"/>
          <w:szCs w:val="24"/>
        </w:rPr>
        <w:t>ersif</w:t>
      </w:r>
      <w:r w:rsidRPr="00B8462C">
        <w:rPr>
          <w:rFonts w:asciiTheme="majorBidi" w:hAnsiTheme="majorBidi" w:cstheme="majorBidi"/>
          <w:spacing w:val="-1"/>
          <w:w w:val="105"/>
          <w:sz w:val="24"/>
          <w:szCs w:val="24"/>
        </w:rPr>
        <w:t>i</w:t>
      </w:r>
      <w:r w:rsidRPr="00B8462C">
        <w:rPr>
          <w:rFonts w:asciiTheme="majorBidi" w:hAnsiTheme="majorBidi" w:cstheme="majorBidi"/>
          <w:w w:val="105"/>
          <w:sz w:val="24"/>
          <w:szCs w:val="24"/>
        </w:rPr>
        <w:t>ed</w:t>
      </w:r>
      <w:r w:rsidRPr="00B8462C">
        <w:rPr>
          <w:rFonts w:asciiTheme="majorBidi" w:hAnsiTheme="majorBidi" w:cstheme="majorBidi"/>
          <w:spacing w:val="-10"/>
          <w:w w:val="105"/>
          <w:sz w:val="24"/>
          <w:szCs w:val="24"/>
        </w:rPr>
        <w:t xml:space="preserve"> </w:t>
      </w:r>
      <w:r w:rsidRPr="00B8462C">
        <w:rPr>
          <w:rFonts w:asciiTheme="majorBidi" w:hAnsiTheme="majorBidi" w:cstheme="majorBidi"/>
          <w:w w:val="105"/>
          <w:sz w:val="24"/>
          <w:szCs w:val="24"/>
        </w:rPr>
        <w:t>por</w:t>
      </w:r>
      <w:r w:rsidRPr="00B8462C">
        <w:rPr>
          <w:rFonts w:asciiTheme="majorBidi" w:hAnsiTheme="majorBidi" w:cstheme="majorBidi"/>
          <w:spacing w:val="-1"/>
          <w:w w:val="105"/>
          <w:sz w:val="24"/>
          <w:szCs w:val="24"/>
        </w:rPr>
        <w:t>t</w:t>
      </w:r>
      <w:r w:rsidRPr="00B8462C">
        <w:rPr>
          <w:rFonts w:asciiTheme="majorBidi" w:hAnsiTheme="majorBidi" w:cstheme="majorBidi"/>
          <w:w w:val="105"/>
          <w:sz w:val="24"/>
          <w:szCs w:val="24"/>
        </w:rPr>
        <w:t>folios</w:t>
      </w:r>
      <w:r w:rsidRPr="00B8462C">
        <w:rPr>
          <w:rFonts w:asciiTheme="majorBidi" w:hAnsiTheme="majorBidi" w:cstheme="majorBidi"/>
          <w:spacing w:val="-10"/>
          <w:w w:val="105"/>
          <w:sz w:val="24"/>
          <w:szCs w:val="24"/>
        </w:rPr>
        <w:t xml:space="preserve"> </w:t>
      </w:r>
      <w:r w:rsidRPr="00B8462C">
        <w:rPr>
          <w:rFonts w:asciiTheme="majorBidi" w:hAnsiTheme="majorBidi" w:cstheme="majorBidi"/>
          <w:w w:val="105"/>
          <w:sz w:val="24"/>
          <w:szCs w:val="24"/>
        </w:rPr>
        <w:t>of</w:t>
      </w:r>
      <w:r w:rsidRPr="00B8462C">
        <w:rPr>
          <w:rFonts w:asciiTheme="majorBidi" w:hAnsiTheme="majorBidi" w:cstheme="majorBidi"/>
          <w:spacing w:val="-10"/>
          <w:w w:val="105"/>
          <w:sz w:val="24"/>
          <w:szCs w:val="24"/>
        </w:rPr>
        <w:t xml:space="preserve"> </w:t>
      </w:r>
      <w:r w:rsidRPr="00B8462C">
        <w:rPr>
          <w:rFonts w:asciiTheme="majorBidi" w:hAnsiTheme="majorBidi" w:cstheme="majorBidi"/>
          <w:spacing w:val="-2"/>
          <w:w w:val="105"/>
          <w:sz w:val="24"/>
          <w:szCs w:val="24"/>
        </w:rPr>
        <w:t>r</w:t>
      </w:r>
      <w:r w:rsidRPr="00B8462C">
        <w:rPr>
          <w:rFonts w:asciiTheme="majorBidi" w:hAnsiTheme="majorBidi" w:cstheme="majorBidi"/>
          <w:w w:val="105"/>
          <w:sz w:val="24"/>
          <w:szCs w:val="24"/>
        </w:rPr>
        <w:t>o</w:t>
      </w:r>
      <w:r w:rsidRPr="00B8462C">
        <w:rPr>
          <w:rFonts w:asciiTheme="majorBidi" w:hAnsiTheme="majorBidi" w:cstheme="majorBidi"/>
          <w:spacing w:val="-1"/>
          <w:w w:val="105"/>
          <w:sz w:val="24"/>
          <w:szCs w:val="24"/>
        </w:rPr>
        <w:t>b</w:t>
      </w:r>
      <w:r w:rsidRPr="00B8462C">
        <w:rPr>
          <w:rFonts w:asciiTheme="majorBidi" w:hAnsiTheme="majorBidi" w:cstheme="majorBidi"/>
          <w:w w:val="105"/>
          <w:sz w:val="24"/>
          <w:szCs w:val="24"/>
        </w:rPr>
        <w:t>ust</w:t>
      </w:r>
      <w:r w:rsidRPr="00B8462C">
        <w:rPr>
          <w:rFonts w:asciiTheme="majorBidi" w:hAnsiTheme="majorBidi" w:cstheme="majorBidi"/>
          <w:spacing w:val="-10"/>
          <w:w w:val="105"/>
          <w:sz w:val="24"/>
          <w:szCs w:val="24"/>
        </w:rPr>
        <w:t xml:space="preserve"> </w:t>
      </w:r>
      <w:r w:rsidRPr="00B8462C">
        <w:rPr>
          <w:rFonts w:asciiTheme="majorBidi" w:hAnsiTheme="majorBidi" w:cstheme="majorBidi"/>
          <w:w w:val="105"/>
          <w:sz w:val="24"/>
          <w:szCs w:val="24"/>
        </w:rPr>
        <w:t>stoc</w:t>
      </w:r>
      <w:r w:rsidRPr="00B8462C">
        <w:rPr>
          <w:rFonts w:asciiTheme="majorBidi" w:hAnsiTheme="majorBidi" w:cstheme="majorBidi"/>
          <w:spacing w:val="-1"/>
          <w:w w:val="105"/>
          <w:sz w:val="24"/>
          <w:szCs w:val="24"/>
        </w:rPr>
        <w:t>k</w:t>
      </w:r>
      <w:r w:rsidRPr="00B8462C">
        <w:rPr>
          <w:rFonts w:asciiTheme="majorBidi" w:hAnsiTheme="majorBidi" w:cstheme="majorBidi"/>
          <w:w w:val="105"/>
          <w:sz w:val="24"/>
          <w:szCs w:val="24"/>
        </w:rPr>
        <w:t>s</w:t>
      </w:r>
      <w:r w:rsidRPr="00B8462C">
        <w:rPr>
          <w:rFonts w:asciiTheme="majorBidi" w:hAnsiTheme="majorBidi" w:cstheme="majorBidi"/>
          <w:spacing w:val="-11"/>
          <w:w w:val="105"/>
          <w:sz w:val="24"/>
          <w:szCs w:val="24"/>
        </w:rPr>
        <w:t xml:space="preserve"> </w:t>
      </w:r>
      <w:r w:rsidRPr="00B8462C">
        <w:rPr>
          <w:rFonts w:asciiTheme="majorBidi" w:hAnsiTheme="majorBidi" w:cstheme="majorBidi"/>
          <w:spacing w:val="-2"/>
          <w:w w:val="105"/>
          <w:sz w:val="24"/>
          <w:szCs w:val="24"/>
        </w:rPr>
        <w:t>a</w:t>
      </w:r>
      <w:r w:rsidRPr="00B8462C">
        <w:rPr>
          <w:rFonts w:asciiTheme="majorBidi" w:hAnsiTheme="majorBidi" w:cstheme="majorBidi"/>
          <w:w w:val="105"/>
          <w:sz w:val="24"/>
          <w:szCs w:val="24"/>
        </w:rPr>
        <w:t>nd</w:t>
      </w:r>
      <w:r w:rsidRPr="00B8462C">
        <w:rPr>
          <w:rFonts w:asciiTheme="majorBidi" w:hAnsiTheme="majorBidi" w:cstheme="majorBidi"/>
          <w:w w:val="111"/>
          <w:sz w:val="24"/>
          <w:szCs w:val="24"/>
        </w:rPr>
        <w:t xml:space="preserve"> </w:t>
      </w:r>
      <w:r w:rsidRPr="00B8462C">
        <w:rPr>
          <w:rFonts w:asciiTheme="majorBidi" w:hAnsiTheme="majorBidi" w:cstheme="majorBidi"/>
          <w:spacing w:val="-2"/>
          <w:w w:val="105"/>
          <w:sz w:val="24"/>
          <w:szCs w:val="24"/>
        </w:rPr>
        <w:t>w</w:t>
      </w:r>
      <w:r w:rsidRPr="00B8462C">
        <w:rPr>
          <w:rFonts w:asciiTheme="majorBidi" w:hAnsiTheme="majorBidi" w:cstheme="majorBidi"/>
          <w:w w:val="105"/>
          <w:sz w:val="24"/>
          <w:szCs w:val="24"/>
        </w:rPr>
        <w:t>eak</w:t>
      </w:r>
      <w:r w:rsidRPr="00B8462C">
        <w:rPr>
          <w:rFonts w:asciiTheme="majorBidi" w:hAnsiTheme="majorBidi" w:cstheme="majorBidi"/>
          <w:spacing w:val="-25"/>
          <w:w w:val="105"/>
          <w:sz w:val="24"/>
          <w:szCs w:val="24"/>
        </w:rPr>
        <w:t xml:space="preserve"> </w:t>
      </w:r>
      <w:r w:rsidRPr="00B8462C">
        <w:rPr>
          <w:rFonts w:asciiTheme="majorBidi" w:hAnsiTheme="majorBidi" w:cstheme="majorBidi"/>
          <w:spacing w:val="-1"/>
          <w:w w:val="105"/>
          <w:sz w:val="24"/>
          <w:szCs w:val="24"/>
        </w:rPr>
        <w:t>p</w:t>
      </w:r>
      <w:r w:rsidRPr="00B8462C">
        <w:rPr>
          <w:rFonts w:asciiTheme="majorBidi" w:hAnsiTheme="majorBidi" w:cstheme="majorBidi"/>
          <w:spacing w:val="-2"/>
          <w:w w:val="105"/>
          <w:sz w:val="24"/>
          <w:szCs w:val="24"/>
        </w:rPr>
        <w:t>r</w:t>
      </w:r>
      <w:r w:rsidRPr="00B8462C">
        <w:rPr>
          <w:rFonts w:asciiTheme="majorBidi" w:hAnsiTheme="majorBidi" w:cstheme="majorBidi"/>
          <w:w w:val="105"/>
          <w:sz w:val="24"/>
          <w:szCs w:val="24"/>
        </w:rPr>
        <w:t>ofi</w:t>
      </w:r>
      <w:r w:rsidRPr="00B8462C">
        <w:rPr>
          <w:rFonts w:asciiTheme="majorBidi" w:hAnsiTheme="majorBidi" w:cstheme="majorBidi"/>
          <w:spacing w:val="-1"/>
          <w:w w:val="105"/>
          <w:sz w:val="24"/>
          <w:szCs w:val="24"/>
        </w:rPr>
        <w:t>t</w:t>
      </w:r>
      <w:r w:rsidRPr="00B8462C">
        <w:rPr>
          <w:rFonts w:asciiTheme="majorBidi" w:hAnsiTheme="majorBidi" w:cstheme="majorBidi"/>
          <w:w w:val="105"/>
          <w:sz w:val="24"/>
          <w:szCs w:val="24"/>
        </w:rPr>
        <w:t>able</w:t>
      </w:r>
      <w:r w:rsidRPr="00B8462C">
        <w:rPr>
          <w:rFonts w:asciiTheme="majorBidi" w:hAnsiTheme="majorBidi" w:cstheme="majorBidi"/>
          <w:spacing w:val="-25"/>
          <w:w w:val="105"/>
          <w:sz w:val="24"/>
          <w:szCs w:val="24"/>
        </w:rPr>
        <w:t xml:space="preserve"> </w:t>
      </w:r>
      <w:r w:rsidRPr="00B8462C">
        <w:rPr>
          <w:rFonts w:asciiTheme="majorBidi" w:hAnsiTheme="majorBidi" w:cstheme="majorBidi"/>
          <w:spacing w:val="-2"/>
          <w:w w:val="105"/>
          <w:sz w:val="24"/>
          <w:szCs w:val="24"/>
        </w:rPr>
        <w:t>s</w:t>
      </w:r>
      <w:r w:rsidRPr="00B8462C">
        <w:rPr>
          <w:rFonts w:asciiTheme="majorBidi" w:hAnsiTheme="majorBidi" w:cstheme="majorBidi"/>
          <w:w w:val="105"/>
          <w:sz w:val="24"/>
          <w:szCs w:val="24"/>
        </w:rPr>
        <w:t>tock</w:t>
      </w:r>
      <w:r w:rsidRPr="00B8462C">
        <w:rPr>
          <w:rFonts w:asciiTheme="majorBidi" w:hAnsiTheme="majorBidi" w:cstheme="majorBidi"/>
          <w:spacing w:val="-4"/>
          <w:w w:val="105"/>
          <w:sz w:val="24"/>
          <w:szCs w:val="24"/>
        </w:rPr>
        <w:t>s</w:t>
      </w:r>
      <w:r w:rsidRPr="00B8462C">
        <w:rPr>
          <w:rFonts w:asciiTheme="majorBidi" w:hAnsiTheme="majorBidi" w:cstheme="majorBidi"/>
          <w:w w:val="105"/>
          <w:sz w:val="24"/>
          <w:szCs w:val="24"/>
        </w:rPr>
        <w:t>,</w:t>
      </w:r>
      <w:r w:rsidRPr="00B8462C">
        <w:rPr>
          <w:rFonts w:asciiTheme="majorBidi" w:hAnsiTheme="majorBidi" w:cstheme="majorBidi"/>
          <w:spacing w:val="-26"/>
          <w:w w:val="105"/>
          <w:sz w:val="24"/>
          <w:szCs w:val="24"/>
        </w:rPr>
        <w:t xml:space="preserve"> </w:t>
      </w:r>
      <w:r w:rsidRPr="00B8462C">
        <w:rPr>
          <w:rFonts w:asciiTheme="majorBidi" w:hAnsiTheme="majorBidi" w:cstheme="majorBidi"/>
          <w:w w:val="105"/>
          <w:sz w:val="24"/>
          <w:szCs w:val="24"/>
        </w:rPr>
        <w:t>a</w:t>
      </w:r>
      <w:r w:rsidRPr="00B8462C">
        <w:rPr>
          <w:rFonts w:asciiTheme="majorBidi" w:hAnsiTheme="majorBidi" w:cstheme="majorBidi"/>
          <w:spacing w:val="-2"/>
          <w:w w:val="105"/>
          <w:sz w:val="24"/>
          <w:szCs w:val="24"/>
        </w:rPr>
        <w:t>n</w:t>
      </w:r>
      <w:r w:rsidRPr="00B8462C">
        <w:rPr>
          <w:rFonts w:asciiTheme="majorBidi" w:hAnsiTheme="majorBidi" w:cstheme="majorBidi"/>
          <w:w w:val="105"/>
          <w:sz w:val="24"/>
          <w:szCs w:val="24"/>
        </w:rPr>
        <w:t>d</w:t>
      </w:r>
      <w:r w:rsidRPr="00B8462C">
        <w:rPr>
          <w:rFonts w:asciiTheme="majorBidi" w:hAnsiTheme="majorBidi" w:cstheme="majorBidi"/>
          <w:spacing w:val="-30"/>
          <w:w w:val="105"/>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CMA</m:t>
            </m:r>
          </m:e>
          <m:sub>
            <m:r>
              <w:rPr>
                <w:rFonts w:ascii="Cambria Math" w:hAnsi="Cambria Math" w:cstheme="majorBidi"/>
                <w:sz w:val="24"/>
                <w:szCs w:val="24"/>
              </w:rPr>
              <m:t>t</m:t>
            </m:r>
          </m:sub>
        </m:sSub>
      </m:oMath>
      <w:r w:rsidRPr="00B8462C">
        <w:rPr>
          <w:rFonts w:asciiTheme="majorBidi" w:eastAsia="Arial" w:hAnsiTheme="majorBidi" w:cstheme="majorBidi"/>
          <w:iCs/>
          <w:spacing w:val="14"/>
          <w:w w:val="105"/>
          <w:position w:val="-3"/>
          <w:sz w:val="24"/>
          <w:szCs w:val="24"/>
        </w:rPr>
        <w:t xml:space="preserve"> </w:t>
      </w:r>
      <w:r w:rsidRPr="00B8462C">
        <w:rPr>
          <w:rFonts w:asciiTheme="majorBidi" w:hAnsiTheme="majorBidi" w:cstheme="majorBidi"/>
          <w:w w:val="105"/>
          <w:sz w:val="24"/>
          <w:szCs w:val="24"/>
        </w:rPr>
        <w:t>is</w:t>
      </w:r>
      <w:r w:rsidRPr="00B8462C">
        <w:rPr>
          <w:rFonts w:asciiTheme="majorBidi" w:hAnsiTheme="majorBidi" w:cstheme="majorBidi"/>
          <w:spacing w:val="-25"/>
          <w:w w:val="105"/>
          <w:sz w:val="24"/>
          <w:szCs w:val="24"/>
        </w:rPr>
        <w:t xml:space="preserve"> </w:t>
      </w:r>
      <w:r w:rsidRPr="00B8462C">
        <w:rPr>
          <w:rFonts w:asciiTheme="majorBidi" w:hAnsiTheme="majorBidi" w:cstheme="majorBidi"/>
          <w:w w:val="105"/>
          <w:sz w:val="24"/>
          <w:szCs w:val="24"/>
        </w:rPr>
        <w:t>t</w:t>
      </w:r>
      <w:r w:rsidRPr="00B8462C">
        <w:rPr>
          <w:rFonts w:asciiTheme="majorBidi" w:hAnsiTheme="majorBidi" w:cstheme="majorBidi"/>
          <w:spacing w:val="-1"/>
          <w:w w:val="105"/>
          <w:sz w:val="24"/>
          <w:szCs w:val="24"/>
        </w:rPr>
        <w:t>h</w:t>
      </w:r>
      <w:r w:rsidRPr="00B8462C">
        <w:rPr>
          <w:rFonts w:asciiTheme="majorBidi" w:hAnsiTheme="majorBidi" w:cstheme="majorBidi"/>
          <w:w w:val="105"/>
          <w:sz w:val="24"/>
          <w:szCs w:val="24"/>
        </w:rPr>
        <w:t>e</w:t>
      </w:r>
      <w:r w:rsidRPr="00B8462C">
        <w:rPr>
          <w:rFonts w:asciiTheme="majorBidi" w:hAnsiTheme="majorBidi" w:cstheme="majorBidi"/>
          <w:spacing w:val="-25"/>
          <w:w w:val="105"/>
          <w:sz w:val="24"/>
          <w:szCs w:val="24"/>
        </w:rPr>
        <w:t xml:space="preserve"> </w:t>
      </w:r>
      <w:r w:rsidRPr="00B8462C">
        <w:rPr>
          <w:rFonts w:asciiTheme="majorBidi" w:hAnsiTheme="majorBidi" w:cstheme="majorBidi"/>
          <w:w w:val="105"/>
          <w:sz w:val="24"/>
          <w:szCs w:val="24"/>
        </w:rPr>
        <w:t>dif</w:t>
      </w:r>
      <w:r w:rsidRPr="00B8462C">
        <w:rPr>
          <w:rFonts w:asciiTheme="majorBidi" w:hAnsiTheme="majorBidi" w:cstheme="majorBidi"/>
          <w:spacing w:val="-1"/>
          <w:w w:val="105"/>
          <w:sz w:val="24"/>
          <w:szCs w:val="24"/>
        </w:rPr>
        <w:t>f</w:t>
      </w:r>
      <w:r w:rsidRPr="00B8462C">
        <w:rPr>
          <w:rFonts w:asciiTheme="majorBidi" w:hAnsiTheme="majorBidi" w:cstheme="majorBidi"/>
          <w:w w:val="105"/>
          <w:sz w:val="24"/>
          <w:szCs w:val="24"/>
        </w:rPr>
        <w:t>e</w:t>
      </w:r>
      <w:r w:rsidRPr="00B8462C">
        <w:rPr>
          <w:rFonts w:asciiTheme="majorBidi" w:hAnsiTheme="majorBidi" w:cstheme="majorBidi"/>
          <w:spacing w:val="-5"/>
          <w:w w:val="105"/>
          <w:sz w:val="24"/>
          <w:szCs w:val="24"/>
        </w:rPr>
        <w:t>r</w:t>
      </w:r>
      <w:r w:rsidRPr="00B8462C">
        <w:rPr>
          <w:rFonts w:asciiTheme="majorBidi" w:hAnsiTheme="majorBidi" w:cstheme="majorBidi"/>
          <w:w w:val="105"/>
          <w:sz w:val="24"/>
          <w:szCs w:val="24"/>
        </w:rPr>
        <w:t>en</w:t>
      </w:r>
      <w:r w:rsidRPr="00B8462C">
        <w:rPr>
          <w:rFonts w:asciiTheme="majorBidi" w:hAnsiTheme="majorBidi" w:cstheme="majorBidi"/>
          <w:spacing w:val="-2"/>
          <w:w w:val="105"/>
          <w:sz w:val="24"/>
          <w:szCs w:val="24"/>
        </w:rPr>
        <w:t>c</w:t>
      </w:r>
      <w:r w:rsidRPr="00B8462C">
        <w:rPr>
          <w:rFonts w:asciiTheme="majorBidi" w:hAnsiTheme="majorBidi" w:cstheme="majorBidi"/>
          <w:w w:val="105"/>
          <w:sz w:val="24"/>
          <w:szCs w:val="24"/>
        </w:rPr>
        <w:t>e</w:t>
      </w:r>
      <w:r w:rsidRPr="00B8462C">
        <w:rPr>
          <w:rFonts w:asciiTheme="majorBidi" w:hAnsiTheme="majorBidi" w:cstheme="majorBidi"/>
          <w:spacing w:val="-25"/>
          <w:w w:val="105"/>
          <w:sz w:val="24"/>
          <w:szCs w:val="24"/>
        </w:rPr>
        <w:t xml:space="preserve"> </w:t>
      </w:r>
      <w:r w:rsidRPr="00B8462C">
        <w:rPr>
          <w:rFonts w:asciiTheme="majorBidi" w:hAnsiTheme="majorBidi" w:cstheme="majorBidi"/>
          <w:w w:val="105"/>
          <w:sz w:val="24"/>
          <w:szCs w:val="24"/>
        </w:rPr>
        <w:t>bet</w:t>
      </w:r>
      <w:r w:rsidRPr="00B8462C">
        <w:rPr>
          <w:rFonts w:asciiTheme="majorBidi" w:hAnsiTheme="majorBidi" w:cstheme="majorBidi"/>
          <w:spacing w:val="-2"/>
          <w:w w:val="105"/>
          <w:sz w:val="24"/>
          <w:szCs w:val="24"/>
        </w:rPr>
        <w:t>w</w:t>
      </w:r>
      <w:r w:rsidRPr="00B8462C">
        <w:rPr>
          <w:rFonts w:asciiTheme="majorBidi" w:hAnsiTheme="majorBidi" w:cstheme="majorBidi"/>
          <w:w w:val="105"/>
          <w:sz w:val="24"/>
          <w:szCs w:val="24"/>
        </w:rPr>
        <w:t>een</w:t>
      </w:r>
      <w:r w:rsidRPr="00B8462C">
        <w:rPr>
          <w:rFonts w:asciiTheme="majorBidi" w:hAnsiTheme="majorBidi" w:cstheme="majorBidi"/>
          <w:spacing w:val="-25"/>
          <w:w w:val="105"/>
          <w:sz w:val="24"/>
          <w:szCs w:val="24"/>
        </w:rPr>
        <w:t xml:space="preserve"> </w:t>
      </w:r>
      <w:r w:rsidRPr="00B8462C">
        <w:rPr>
          <w:rFonts w:asciiTheme="majorBidi" w:hAnsiTheme="majorBidi" w:cstheme="majorBidi"/>
          <w:spacing w:val="-1"/>
          <w:w w:val="105"/>
          <w:sz w:val="24"/>
          <w:szCs w:val="24"/>
        </w:rPr>
        <w:t>t</w:t>
      </w:r>
      <w:r w:rsidRPr="00B8462C">
        <w:rPr>
          <w:rFonts w:asciiTheme="majorBidi" w:hAnsiTheme="majorBidi" w:cstheme="majorBidi"/>
          <w:w w:val="105"/>
          <w:sz w:val="24"/>
          <w:szCs w:val="24"/>
        </w:rPr>
        <w:t>he</w:t>
      </w:r>
      <w:r w:rsidRPr="00B8462C">
        <w:rPr>
          <w:rFonts w:asciiTheme="majorBidi" w:hAnsiTheme="majorBidi" w:cstheme="majorBidi"/>
          <w:spacing w:val="-25"/>
          <w:w w:val="105"/>
          <w:sz w:val="24"/>
          <w:szCs w:val="24"/>
        </w:rPr>
        <w:t xml:space="preserve"> </w:t>
      </w:r>
      <w:r w:rsidRPr="00B8462C">
        <w:rPr>
          <w:rFonts w:asciiTheme="majorBidi" w:hAnsiTheme="majorBidi" w:cstheme="majorBidi"/>
          <w:spacing w:val="-5"/>
          <w:w w:val="105"/>
          <w:sz w:val="24"/>
          <w:szCs w:val="24"/>
        </w:rPr>
        <w:t>r</w:t>
      </w:r>
      <w:r w:rsidRPr="00B8462C">
        <w:rPr>
          <w:rFonts w:asciiTheme="majorBidi" w:hAnsiTheme="majorBidi" w:cstheme="majorBidi"/>
          <w:w w:val="105"/>
          <w:sz w:val="24"/>
          <w:szCs w:val="24"/>
        </w:rPr>
        <w:t>etu</w:t>
      </w:r>
      <w:r w:rsidRPr="00B8462C">
        <w:rPr>
          <w:rFonts w:asciiTheme="majorBidi" w:hAnsiTheme="majorBidi" w:cstheme="majorBidi"/>
          <w:spacing w:val="1"/>
          <w:w w:val="105"/>
          <w:sz w:val="24"/>
          <w:szCs w:val="24"/>
        </w:rPr>
        <w:t>r</w:t>
      </w:r>
      <w:r w:rsidRPr="00B8462C">
        <w:rPr>
          <w:rFonts w:asciiTheme="majorBidi" w:hAnsiTheme="majorBidi" w:cstheme="majorBidi"/>
          <w:w w:val="105"/>
          <w:sz w:val="24"/>
          <w:szCs w:val="24"/>
        </w:rPr>
        <w:t>ns</w:t>
      </w:r>
      <w:r w:rsidRPr="00B8462C">
        <w:rPr>
          <w:rFonts w:asciiTheme="majorBidi" w:hAnsiTheme="majorBidi" w:cstheme="majorBidi"/>
          <w:spacing w:val="-25"/>
          <w:w w:val="105"/>
          <w:sz w:val="24"/>
          <w:szCs w:val="24"/>
        </w:rPr>
        <w:t xml:space="preserve"> </w:t>
      </w:r>
      <w:r w:rsidRPr="00B8462C">
        <w:rPr>
          <w:rFonts w:asciiTheme="majorBidi" w:hAnsiTheme="majorBidi" w:cstheme="majorBidi"/>
          <w:w w:val="105"/>
          <w:sz w:val="24"/>
          <w:szCs w:val="24"/>
        </w:rPr>
        <w:t>on</w:t>
      </w:r>
      <w:r w:rsidRPr="00B8462C">
        <w:rPr>
          <w:rFonts w:asciiTheme="majorBidi" w:hAnsiTheme="majorBidi" w:cstheme="majorBidi"/>
          <w:spacing w:val="-25"/>
          <w:w w:val="105"/>
          <w:sz w:val="24"/>
          <w:szCs w:val="24"/>
        </w:rPr>
        <w:t xml:space="preserve"> </w:t>
      </w:r>
      <w:r w:rsidRPr="00B8462C">
        <w:rPr>
          <w:rFonts w:asciiTheme="majorBidi" w:hAnsiTheme="majorBidi" w:cstheme="majorBidi"/>
          <w:w w:val="105"/>
          <w:sz w:val="24"/>
          <w:szCs w:val="24"/>
        </w:rPr>
        <w:t>di</w:t>
      </w:r>
      <w:r w:rsidRPr="00B8462C">
        <w:rPr>
          <w:rFonts w:asciiTheme="majorBidi" w:hAnsiTheme="majorBidi" w:cstheme="majorBidi"/>
          <w:spacing w:val="-2"/>
          <w:w w:val="105"/>
          <w:sz w:val="24"/>
          <w:szCs w:val="24"/>
        </w:rPr>
        <w:t>v</w:t>
      </w:r>
      <w:r w:rsidRPr="00B8462C">
        <w:rPr>
          <w:rFonts w:asciiTheme="majorBidi" w:hAnsiTheme="majorBidi" w:cstheme="majorBidi"/>
          <w:w w:val="105"/>
          <w:sz w:val="24"/>
          <w:szCs w:val="24"/>
        </w:rPr>
        <w:t>ersif</w:t>
      </w:r>
      <w:r w:rsidRPr="00B8462C">
        <w:rPr>
          <w:rFonts w:asciiTheme="majorBidi" w:hAnsiTheme="majorBidi" w:cstheme="majorBidi"/>
          <w:spacing w:val="-1"/>
          <w:w w:val="105"/>
          <w:sz w:val="24"/>
          <w:szCs w:val="24"/>
        </w:rPr>
        <w:t>i</w:t>
      </w:r>
      <w:r w:rsidRPr="00B8462C">
        <w:rPr>
          <w:rFonts w:asciiTheme="majorBidi" w:hAnsiTheme="majorBidi" w:cstheme="majorBidi"/>
          <w:w w:val="105"/>
          <w:sz w:val="24"/>
          <w:szCs w:val="24"/>
        </w:rPr>
        <w:t>ed</w:t>
      </w:r>
      <w:r w:rsidRPr="00B8462C">
        <w:rPr>
          <w:rFonts w:asciiTheme="majorBidi" w:hAnsiTheme="majorBidi" w:cstheme="majorBidi"/>
          <w:spacing w:val="-25"/>
          <w:w w:val="105"/>
          <w:sz w:val="24"/>
          <w:szCs w:val="24"/>
        </w:rPr>
        <w:t xml:space="preserve"> </w:t>
      </w:r>
      <w:r w:rsidRPr="00B8462C">
        <w:rPr>
          <w:rFonts w:asciiTheme="majorBidi" w:hAnsiTheme="majorBidi" w:cstheme="majorBidi"/>
          <w:w w:val="105"/>
          <w:sz w:val="24"/>
          <w:szCs w:val="24"/>
        </w:rPr>
        <w:t>port</w:t>
      </w:r>
      <w:r w:rsidRPr="00B8462C">
        <w:rPr>
          <w:rFonts w:asciiTheme="majorBidi" w:hAnsiTheme="majorBidi" w:cstheme="majorBidi"/>
          <w:spacing w:val="-1"/>
          <w:w w:val="105"/>
          <w:sz w:val="24"/>
          <w:szCs w:val="24"/>
        </w:rPr>
        <w:t>f</w:t>
      </w:r>
      <w:r w:rsidRPr="00B8462C">
        <w:rPr>
          <w:rFonts w:asciiTheme="majorBidi" w:hAnsiTheme="majorBidi" w:cstheme="majorBidi"/>
          <w:w w:val="105"/>
          <w:sz w:val="24"/>
          <w:szCs w:val="24"/>
        </w:rPr>
        <w:t>olios</w:t>
      </w:r>
      <w:r w:rsidRPr="00B8462C">
        <w:rPr>
          <w:rFonts w:asciiTheme="majorBidi" w:hAnsiTheme="majorBidi" w:cstheme="majorBidi"/>
          <w:spacing w:val="-25"/>
          <w:w w:val="105"/>
          <w:sz w:val="24"/>
          <w:szCs w:val="24"/>
        </w:rPr>
        <w:t xml:space="preserve"> </w:t>
      </w:r>
      <w:r w:rsidRPr="00B8462C">
        <w:rPr>
          <w:rFonts w:asciiTheme="majorBidi" w:hAnsiTheme="majorBidi" w:cstheme="majorBidi"/>
          <w:w w:val="105"/>
          <w:sz w:val="24"/>
          <w:szCs w:val="24"/>
        </w:rPr>
        <w:t>of</w:t>
      </w:r>
      <w:r w:rsidRPr="00B8462C">
        <w:rPr>
          <w:rFonts w:asciiTheme="majorBidi" w:hAnsiTheme="majorBidi" w:cstheme="majorBidi"/>
          <w:w w:val="106"/>
          <w:sz w:val="24"/>
          <w:szCs w:val="24"/>
        </w:rPr>
        <w:t xml:space="preserve"> </w:t>
      </w:r>
      <w:r w:rsidRPr="00B8462C">
        <w:rPr>
          <w:rFonts w:asciiTheme="majorBidi" w:hAnsiTheme="majorBidi" w:cstheme="majorBidi"/>
          <w:w w:val="105"/>
          <w:sz w:val="24"/>
          <w:szCs w:val="24"/>
        </w:rPr>
        <w:t>s</w:t>
      </w:r>
      <w:r w:rsidRPr="00B8462C">
        <w:rPr>
          <w:rFonts w:asciiTheme="majorBidi" w:hAnsiTheme="majorBidi" w:cstheme="majorBidi"/>
          <w:spacing w:val="-2"/>
          <w:w w:val="105"/>
          <w:sz w:val="24"/>
          <w:szCs w:val="24"/>
        </w:rPr>
        <w:t>t</w:t>
      </w:r>
      <w:r w:rsidRPr="00B8462C">
        <w:rPr>
          <w:rFonts w:asciiTheme="majorBidi" w:hAnsiTheme="majorBidi" w:cstheme="majorBidi"/>
          <w:w w:val="105"/>
          <w:sz w:val="24"/>
          <w:szCs w:val="24"/>
        </w:rPr>
        <w:t>o</w:t>
      </w:r>
      <w:r w:rsidRPr="00B8462C">
        <w:rPr>
          <w:rFonts w:asciiTheme="majorBidi" w:hAnsiTheme="majorBidi" w:cstheme="majorBidi"/>
          <w:spacing w:val="-2"/>
          <w:w w:val="105"/>
          <w:sz w:val="24"/>
          <w:szCs w:val="24"/>
        </w:rPr>
        <w:t>c</w:t>
      </w:r>
      <w:r w:rsidRPr="00B8462C">
        <w:rPr>
          <w:rFonts w:asciiTheme="majorBidi" w:hAnsiTheme="majorBidi" w:cstheme="majorBidi"/>
          <w:w w:val="105"/>
          <w:sz w:val="24"/>
          <w:szCs w:val="24"/>
        </w:rPr>
        <w:t>ks</w:t>
      </w:r>
      <w:r w:rsidRPr="00B8462C">
        <w:rPr>
          <w:rFonts w:asciiTheme="majorBidi" w:hAnsiTheme="majorBidi" w:cstheme="majorBidi"/>
          <w:spacing w:val="-14"/>
          <w:w w:val="105"/>
          <w:sz w:val="24"/>
          <w:szCs w:val="24"/>
        </w:rPr>
        <w:t xml:space="preserve"> </w:t>
      </w:r>
      <w:r w:rsidRPr="00B8462C">
        <w:rPr>
          <w:rFonts w:asciiTheme="majorBidi" w:hAnsiTheme="majorBidi" w:cstheme="majorBidi"/>
          <w:w w:val="105"/>
          <w:sz w:val="24"/>
          <w:szCs w:val="24"/>
        </w:rPr>
        <w:t>wi</w:t>
      </w:r>
      <w:r w:rsidRPr="00B8462C">
        <w:rPr>
          <w:rFonts w:asciiTheme="majorBidi" w:hAnsiTheme="majorBidi" w:cstheme="majorBidi"/>
          <w:spacing w:val="-1"/>
          <w:w w:val="105"/>
          <w:sz w:val="24"/>
          <w:szCs w:val="24"/>
        </w:rPr>
        <w:t>t</w:t>
      </w:r>
      <w:r w:rsidRPr="00B8462C">
        <w:rPr>
          <w:rFonts w:asciiTheme="majorBidi" w:hAnsiTheme="majorBidi" w:cstheme="majorBidi"/>
          <w:w w:val="105"/>
          <w:sz w:val="24"/>
          <w:szCs w:val="24"/>
        </w:rPr>
        <w:t>h</w:t>
      </w:r>
      <w:r w:rsidRPr="00B8462C">
        <w:rPr>
          <w:rFonts w:asciiTheme="majorBidi" w:hAnsiTheme="majorBidi" w:cstheme="majorBidi"/>
          <w:spacing w:val="-13"/>
          <w:w w:val="105"/>
          <w:sz w:val="24"/>
          <w:szCs w:val="24"/>
        </w:rPr>
        <w:t xml:space="preserve"> </w:t>
      </w:r>
      <w:r w:rsidRPr="00B8462C">
        <w:rPr>
          <w:rFonts w:asciiTheme="majorBidi" w:hAnsiTheme="majorBidi" w:cstheme="majorBidi"/>
          <w:w w:val="105"/>
          <w:sz w:val="24"/>
          <w:szCs w:val="24"/>
        </w:rPr>
        <w:t>l</w:t>
      </w:r>
      <w:r w:rsidRPr="00B8462C">
        <w:rPr>
          <w:rFonts w:asciiTheme="majorBidi" w:hAnsiTheme="majorBidi" w:cstheme="majorBidi"/>
          <w:spacing w:val="-7"/>
          <w:w w:val="105"/>
          <w:sz w:val="24"/>
          <w:szCs w:val="24"/>
        </w:rPr>
        <w:t>o</w:t>
      </w:r>
      <w:r w:rsidRPr="00B8462C">
        <w:rPr>
          <w:rFonts w:asciiTheme="majorBidi" w:hAnsiTheme="majorBidi" w:cstheme="majorBidi"/>
          <w:w w:val="105"/>
          <w:sz w:val="24"/>
          <w:szCs w:val="24"/>
        </w:rPr>
        <w:t>w</w:t>
      </w:r>
      <w:r w:rsidRPr="00B8462C">
        <w:rPr>
          <w:rFonts w:asciiTheme="majorBidi" w:hAnsiTheme="majorBidi" w:cstheme="majorBidi"/>
          <w:spacing w:val="-13"/>
          <w:w w:val="105"/>
          <w:sz w:val="24"/>
          <w:szCs w:val="24"/>
        </w:rPr>
        <w:t xml:space="preserve"> </w:t>
      </w:r>
      <w:r w:rsidRPr="00B8462C">
        <w:rPr>
          <w:rFonts w:asciiTheme="majorBidi" w:hAnsiTheme="majorBidi" w:cstheme="majorBidi"/>
          <w:w w:val="105"/>
          <w:sz w:val="24"/>
          <w:szCs w:val="24"/>
        </w:rPr>
        <w:t>and</w:t>
      </w:r>
      <w:r w:rsidRPr="00B8462C">
        <w:rPr>
          <w:rFonts w:asciiTheme="majorBidi" w:hAnsiTheme="majorBidi" w:cstheme="majorBidi"/>
          <w:spacing w:val="-14"/>
          <w:w w:val="105"/>
          <w:sz w:val="24"/>
          <w:szCs w:val="24"/>
        </w:rPr>
        <w:t xml:space="preserve"> </w:t>
      </w:r>
      <w:r w:rsidRPr="00B8462C">
        <w:rPr>
          <w:rFonts w:asciiTheme="majorBidi" w:hAnsiTheme="majorBidi" w:cstheme="majorBidi"/>
          <w:w w:val="105"/>
          <w:sz w:val="24"/>
          <w:szCs w:val="24"/>
        </w:rPr>
        <w:t>high</w:t>
      </w:r>
      <w:r w:rsidRPr="00B8462C">
        <w:rPr>
          <w:rFonts w:asciiTheme="majorBidi" w:hAnsiTheme="majorBidi" w:cstheme="majorBidi"/>
          <w:spacing w:val="-13"/>
          <w:w w:val="105"/>
          <w:sz w:val="24"/>
          <w:szCs w:val="24"/>
        </w:rPr>
        <w:t xml:space="preserve"> </w:t>
      </w:r>
      <w:r w:rsidRPr="00B8462C">
        <w:rPr>
          <w:rFonts w:asciiTheme="majorBidi" w:hAnsiTheme="majorBidi" w:cstheme="majorBidi"/>
          <w:w w:val="105"/>
          <w:sz w:val="24"/>
          <w:szCs w:val="24"/>
        </w:rPr>
        <w:t>i</w:t>
      </w:r>
      <w:r w:rsidRPr="00B8462C">
        <w:rPr>
          <w:rFonts w:asciiTheme="majorBidi" w:hAnsiTheme="majorBidi" w:cstheme="majorBidi"/>
          <w:spacing w:val="-1"/>
          <w:w w:val="105"/>
          <w:sz w:val="24"/>
          <w:szCs w:val="24"/>
        </w:rPr>
        <w:t>n</w:t>
      </w:r>
      <w:r w:rsidRPr="00B8462C">
        <w:rPr>
          <w:rFonts w:asciiTheme="majorBidi" w:hAnsiTheme="majorBidi" w:cstheme="majorBidi"/>
          <w:spacing w:val="-3"/>
          <w:w w:val="105"/>
          <w:sz w:val="24"/>
          <w:szCs w:val="24"/>
        </w:rPr>
        <w:t>v</w:t>
      </w:r>
      <w:r w:rsidRPr="00B8462C">
        <w:rPr>
          <w:rFonts w:asciiTheme="majorBidi" w:hAnsiTheme="majorBidi" w:cstheme="majorBidi"/>
          <w:w w:val="105"/>
          <w:sz w:val="24"/>
          <w:szCs w:val="24"/>
        </w:rPr>
        <w:t>est</w:t>
      </w:r>
      <w:r w:rsidRPr="00B8462C">
        <w:rPr>
          <w:rFonts w:asciiTheme="majorBidi" w:hAnsiTheme="majorBidi" w:cstheme="majorBidi"/>
          <w:spacing w:val="-2"/>
          <w:w w:val="105"/>
          <w:sz w:val="24"/>
          <w:szCs w:val="24"/>
        </w:rPr>
        <w:t>m</w:t>
      </w:r>
      <w:r w:rsidRPr="00B8462C">
        <w:rPr>
          <w:rFonts w:asciiTheme="majorBidi" w:hAnsiTheme="majorBidi" w:cstheme="majorBidi"/>
          <w:w w:val="105"/>
          <w:sz w:val="24"/>
          <w:szCs w:val="24"/>
        </w:rPr>
        <w:t>en</w:t>
      </w:r>
      <w:r w:rsidRPr="00B8462C">
        <w:rPr>
          <w:rFonts w:asciiTheme="majorBidi" w:hAnsiTheme="majorBidi" w:cstheme="majorBidi"/>
          <w:spacing w:val="-1"/>
          <w:w w:val="105"/>
          <w:sz w:val="24"/>
          <w:szCs w:val="24"/>
        </w:rPr>
        <w:t>t</w:t>
      </w:r>
      <w:r w:rsidRPr="00B8462C">
        <w:rPr>
          <w:rFonts w:asciiTheme="majorBidi" w:hAnsiTheme="majorBidi" w:cstheme="majorBidi"/>
          <w:w w:val="105"/>
          <w:sz w:val="24"/>
          <w:szCs w:val="24"/>
        </w:rPr>
        <w:t>.</w:t>
      </w:r>
      <w:r w:rsidRPr="00B8462C">
        <w:rPr>
          <w:rFonts w:asciiTheme="majorBidi" w:hAnsiTheme="majorBidi" w:cstheme="majorBidi"/>
          <w:spacing w:val="-3"/>
          <w:w w:val="105"/>
          <w:sz w:val="24"/>
          <w:szCs w:val="24"/>
        </w:rPr>
        <w:t xml:space="preserve"> </w:t>
      </w:r>
    </w:p>
    <w:p w:rsidR="007F433F" w:rsidRPr="00BF1DB3" w:rsidRDefault="007F433F" w:rsidP="007F433F">
      <w:pPr>
        <w:pStyle w:val="BodyText"/>
        <w:spacing w:after="0" w:line="480" w:lineRule="auto"/>
        <w:ind w:firstLine="567"/>
        <w:jc w:val="both"/>
        <w:rPr>
          <w:rFonts w:asciiTheme="majorBidi" w:hAnsiTheme="majorBidi" w:cstheme="majorBidi"/>
          <w:sz w:val="24"/>
          <w:szCs w:val="24"/>
        </w:rPr>
      </w:pPr>
      <w:r>
        <w:rPr>
          <w:rFonts w:asciiTheme="majorBidi" w:hAnsiTheme="majorBidi" w:cstheme="majorBidi"/>
          <w:spacing w:val="-3"/>
          <w:w w:val="105"/>
          <w:sz w:val="24"/>
          <w:szCs w:val="24"/>
        </w:rPr>
        <w:lastRenderedPageBreak/>
        <w:t>It should be noted that,</w:t>
      </w:r>
      <w:r w:rsidRPr="00B8462C">
        <w:rPr>
          <w:rFonts w:asciiTheme="majorBidi" w:hAnsiTheme="majorBidi" w:cstheme="majorBidi"/>
          <w:w w:val="105"/>
          <w:sz w:val="24"/>
          <w:szCs w:val="24"/>
        </w:rPr>
        <w:t xml:space="preserve"> g</w:t>
      </w:r>
      <w:r w:rsidRPr="00B8462C">
        <w:rPr>
          <w:rFonts w:asciiTheme="majorBidi" w:hAnsiTheme="majorBidi" w:cstheme="majorBidi"/>
          <w:spacing w:val="-3"/>
          <w:w w:val="105"/>
          <w:sz w:val="24"/>
          <w:szCs w:val="24"/>
        </w:rPr>
        <w:t>i</w:t>
      </w:r>
      <w:r w:rsidRPr="00B8462C">
        <w:rPr>
          <w:rFonts w:asciiTheme="majorBidi" w:hAnsiTheme="majorBidi" w:cstheme="majorBidi"/>
          <w:w w:val="105"/>
          <w:sz w:val="24"/>
          <w:szCs w:val="24"/>
        </w:rPr>
        <w:t>ven</w:t>
      </w:r>
      <w:r w:rsidRPr="00B8462C">
        <w:rPr>
          <w:rFonts w:asciiTheme="majorBidi" w:hAnsiTheme="majorBidi" w:cstheme="majorBidi"/>
          <w:spacing w:val="-31"/>
          <w:w w:val="105"/>
          <w:sz w:val="24"/>
          <w:szCs w:val="24"/>
        </w:rPr>
        <w:t xml:space="preserve"> </w:t>
      </w:r>
      <w:r w:rsidRPr="00B8462C">
        <w:rPr>
          <w:rFonts w:asciiTheme="majorBidi" w:hAnsiTheme="majorBidi" w:cstheme="majorBidi"/>
          <w:w w:val="105"/>
          <w:sz w:val="24"/>
          <w:szCs w:val="24"/>
        </w:rPr>
        <w:t>a</w:t>
      </w:r>
      <w:r w:rsidRPr="00B8462C">
        <w:rPr>
          <w:rFonts w:asciiTheme="majorBidi" w:hAnsiTheme="majorBidi" w:cstheme="majorBidi"/>
          <w:spacing w:val="-31"/>
          <w:w w:val="105"/>
          <w:sz w:val="24"/>
          <w:szCs w:val="24"/>
        </w:rPr>
        <w:t xml:space="preserve"> </w:t>
      </w:r>
      <w:r>
        <w:rPr>
          <w:rFonts w:asciiTheme="majorBidi" w:hAnsiTheme="majorBidi" w:cstheme="majorBidi"/>
          <w:spacing w:val="-1"/>
          <w:w w:val="105"/>
          <w:sz w:val="24"/>
          <w:szCs w:val="24"/>
        </w:rPr>
        <w:t>superannuation fund</w:t>
      </w:r>
      <w:r w:rsidRPr="00B8462C">
        <w:rPr>
          <w:rFonts w:asciiTheme="majorBidi" w:hAnsiTheme="majorBidi" w:cstheme="majorBidi"/>
          <w:spacing w:val="-30"/>
          <w:w w:val="105"/>
          <w:sz w:val="24"/>
          <w:szCs w:val="24"/>
        </w:rPr>
        <w:t xml:space="preserve"> </w:t>
      </w:r>
      <w:proofErr w:type="spellStart"/>
      <w:r w:rsidRPr="00B8462C">
        <w:rPr>
          <w:rFonts w:asciiTheme="majorBidi" w:eastAsia="Arial" w:hAnsiTheme="majorBidi" w:cstheme="majorBidi"/>
          <w:i/>
          <w:w w:val="105"/>
          <w:sz w:val="24"/>
          <w:szCs w:val="24"/>
        </w:rPr>
        <w:t>i</w:t>
      </w:r>
      <w:proofErr w:type="spellEnd"/>
      <w:r w:rsidRPr="00B8462C">
        <w:rPr>
          <w:rFonts w:asciiTheme="majorBidi" w:eastAsia="Arial" w:hAnsiTheme="majorBidi" w:cstheme="majorBidi"/>
          <w:i/>
          <w:spacing w:val="-45"/>
          <w:w w:val="105"/>
          <w:sz w:val="24"/>
          <w:szCs w:val="24"/>
        </w:rPr>
        <w:t xml:space="preserve"> </w:t>
      </w:r>
      <w:r w:rsidRPr="00B8462C">
        <w:rPr>
          <w:rFonts w:asciiTheme="majorBidi" w:hAnsiTheme="majorBidi" w:cstheme="majorBidi"/>
          <w:w w:val="105"/>
          <w:sz w:val="24"/>
          <w:szCs w:val="24"/>
        </w:rPr>
        <w:t>,</w:t>
      </w:r>
      <w:r w:rsidRPr="00B8462C">
        <w:rPr>
          <w:rFonts w:asciiTheme="majorBidi" w:hAnsiTheme="majorBidi" w:cstheme="majorBidi"/>
          <w:spacing w:val="-31"/>
          <w:w w:val="105"/>
          <w:sz w:val="24"/>
          <w:szCs w:val="24"/>
        </w:rPr>
        <w:t xml:space="preserve"> </w:t>
      </w:r>
      <w:r w:rsidRPr="00B8462C">
        <w:rPr>
          <w:rFonts w:asciiTheme="majorBidi" w:hAnsiTheme="majorBidi" w:cstheme="majorBidi"/>
          <w:w w:val="105"/>
          <w:sz w:val="24"/>
          <w:szCs w:val="24"/>
        </w:rPr>
        <w:t>t</w:t>
      </w:r>
      <w:r w:rsidRPr="00B8462C">
        <w:rPr>
          <w:rFonts w:asciiTheme="majorBidi" w:hAnsiTheme="majorBidi" w:cstheme="majorBidi"/>
          <w:spacing w:val="-1"/>
          <w:w w:val="105"/>
          <w:sz w:val="24"/>
          <w:szCs w:val="24"/>
        </w:rPr>
        <w:t>h</w:t>
      </w:r>
      <w:r w:rsidRPr="00B8462C">
        <w:rPr>
          <w:rFonts w:asciiTheme="majorBidi" w:hAnsiTheme="majorBidi" w:cstheme="majorBidi"/>
          <w:w w:val="105"/>
          <w:sz w:val="24"/>
          <w:szCs w:val="24"/>
        </w:rPr>
        <w:t>e</w:t>
      </w:r>
      <w:r w:rsidRPr="00B8462C">
        <w:rPr>
          <w:rFonts w:asciiTheme="majorBidi" w:hAnsiTheme="majorBidi" w:cstheme="majorBidi"/>
          <w:spacing w:val="-30"/>
          <w:w w:val="105"/>
          <w:sz w:val="24"/>
          <w:szCs w:val="24"/>
        </w:rPr>
        <w:t xml:space="preserve"> </w:t>
      </w:r>
      <w:r w:rsidRPr="00B8462C">
        <w:rPr>
          <w:rFonts w:asciiTheme="majorBidi" w:hAnsiTheme="majorBidi" w:cstheme="majorBidi"/>
          <w:w w:val="105"/>
          <w:sz w:val="24"/>
          <w:szCs w:val="24"/>
        </w:rPr>
        <w:t>es</w:t>
      </w:r>
      <w:r w:rsidRPr="00B8462C">
        <w:rPr>
          <w:rFonts w:asciiTheme="majorBidi" w:hAnsiTheme="majorBidi" w:cstheme="majorBidi"/>
          <w:spacing w:val="-2"/>
          <w:w w:val="105"/>
          <w:sz w:val="24"/>
          <w:szCs w:val="24"/>
        </w:rPr>
        <w:t>t</w:t>
      </w:r>
      <w:r w:rsidRPr="00B8462C">
        <w:rPr>
          <w:rFonts w:asciiTheme="majorBidi" w:hAnsiTheme="majorBidi" w:cstheme="majorBidi"/>
          <w:w w:val="105"/>
          <w:sz w:val="24"/>
          <w:szCs w:val="24"/>
        </w:rPr>
        <w:t>i</w:t>
      </w:r>
      <w:r w:rsidRPr="00B8462C">
        <w:rPr>
          <w:rFonts w:asciiTheme="majorBidi" w:hAnsiTheme="majorBidi" w:cstheme="majorBidi"/>
          <w:spacing w:val="-1"/>
          <w:w w:val="105"/>
          <w:sz w:val="24"/>
          <w:szCs w:val="24"/>
        </w:rPr>
        <w:t>m</w:t>
      </w:r>
      <w:r w:rsidRPr="00B8462C">
        <w:rPr>
          <w:rFonts w:asciiTheme="majorBidi" w:hAnsiTheme="majorBidi" w:cstheme="majorBidi"/>
          <w:w w:val="105"/>
          <w:sz w:val="24"/>
          <w:szCs w:val="24"/>
        </w:rPr>
        <w:t>ated</w:t>
      </w:r>
      <w:r>
        <w:rPr>
          <w:rFonts w:asciiTheme="majorBidi" w:hAnsiTheme="majorBidi" w:cstheme="majorBidi"/>
          <w:w w:val="105"/>
          <w:sz w:val="24"/>
          <w:szCs w:val="24"/>
        </w:rPr>
        <w:t xml:space="preserve"> risk</w:t>
      </w:r>
      <w:r w:rsidRPr="00B8462C">
        <w:rPr>
          <w:rFonts w:asciiTheme="majorBidi" w:hAnsiTheme="majorBidi" w:cstheme="majorBidi"/>
          <w:spacing w:val="-31"/>
          <w:w w:val="105"/>
          <w:sz w:val="24"/>
          <w:szCs w:val="24"/>
        </w:rPr>
        <w:t xml:space="preserve"> </w:t>
      </w:r>
      <w:r w:rsidRPr="00B8462C">
        <w:rPr>
          <w:rFonts w:asciiTheme="majorBidi" w:hAnsiTheme="majorBidi" w:cstheme="majorBidi"/>
          <w:w w:val="105"/>
          <w:sz w:val="24"/>
          <w:szCs w:val="24"/>
        </w:rPr>
        <w:t>coeff</w:t>
      </w:r>
      <w:r w:rsidRPr="00B8462C">
        <w:rPr>
          <w:rFonts w:asciiTheme="majorBidi" w:hAnsiTheme="majorBidi" w:cstheme="majorBidi"/>
          <w:spacing w:val="-1"/>
          <w:w w:val="105"/>
          <w:sz w:val="24"/>
          <w:szCs w:val="24"/>
        </w:rPr>
        <w:t>i</w:t>
      </w:r>
      <w:r w:rsidRPr="00B8462C">
        <w:rPr>
          <w:rFonts w:asciiTheme="majorBidi" w:hAnsiTheme="majorBidi" w:cstheme="majorBidi"/>
          <w:w w:val="105"/>
          <w:sz w:val="24"/>
          <w:szCs w:val="24"/>
        </w:rPr>
        <w:t>cien</w:t>
      </w:r>
      <w:r w:rsidRPr="00B8462C">
        <w:rPr>
          <w:rFonts w:asciiTheme="majorBidi" w:hAnsiTheme="majorBidi" w:cstheme="majorBidi"/>
          <w:spacing w:val="-1"/>
          <w:w w:val="105"/>
          <w:sz w:val="24"/>
          <w:szCs w:val="24"/>
        </w:rPr>
        <w:t>t</w:t>
      </w:r>
      <w:r w:rsidRPr="00B8462C">
        <w:rPr>
          <w:rFonts w:asciiTheme="majorBidi" w:hAnsiTheme="majorBidi" w:cstheme="majorBidi"/>
          <w:w w:val="105"/>
          <w:sz w:val="24"/>
          <w:szCs w:val="24"/>
        </w:rPr>
        <w:t>s</w:t>
      </w:r>
      <w:r>
        <w:rPr>
          <w:rFonts w:asciiTheme="majorBidi" w:hAnsiTheme="majorBidi" w:cstheme="majorBidi"/>
          <w:w w:val="105"/>
          <w:sz w:val="24"/>
          <w:szCs w:val="24"/>
        </w:rPr>
        <w:t xml:space="preserve"> (i.e.,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M</m:t>
            </m:r>
          </m:sub>
        </m:sSub>
      </m:oMath>
      <w:r>
        <w:rPr>
          <w:rFonts w:asciiTheme="majorBidi" w:hAnsiTheme="majorBidi" w:cstheme="majorBidi"/>
          <w:w w:val="105"/>
          <w:sz w:val="24"/>
          <w:szCs w:val="24"/>
        </w:rPr>
        <w:t xml:space="preserve">) as well as other factor coefficients (including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SMB</m:t>
            </m:r>
          </m:sub>
        </m:sSub>
      </m:oMath>
      <w:r>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HML</m:t>
            </m:r>
          </m:sub>
        </m:sSub>
      </m:oMath>
      <w:r>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UMD</m:t>
            </m:r>
          </m:sub>
        </m:sSub>
      </m:oMath>
      <w:r>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RMW</m:t>
            </m:r>
          </m:sub>
        </m:sSub>
      </m:oMath>
      <w:r>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CMA</m:t>
            </m:r>
          </m:sub>
        </m:sSub>
      </m:oMath>
      <w:r>
        <w:rPr>
          <w:rFonts w:asciiTheme="majorBidi" w:hAnsiTheme="majorBidi" w:cstheme="majorBidi"/>
          <w:w w:val="105"/>
          <w:sz w:val="24"/>
          <w:szCs w:val="24"/>
        </w:rPr>
        <w:t>)</w:t>
      </w:r>
      <w:r w:rsidRPr="00B8462C">
        <w:rPr>
          <w:rFonts w:asciiTheme="majorBidi" w:hAnsiTheme="majorBidi" w:cstheme="majorBidi"/>
          <w:spacing w:val="-30"/>
          <w:w w:val="105"/>
          <w:sz w:val="24"/>
          <w:szCs w:val="24"/>
        </w:rPr>
        <w:t xml:space="preserve"> </w:t>
      </w:r>
      <w:r w:rsidRPr="00B8462C">
        <w:rPr>
          <w:rFonts w:asciiTheme="majorBidi" w:hAnsiTheme="majorBidi" w:cstheme="majorBidi"/>
          <w:w w:val="105"/>
          <w:sz w:val="24"/>
          <w:szCs w:val="24"/>
        </w:rPr>
        <w:t>f</w:t>
      </w:r>
      <w:r w:rsidRPr="00B8462C">
        <w:rPr>
          <w:rFonts w:asciiTheme="majorBidi" w:hAnsiTheme="majorBidi" w:cstheme="majorBidi"/>
          <w:spacing w:val="-2"/>
          <w:w w:val="105"/>
          <w:sz w:val="24"/>
          <w:szCs w:val="24"/>
        </w:rPr>
        <w:t>r</w:t>
      </w:r>
      <w:r w:rsidRPr="00B8462C">
        <w:rPr>
          <w:rFonts w:asciiTheme="majorBidi" w:hAnsiTheme="majorBidi" w:cstheme="majorBidi"/>
          <w:w w:val="105"/>
          <w:sz w:val="24"/>
          <w:szCs w:val="24"/>
        </w:rPr>
        <w:t>om</w:t>
      </w:r>
      <w:r w:rsidRPr="00B8462C">
        <w:rPr>
          <w:rFonts w:asciiTheme="majorBidi" w:hAnsiTheme="majorBidi" w:cstheme="majorBidi"/>
          <w:spacing w:val="-31"/>
          <w:w w:val="105"/>
          <w:sz w:val="24"/>
          <w:szCs w:val="24"/>
        </w:rPr>
        <w:t xml:space="preserve"> </w:t>
      </w:r>
      <w:r w:rsidRPr="00B8462C">
        <w:rPr>
          <w:rFonts w:asciiTheme="majorBidi" w:hAnsiTheme="majorBidi" w:cstheme="majorBidi"/>
          <w:spacing w:val="-1"/>
          <w:w w:val="105"/>
          <w:sz w:val="24"/>
          <w:szCs w:val="24"/>
        </w:rPr>
        <w:t>t</w:t>
      </w:r>
      <w:r w:rsidRPr="00B8462C">
        <w:rPr>
          <w:rFonts w:asciiTheme="majorBidi" w:hAnsiTheme="majorBidi" w:cstheme="majorBidi"/>
          <w:w w:val="105"/>
          <w:sz w:val="24"/>
          <w:szCs w:val="24"/>
        </w:rPr>
        <w:t>he</w:t>
      </w:r>
      <w:r w:rsidRPr="00B8462C">
        <w:rPr>
          <w:rFonts w:asciiTheme="majorBidi" w:hAnsiTheme="majorBidi" w:cstheme="majorBidi"/>
          <w:spacing w:val="-30"/>
          <w:w w:val="105"/>
          <w:sz w:val="24"/>
          <w:szCs w:val="24"/>
        </w:rPr>
        <w:t xml:space="preserve"> </w:t>
      </w:r>
      <w:r w:rsidRPr="00B8462C">
        <w:rPr>
          <w:rFonts w:asciiTheme="majorBidi" w:hAnsiTheme="majorBidi" w:cstheme="majorBidi"/>
          <w:w w:val="105"/>
          <w:sz w:val="24"/>
          <w:szCs w:val="24"/>
        </w:rPr>
        <w:t>ab</w:t>
      </w:r>
      <w:r w:rsidRPr="00B8462C">
        <w:rPr>
          <w:rFonts w:asciiTheme="majorBidi" w:hAnsiTheme="majorBidi" w:cstheme="majorBidi"/>
          <w:spacing w:val="-8"/>
          <w:w w:val="105"/>
          <w:sz w:val="24"/>
          <w:szCs w:val="24"/>
        </w:rPr>
        <w:t>o</w:t>
      </w:r>
      <w:r w:rsidRPr="00B8462C">
        <w:rPr>
          <w:rFonts w:asciiTheme="majorBidi" w:hAnsiTheme="majorBidi" w:cstheme="majorBidi"/>
          <w:spacing w:val="-3"/>
          <w:w w:val="105"/>
          <w:sz w:val="24"/>
          <w:szCs w:val="24"/>
        </w:rPr>
        <w:t>v</w:t>
      </w:r>
      <w:r w:rsidRPr="00B8462C">
        <w:rPr>
          <w:rFonts w:asciiTheme="majorBidi" w:hAnsiTheme="majorBidi" w:cstheme="majorBidi"/>
          <w:w w:val="105"/>
          <w:sz w:val="24"/>
          <w:szCs w:val="24"/>
        </w:rPr>
        <w:t>e</w:t>
      </w:r>
      <w:r w:rsidRPr="00B8462C">
        <w:rPr>
          <w:rFonts w:asciiTheme="majorBidi" w:hAnsiTheme="majorBidi" w:cstheme="majorBidi"/>
          <w:spacing w:val="-31"/>
          <w:w w:val="105"/>
          <w:sz w:val="24"/>
          <w:szCs w:val="24"/>
        </w:rPr>
        <w:t xml:space="preserve"> </w:t>
      </w:r>
      <w:r w:rsidRPr="00B8462C">
        <w:rPr>
          <w:rFonts w:asciiTheme="majorBidi" w:hAnsiTheme="majorBidi" w:cstheme="majorBidi"/>
          <w:w w:val="105"/>
          <w:sz w:val="24"/>
          <w:szCs w:val="24"/>
        </w:rPr>
        <w:t>models</w:t>
      </w:r>
      <w:r w:rsidRPr="00B8462C">
        <w:rPr>
          <w:rFonts w:asciiTheme="majorBidi" w:hAnsiTheme="majorBidi" w:cstheme="majorBidi"/>
          <w:spacing w:val="-31"/>
          <w:w w:val="105"/>
          <w:sz w:val="24"/>
          <w:szCs w:val="24"/>
        </w:rPr>
        <w:t xml:space="preserve"> </w:t>
      </w:r>
      <w:r w:rsidRPr="00B8462C">
        <w:rPr>
          <w:rFonts w:asciiTheme="majorBidi" w:hAnsiTheme="majorBidi" w:cstheme="majorBidi"/>
          <w:w w:val="105"/>
          <w:sz w:val="24"/>
          <w:szCs w:val="24"/>
        </w:rPr>
        <w:t>in</w:t>
      </w:r>
      <w:r w:rsidRPr="00B8462C">
        <w:rPr>
          <w:rFonts w:asciiTheme="majorBidi" w:hAnsiTheme="majorBidi" w:cstheme="majorBidi"/>
          <w:spacing w:val="3"/>
          <w:w w:val="105"/>
          <w:sz w:val="24"/>
          <w:szCs w:val="24"/>
        </w:rPr>
        <w:t xml:space="preserve"> </w:t>
      </w:r>
      <w:r w:rsidRPr="00B8462C">
        <w:rPr>
          <w:rFonts w:asciiTheme="majorBidi" w:hAnsiTheme="majorBidi" w:cstheme="majorBidi"/>
          <w:w w:val="105"/>
          <w:sz w:val="24"/>
          <w:szCs w:val="24"/>
        </w:rPr>
        <w:t>(</w:t>
      </w:r>
      <w:hyperlink w:anchor="_bookmark0" w:history="1">
        <w:r w:rsidRPr="00B8462C">
          <w:rPr>
            <w:rFonts w:asciiTheme="majorBidi" w:hAnsiTheme="majorBidi" w:cstheme="majorBidi"/>
            <w:w w:val="105"/>
            <w:sz w:val="24"/>
            <w:szCs w:val="24"/>
          </w:rPr>
          <w:t>1</w:t>
        </w:r>
      </w:hyperlink>
      <w:r w:rsidRPr="00B8462C">
        <w:rPr>
          <w:rFonts w:asciiTheme="majorBidi" w:hAnsiTheme="majorBidi" w:cstheme="majorBidi"/>
          <w:w w:val="105"/>
          <w:sz w:val="24"/>
          <w:szCs w:val="24"/>
        </w:rPr>
        <w:t>),</w:t>
      </w:r>
      <w:r w:rsidRPr="00B8462C">
        <w:rPr>
          <w:rFonts w:asciiTheme="majorBidi" w:hAnsiTheme="majorBidi" w:cstheme="majorBidi"/>
          <w:w w:val="93"/>
          <w:sz w:val="24"/>
          <w:szCs w:val="24"/>
        </w:rPr>
        <w:t xml:space="preserve"> </w:t>
      </w:r>
      <w:r w:rsidRPr="00B8462C">
        <w:rPr>
          <w:rFonts w:asciiTheme="majorBidi" w:hAnsiTheme="majorBidi" w:cstheme="majorBidi"/>
          <w:w w:val="105"/>
          <w:sz w:val="24"/>
          <w:szCs w:val="24"/>
        </w:rPr>
        <w:t>(</w:t>
      </w:r>
      <w:hyperlink w:anchor="_bookmark1" w:history="1">
        <w:r w:rsidRPr="00B8462C">
          <w:rPr>
            <w:rFonts w:asciiTheme="majorBidi" w:hAnsiTheme="majorBidi" w:cstheme="majorBidi"/>
            <w:w w:val="105"/>
            <w:sz w:val="24"/>
            <w:szCs w:val="24"/>
          </w:rPr>
          <w:t>2</w:t>
        </w:r>
      </w:hyperlink>
      <w:r w:rsidRPr="00B8462C">
        <w:rPr>
          <w:rFonts w:asciiTheme="majorBidi" w:hAnsiTheme="majorBidi" w:cstheme="majorBidi"/>
          <w:w w:val="105"/>
          <w:sz w:val="24"/>
          <w:szCs w:val="24"/>
        </w:rPr>
        <w:t>),</w:t>
      </w:r>
      <w:r w:rsidRPr="00B8462C">
        <w:rPr>
          <w:rFonts w:asciiTheme="majorBidi" w:hAnsiTheme="majorBidi" w:cstheme="majorBidi"/>
          <w:spacing w:val="-2"/>
          <w:w w:val="105"/>
          <w:sz w:val="24"/>
          <w:szCs w:val="24"/>
        </w:rPr>
        <w:t xml:space="preserve"> </w:t>
      </w:r>
      <w:r w:rsidRPr="00B8462C">
        <w:rPr>
          <w:rFonts w:asciiTheme="majorBidi" w:hAnsiTheme="majorBidi" w:cstheme="majorBidi"/>
          <w:w w:val="105"/>
          <w:sz w:val="24"/>
          <w:szCs w:val="24"/>
        </w:rPr>
        <w:t>(</w:t>
      </w:r>
      <w:hyperlink w:anchor="_bookmark2" w:history="1">
        <w:r w:rsidRPr="00B8462C">
          <w:rPr>
            <w:rFonts w:asciiTheme="majorBidi" w:hAnsiTheme="majorBidi" w:cstheme="majorBidi"/>
            <w:w w:val="105"/>
            <w:sz w:val="24"/>
            <w:szCs w:val="24"/>
          </w:rPr>
          <w:t>3</w:t>
        </w:r>
      </w:hyperlink>
      <w:r w:rsidRPr="00B8462C">
        <w:rPr>
          <w:rFonts w:asciiTheme="majorBidi" w:hAnsiTheme="majorBidi" w:cstheme="majorBidi"/>
          <w:w w:val="105"/>
          <w:sz w:val="24"/>
          <w:szCs w:val="24"/>
        </w:rPr>
        <w:t>)</w:t>
      </w:r>
      <w:r w:rsidRPr="00B8462C">
        <w:rPr>
          <w:rFonts w:asciiTheme="majorBidi" w:hAnsiTheme="majorBidi" w:cstheme="majorBidi"/>
          <w:spacing w:val="-34"/>
          <w:w w:val="105"/>
          <w:sz w:val="24"/>
          <w:szCs w:val="24"/>
        </w:rPr>
        <w:t xml:space="preserve"> </w:t>
      </w:r>
      <w:r w:rsidRPr="00B8462C">
        <w:rPr>
          <w:rFonts w:asciiTheme="majorBidi" w:hAnsiTheme="majorBidi" w:cstheme="majorBidi"/>
          <w:w w:val="105"/>
          <w:sz w:val="24"/>
          <w:szCs w:val="24"/>
        </w:rPr>
        <w:t>a</w:t>
      </w:r>
      <w:r w:rsidRPr="00B8462C">
        <w:rPr>
          <w:rFonts w:asciiTheme="majorBidi" w:hAnsiTheme="majorBidi" w:cstheme="majorBidi"/>
          <w:spacing w:val="-2"/>
          <w:w w:val="105"/>
          <w:sz w:val="24"/>
          <w:szCs w:val="24"/>
        </w:rPr>
        <w:t>n</w:t>
      </w:r>
      <w:r w:rsidRPr="00B8462C">
        <w:rPr>
          <w:rFonts w:asciiTheme="majorBidi" w:hAnsiTheme="majorBidi" w:cstheme="majorBidi"/>
          <w:w w:val="105"/>
          <w:sz w:val="24"/>
          <w:szCs w:val="24"/>
        </w:rPr>
        <w:t>d</w:t>
      </w:r>
      <w:r w:rsidRPr="00B8462C">
        <w:rPr>
          <w:rFonts w:asciiTheme="majorBidi" w:hAnsiTheme="majorBidi" w:cstheme="majorBidi"/>
          <w:spacing w:val="-2"/>
          <w:w w:val="105"/>
          <w:sz w:val="24"/>
          <w:szCs w:val="24"/>
        </w:rPr>
        <w:t xml:space="preserve"> </w:t>
      </w:r>
      <w:r w:rsidRPr="00B8462C">
        <w:rPr>
          <w:rFonts w:asciiTheme="majorBidi" w:hAnsiTheme="majorBidi" w:cstheme="majorBidi"/>
          <w:w w:val="105"/>
          <w:sz w:val="24"/>
          <w:szCs w:val="24"/>
        </w:rPr>
        <w:t>(</w:t>
      </w:r>
      <w:hyperlink w:anchor="_bookmark3" w:history="1">
        <w:r w:rsidRPr="00B8462C">
          <w:rPr>
            <w:rFonts w:asciiTheme="majorBidi" w:hAnsiTheme="majorBidi" w:cstheme="majorBidi"/>
            <w:w w:val="105"/>
            <w:sz w:val="24"/>
            <w:szCs w:val="24"/>
          </w:rPr>
          <w:t>4</w:t>
        </w:r>
      </w:hyperlink>
      <w:r w:rsidRPr="00B8462C">
        <w:rPr>
          <w:rFonts w:asciiTheme="majorBidi" w:hAnsiTheme="majorBidi" w:cstheme="majorBidi"/>
          <w:w w:val="105"/>
          <w:sz w:val="24"/>
          <w:szCs w:val="24"/>
        </w:rPr>
        <w:t>)</w:t>
      </w:r>
      <w:r w:rsidRPr="00B8462C">
        <w:rPr>
          <w:rFonts w:asciiTheme="majorBidi" w:hAnsiTheme="majorBidi" w:cstheme="majorBidi"/>
          <w:spacing w:val="-34"/>
          <w:w w:val="105"/>
          <w:sz w:val="24"/>
          <w:szCs w:val="24"/>
        </w:rPr>
        <w:t xml:space="preserve"> </w:t>
      </w:r>
      <w:r w:rsidRPr="00B8462C">
        <w:rPr>
          <w:rFonts w:asciiTheme="majorBidi" w:hAnsiTheme="majorBidi" w:cstheme="majorBidi"/>
          <w:w w:val="105"/>
          <w:sz w:val="24"/>
          <w:szCs w:val="24"/>
        </w:rPr>
        <w:t>a</w:t>
      </w:r>
      <w:r w:rsidRPr="00B8462C">
        <w:rPr>
          <w:rFonts w:asciiTheme="majorBidi" w:hAnsiTheme="majorBidi" w:cstheme="majorBidi"/>
          <w:spacing w:val="-6"/>
          <w:w w:val="105"/>
          <w:sz w:val="24"/>
          <w:szCs w:val="24"/>
        </w:rPr>
        <w:t>r</w:t>
      </w:r>
      <w:r w:rsidRPr="00B8462C">
        <w:rPr>
          <w:rFonts w:asciiTheme="majorBidi" w:hAnsiTheme="majorBidi" w:cstheme="majorBidi"/>
          <w:w w:val="105"/>
          <w:sz w:val="24"/>
          <w:szCs w:val="24"/>
        </w:rPr>
        <w:t>e</w:t>
      </w:r>
      <w:r w:rsidRPr="00B8462C">
        <w:rPr>
          <w:rFonts w:asciiTheme="majorBidi" w:hAnsiTheme="majorBidi" w:cstheme="majorBidi"/>
          <w:spacing w:val="-33"/>
          <w:w w:val="105"/>
          <w:sz w:val="24"/>
          <w:szCs w:val="24"/>
        </w:rPr>
        <w:t xml:space="preserve"> </w:t>
      </w:r>
      <w:r>
        <w:rPr>
          <w:rFonts w:asciiTheme="majorBidi" w:hAnsiTheme="majorBidi" w:cstheme="majorBidi"/>
          <w:color w:val="000000"/>
          <w:w w:val="105"/>
          <w:sz w:val="24"/>
          <w:szCs w:val="24"/>
        </w:rPr>
        <w:t xml:space="preserve">dependent on each category defined in vector of time varying categorical variables, </w:t>
      </w: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oMath>
      <w:r w:rsidRPr="00B8462C">
        <w:rPr>
          <w:rFonts w:asciiTheme="majorBidi" w:hAnsiTheme="majorBidi" w:cstheme="majorBidi"/>
          <w:color w:val="000000"/>
          <w:w w:val="105"/>
          <w:sz w:val="24"/>
          <w:szCs w:val="24"/>
        </w:rPr>
        <w:t>.</w:t>
      </w:r>
      <w:r>
        <w:rPr>
          <w:rFonts w:asciiTheme="majorBidi" w:hAnsiTheme="majorBidi" w:cstheme="majorBidi"/>
          <w:color w:val="000000"/>
          <w:w w:val="105"/>
          <w:sz w:val="24"/>
          <w:szCs w:val="24"/>
        </w:rPr>
        <w:t xml:space="preserve"> We include different categories of investment options and economic regimes (crisis and non-crisis periods) in </w:t>
      </w: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oMath>
      <w:r>
        <w:rPr>
          <w:rFonts w:asciiTheme="majorBidi" w:hAnsiTheme="majorBidi" w:cstheme="majorBidi"/>
          <w:color w:val="000000"/>
          <w:w w:val="105"/>
          <w:sz w:val="24"/>
          <w:szCs w:val="24"/>
        </w:rPr>
        <w:t xml:space="preserve"> so that</w:t>
      </w:r>
      <w:r w:rsidRPr="00B8462C">
        <w:rPr>
          <w:rFonts w:asciiTheme="majorBidi" w:hAnsiTheme="majorBidi" w:cstheme="majorBidi"/>
          <w:color w:val="000000"/>
          <w:spacing w:val="-24"/>
          <w:w w:val="105"/>
          <w:sz w:val="24"/>
          <w:szCs w:val="24"/>
        </w:rPr>
        <w:t xml:space="preserve"> </w:t>
      </w:r>
      <w:r>
        <w:rPr>
          <w:rFonts w:asciiTheme="majorBidi" w:hAnsiTheme="majorBidi" w:cstheme="majorBidi"/>
          <w:color w:val="000000"/>
          <w:spacing w:val="-6"/>
          <w:w w:val="110"/>
          <w:sz w:val="24"/>
          <w:szCs w:val="24"/>
        </w:rPr>
        <w:t xml:space="preserve">the risk </w:t>
      </w:r>
      <w:r w:rsidRPr="00B8462C">
        <w:rPr>
          <w:rFonts w:asciiTheme="majorBidi" w:hAnsiTheme="majorBidi" w:cstheme="majorBidi"/>
          <w:color w:val="000000"/>
          <w:w w:val="110"/>
          <w:sz w:val="24"/>
          <w:szCs w:val="24"/>
        </w:rPr>
        <w:t>coeff</w:t>
      </w:r>
      <w:r w:rsidRPr="00B8462C">
        <w:rPr>
          <w:rFonts w:asciiTheme="majorBidi" w:hAnsiTheme="majorBidi" w:cstheme="majorBidi"/>
          <w:color w:val="000000"/>
          <w:spacing w:val="-2"/>
          <w:w w:val="110"/>
          <w:sz w:val="24"/>
          <w:szCs w:val="24"/>
        </w:rPr>
        <w:t>i</w:t>
      </w:r>
      <w:r w:rsidRPr="00B8462C">
        <w:rPr>
          <w:rFonts w:asciiTheme="majorBidi" w:hAnsiTheme="majorBidi" w:cstheme="majorBidi"/>
          <w:color w:val="000000"/>
          <w:w w:val="110"/>
          <w:sz w:val="24"/>
          <w:szCs w:val="24"/>
        </w:rPr>
        <w:t>cien</w:t>
      </w:r>
      <w:r w:rsidRPr="00B8462C">
        <w:rPr>
          <w:rFonts w:asciiTheme="majorBidi" w:hAnsiTheme="majorBidi" w:cstheme="majorBidi"/>
          <w:color w:val="000000"/>
          <w:spacing w:val="-1"/>
          <w:w w:val="110"/>
          <w:sz w:val="24"/>
          <w:szCs w:val="24"/>
        </w:rPr>
        <w:t>t</w:t>
      </w:r>
      <w:r w:rsidRPr="00B8462C">
        <w:rPr>
          <w:rFonts w:asciiTheme="majorBidi" w:hAnsiTheme="majorBidi" w:cstheme="majorBidi"/>
          <w:color w:val="000000"/>
          <w:w w:val="110"/>
          <w:sz w:val="24"/>
          <w:szCs w:val="24"/>
        </w:rPr>
        <w:t>s</w:t>
      </w:r>
      <w:r>
        <w:rPr>
          <w:rFonts w:asciiTheme="majorBidi" w:hAnsiTheme="majorBidi" w:cstheme="majorBidi"/>
          <w:color w:val="000000"/>
          <w:w w:val="110"/>
          <w:sz w:val="24"/>
          <w:szCs w:val="24"/>
        </w:rPr>
        <w:t xml:space="preserve"> are </w:t>
      </w:r>
      <w:r w:rsidRPr="00B8462C">
        <w:rPr>
          <w:rFonts w:asciiTheme="majorBidi" w:hAnsiTheme="majorBidi" w:cstheme="majorBidi"/>
          <w:color w:val="000000"/>
          <w:spacing w:val="-3"/>
          <w:w w:val="110"/>
          <w:sz w:val="24"/>
          <w:szCs w:val="24"/>
        </w:rPr>
        <w:t>v</w:t>
      </w:r>
      <w:r w:rsidRPr="00B8462C">
        <w:rPr>
          <w:rFonts w:asciiTheme="majorBidi" w:hAnsiTheme="majorBidi" w:cstheme="majorBidi"/>
          <w:color w:val="000000"/>
          <w:w w:val="110"/>
          <w:sz w:val="24"/>
          <w:szCs w:val="24"/>
        </w:rPr>
        <w:t>a</w:t>
      </w:r>
      <w:r w:rsidRPr="00B8462C">
        <w:rPr>
          <w:rFonts w:asciiTheme="majorBidi" w:hAnsiTheme="majorBidi" w:cstheme="majorBidi"/>
          <w:color w:val="000000"/>
          <w:spacing w:val="4"/>
          <w:w w:val="110"/>
          <w:sz w:val="24"/>
          <w:szCs w:val="24"/>
        </w:rPr>
        <w:t>r</w:t>
      </w:r>
      <w:r w:rsidRPr="00B8462C">
        <w:rPr>
          <w:rFonts w:asciiTheme="majorBidi" w:hAnsiTheme="majorBidi" w:cstheme="majorBidi"/>
          <w:color w:val="000000"/>
          <w:w w:val="110"/>
          <w:sz w:val="24"/>
          <w:szCs w:val="24"/>
        </w:rPr>
        <w:t>ying</w:t>
      </w:r>
      <w:r>
        <w:rPr>
          <w:rFonts w:asciiTheme="majorBidi" w:hAnsiTheme="majorBidi" w:cstheme="majorBidi"/>
          <w:color w:val="000000"/>
          <w:w w:val="110"/>
          <w:sz w:val="24"/>
          <w:szCs w:val="24"/>
        </w:rPr>
        <w:t xml:space="preserve"> across different investment categories</w:t>
      </w:r>
      <w:r>
        <w:rPr>
          <w:rFonts w:asciiTheme="majorBidi" w:hAnsiTheme="majorBidi" w:cstheme="majorBidi"/>
          <w:color w:val="000000"/>
          <w:w w:val="105"/>
          <w:sz w:val="24"/>
          <w:szCs w:val="24"/>
        </w:rPr>
        <w:t>, and at the same time, across</w:t>
      </w:r>
      <w:r w:rsidRPr="00B8462C">
        <w:rPr>
          <w:rFonts w:asciiTheme="majorBidi" w:hAnsiTheme="majorBidi" w:cstheme="majorBidi"/>
          <w:color w:val="000000"/>
          <w:spacing w:val="-32"/>
          <w:w w:val="105"/>
          <w:sz w:val="24"/>
          <w:szCs w:val="24"/>
        </w:rPr>
        <w:t xml:space="preserve"> </w:t>
      </w:r>
      <w:r w:rsidRPr="00B8462C">
        <w:rPr>
          <w:rFonts w:asciiTheme="majorBidi" w:hAnsiTheme="majorBidi" w:cstheme="majorBidi"/>
          <w:color w:val="000000"/>
          <w:w w:val="105"/>
          <w:sz w:val="24"/>
          <w:szCs w:val="24"/>
        </w:rPr>
        <w:t>c</w:t>
      </w:r>
      <w:r w:rsidRPr="00B8462C">
        <w:rPr>
          <w:rFonts w:asciiTheme="majorBidi" w:hAnsiTheme="majorBidi" w:cstheme="majorBidi"/>
          <w:color w:val="000000"/>
          <w:spacing w:val="1"/>
          <w:w w:val="105"/>
          <w:sz w:val="24"/>
          <w:szCs w:val="24"/>
        </w:rPr>
        <w:t>r</w:t>
      </w:r>
      <w:r w:rsidRPr="00B8462C">
        <w:rPr>
          <w:rFonts w:asciiTheme="majorBidi" w:hAnsiTheme="majorBidi" w:cstheme="majorBidi"/>
          <w:color w:val="000000"/>
          <w:w w:val="105"/>
          <w:sz w:val="24"/>
          <w:szCs w:val="24"/>
        </w:rPr>
        <w:t>isis</w:t>
      </w:r>
      <w:r w:rsidRPr="00B8462C">
        <w:rPr>
          <w:rFonts w:asciiTheme="majorBidi" w:hAnsiTheme="majorBidi" w:cstheme="majorBidi"/>
          <w:color w:val="000000"/>
          <w:spacing w:val="-32"/>
          <w:w w:val="105"/>
          <w:sz w:val="24"/>
          <w:szCs w:val="24"/>
        </w:rPr>
        <w:t xml:space="preserve"> </w:t>
      </w:r>
      <w:r w:rsidRPr="00B8462C">
        <w:rPr>
          <w:rFonts w:asciiTheme="majorBidi" w:hAnsiTheme="majorBidi" w:cstheme="majorBidi"/>
          <w:color w:val="000000"/>
          <w:w w:val="105"/>
          <w:sz w:val="24"/>
          <w:szCs w:val="24"/>
        </w:rPr>
        <w:t>a</w:t>
      </w:r>
      <w:r w:rsidRPr="00B8462C">
        <w:rPr>
          <w:rFonts w:asciiTheme="majorBidi" w:hAnsiTheme="majorBidi" w:cstheme="majorBidi"/>
          <w:color w:val="000000"/>
          <w:spacing w:val="-2"/>
          <w:w w:val="105"/>
          <w:sz w:val="24"/>
          <w:szCs w:val="24"/>
        </w:rPr>
        <w:t>n</w:t>
      </w:r>
      <w:r w:rsidRPr="00B8462C">
        <w:rPr>
          <w:rFonts w:asciiTheme="majorBidi" w:hAnsiTheme="majorBidi" w:cstheme="majorBidi"/>
          <w:color w:val="000000"/>
          <w:w w:val="105"/>
          <w:sz w:val="24"/>
          <w:szCs w:val="24"/>
        </w:rPr>
        <w:t>d</w:t>
      </w:r>
      <w:r w:rsidRPr="00B8462C">
        <w:rPr>
          <w:rFonts w:asciiTheme="majorBidi" w:hAnsiTheme="majorBidi" w:cstheme="majorBidi"/>
          <w:color w:val="000000"/>
          <w:spacing w:val="-31"/>
          <w:w w:val="105"/>
          <w:sz w:val="24"/>
          <w:szCs w:val="24"/>
        </w:rPr>
        <w:t xml:space="preserve"> </w:t>
      </w:r>
      <w:r w:rsidRPr="00B8462C">
        <w:rPr>
          <w:rFonts w:asciiTheme="majorBidi" w:hAnsiTheme="majorBidi" w:cstheme="majorBidi"/>
          <w:color w:val="000000"/>
          <w:w w:val="105"/>
          <w:sz w:val="24"/>
          <w:szCs w:val="24"/>
        </w:rPr>
        <w:t>non-c</w:t>
      </w:r>
      <w:r w:rsidRPr="00B8462C">
        <w:rPr>
          <w:rFonts w:asciiTheme="majorBidi" w:hAnsiTheme="majorBidi" w:cstheme="majorBidi"/>
          <w:color w:val="000000"/>
          <w:spacing w:val="1"/>
          <w:w w:val="105"/>
          <w:sz w:val="24"/>
          <w:szCs w:val="24"/>
        </w:rPr>
        <w:t>r</w:t>
      </w:r>
      <w:r w:rsidRPr="00B8462C">
        <w:rPr>
          <w:rFonts w:asciiTheme="majorBidi" w:hAnsiTheme="majorBidi" w:cstheme="majorBidi"/>
          <w:color w:val="000000"/>
          <w:w w:val="105"/>
          <w:sz w:val="24"/>
          <w:szCs w:val="24"/>
        </w:rPr>
        <w:t>isis</w:t>
      </w:r>
      <w:r w:rsidRPr="00B8462C">
        <w:rPr>
          <w:rFonts w:asciiTheme="majorBidi" w:hAnsiTheme="majorBidi" w:cstheme="majorBidi"/>
          <w:color w:val="000000"/>
          <w:spacing w:val="-32"/>
          <w:w w:val="105"/>
          <w:sz w:val="24"/>
          <w:szCs w:val="24"/>
        </w:rPr>
        <w:t xml:space="preserve"> </w:t>
      </w:r>
      <w:r w:rsidRPr="00B8462C">
        <w:rPr>
          <w:rFonts w:asciiTheme="majorBidi" w:hAnsiTheme="majorBidi" w:cstheme="majorBidi"/>
          <w:color w:val="000000"/>
          <w:w w:val="105"/>
          <w:sz w:val="24"/>
          <w:szCs w:val="24"/>
        </w:rPr>
        <w:t>pe</w:t>
      </w:r>
      <w:r w:rsidRPr="00B8462C">
        <w:rPr>
          <w:rFonts w:asciiTheme="majorBidi" w:hAnsiTheme="majorBidi" w:cstheme="majorBidi"/>
          <w:color w:val="000000"/>
          <w:spacing w:val="1"/>
          <w:w w:val="105"/>
          <w:sz w:val="24"/>
          <w:szCs w:val="24"/>
        </w:rPr>
        <w:t>r</w:t>
      </w:r>
      <w:r>
        <w:rPr>
          <w:rFonts w:asciiTheme="majorBidi" w:hAnsiTheme="majorBidi" w:cstheme="majorBidi"/>
          <w:color w:val="000000"/>
          <w:w w:val="105"/>
          <w:sz w:val="24"/>
          <w:szCs w:val="24"/>
        </w:rPr>
        <w:t xml:space="preserve">iods. This requires advanced estimation techniques, rather than the traditional Ordinary Least Square (OLS), which can effectively capture the dependent structure of risk coefficients on investment options and crises as well as the characteristics of panel data. We, therefore, employ the </w:t>
      </w:r>
      <w:r w:rsidRPr="00BF1DB3">
        <w:rPr>
          <w:rFonts w:asciiTheme="majorBidi" w:hAnsiTheme="majorBidi" w:cstheme="majorBidi"/>
          <w:spacing w:val="-9"/>
          <w:w w:val="105"/>
          <w:sz w:val="24"/>
          <w:szCs w:val="24"/>
        </w:rPr>
        <w:t>F</w:t>
      </w:r>
      <w:r w:rsidRPr="00BF1DB3">
        <w:rPr>
          <w:rFonts w:asciiTheme="majorBidi" w:hAnsiTheme="majorBidi" w:cstheme="majorBidi"/>
          <w:w w:val="105"/>
          <w:sz w:val="24"/>
          <w:szCs w:val="24"/>
        </w:rPr>
        <w:t>e</w:t>
      </w:r>
      <w:r w:rsidRPr="00BF1DB3">
        <w:rPr>
          <w:rFonts w:asciiTheme="majorBidi" w:hAnsiTheme="majorBidi" w:cstheme="majorBidi"/>
          <w:spacing w:val="-1"/>
          <w:w w:val="105"/>
          <w:sz w:val="24"/>
          <w:szCs w:val="24"/>
        </w:rPr>
        <w:t>n</w:t>
      </w:r>
      <w:r w:rsidRPr="00BF1DB3">
        <w:rPr>
          <w:rFonts w:asciiTheme="majorBidi" w:hAnsiTheme="majorBidi" w:cstheme="majorBidi"/>
          <w:w w:val="105"/>
          <w:sz w:val="24"/>
          <w:szCs w:val="24"/>
        </w:rPr>
        <w:t>g</w:t>
      </w:r>
      <w:r>
        <w:rPr>
          <w:rFonts w:asciiTheme="majorBidi" w:hAnsiTheme="majorBidi" w:cstheme="majorBidi"/>
          <w:w w:val="105"/>
          <w:sz w:val="24"/>
          <w:szCs w:val="24"/>
        </w:rPr>
        <w:t xml:space="preserve"> et al.</w:t>
      </w:r>
      <w:r w:rsidRPr="00BF1DB3">
        <w:rPr>
          <w:rFonts w:asciiTheme="majorBidi" w:hAnsiTheme="majorBidi" w:cstheme="majorBidi"/>
          <w:spacing w:val="-26"/>
          <w:w w:val="105"/>
          <w:sz w:val="24"/>
          <w:szCs w:val="24"/>
        </w:rPr>
        <w:t xml:space="preserve"> </w:t>
      </w:r>
      <w:r w:rsidRPr="00BF1DB3">
        <w:rPr>
          <w:rFonts w:asciiTheme="majorBidi" w:hAnsiTheme="majorBidi" w:cstheme="majorBidi"/>
          <w:w w:val="105"/>
          <w:sz w:val="24"/>
          <w:szCs w:val="24"/>
        </w:rPr>
        <w:t>(2017)</w:t>
      </w:r>
      <w:r>
        <w:rPr>
          <w:rFonts w:asciiTheme="majorBidi" w:hAnsiTheme="majorBidi" w:cstheme="majorBidi"/>
          <w:w w:val="105"/>
          <w:sz w:val="24"/>
          <w:szCs w:val="24"/>
        </w:rPr>
        <w:t xml:space="preserve"> method to solve this problem.</w:t>
      </w:r>
      <w:r w:rsidRPr="00BF1DB3">
        <w:rPr>
          <w:rFonts w:asciiTheme="majorBidi" w:hAnsiTheme="majorBidi" w:cstheme="majorBidi"/>
          <w:w w:val="105"/>
          <w:sz w:val="24"/>
          <w:szCs w:val="24"/>
        </w:rPr>
        <w:t xml:space="preserve"> </w:t>
      </w:r>
      <w:r>
        <w:rPr>
          <w:rFonts w:asciiTheme="majorBidi" w:hAnsiTheme="majorBidi" w:cstheme="majorBidi"/>
          <w:w w:val="105"/>
          <w:sz w:val="24"/>
          <w:szCs w:val="24"/>
        </w:rPr>
        <w:t>To adapt the estimation framework of Feng et al. (2017), we can rewrite all models (1), (2), (3), (4) in a general form as follows,</w:t>
      </w:r>
    </w:p>
    <w:p w:rsidR="007F433F" w:rsidRPr="00BF1DB3" w:rsidRDefault="007F433F" w:rsidP="007F433F">
      <w:pPr>
        <w:spacing w:after="0" w:line="480" w:lineRule="auto"/>
        <w:jc w:val="right"/>
        <w:rPr>
          <w:rFonts w:asciiTheme="majorBidi"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it</m:t>
            </m:r>
          </m:sub>
        </m:sSub>
        <m:r>
          <w:rPr>
            <w:rFonts w:ascii="Cambria Math" w:hAnsi="Cambria Math" w:cstheme="majorBidi"/>
            <w:sz w:val="24"/>
            <w:szCs w:val="24"/>
          </w:rPr>
          <m:t>=</m:t>
        </m:r>
        <m:sSubSup>
          <m:sSubSupPr>
            <m:ctrlPr>
              <w:rPr>
                <w:rFonts w:ascii="Cambria Math" w:hAnsi="Cambria Math" w:cstheme="majorBidi"/>
                <w:i/>
                <w:sz w:val="24"/>
                <w:szCs w:val="24"/>
              </w:rPr>
            </m:ctrlPr>
          </m:sSubSupPr>
          <m:e>
            <m:r>
              <w:rPr>
                <w:rFonts w:ascii="Cambria Math" w:hAnsi="Cambria Math" w:cstheme="majorBidi"/>
                <w:sz w:val="24"/>
                <w:szCs w:val="24"/>
              </w:rPr>
              <m:t>X</m:t>
            </m:r>
          </m:e>
          <m:sub>
            <m:r>
              <w:rPr>
                <w:rFonts w:ascii="Cambria Math" w:hAnsi="Cambria Math" w:cstheme="majorBidi"/>
                <w:sz w:val="24"/>
                <w:szCs w:val="24"/>
              </w:rPr>
              <m:t>it</m:t>
            </m:r>
          </m:sub>
          <m:sup>
            <m:r>
              <w:rPr>
                <w:rFonts w:ascii="Cambria Math" w:hAnsi="Cambria Math" w:cstheme="majorBidi"/>
                <w:sz w:val="24"/>
                <w:szCs w:val="24"/>
              </w:rPr>
              <m:t>'</m:t>
            </m:r>
          </m:sup>
        </m:sSubSup>
        <m:r>
          <w:rPr>
            <w:rFonts w:ascii="Cambria Math" w:hAnsi="Cambria Math" w:cstheme="majorBidi"/>
            <w:sz w:val="24"/>
            <w:szCs w:val="24"/>
          </w:rPr>
          <m:t>β</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ω</m:t>
            </m:r>
          </m:e>
          <m:sub>
            <m:r>
              <w:rPr>
                <w:rFonts w:ascii="Cambria Math" w:hAnsi="Cambria Math" w:cstheme="majorBidi"/>
                <w:sz w:val="24"/>
                <w:szCs w:val="24"/>
              </w:rPr>
              <m:t>i</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it</m:t>
            </m:r>
          </m:sub>
        </m:sSub>
        <m:r>
          <w:rPr>
            <w:rFonts w:ascii="Cambria Math" w:hAnsi="Cambria Math" w:cstheme="majorBidi"/>
            <w:sz w:val="24"/>
            <w:szCs w:val="24"/>
          </w:rPr>
          <m:t>,</m:t>
        </m:r>
      </m:oMath>
      <w:r w:rsidRPr="00BF1DB3">
        <w:rPr>
          <w:rFonts w:asciiTheme="majorBidi" w:hAnsiTheme="majorBidi" w:cstheme="majorBidi"/>
          <w:sz w:val="24"/>
          <w:szCs w:val="24"/>
        </w:rPr>
        <w:tab/>
      </w:r>
      <w:r w:rsidRPr="00BF1DB3">
        <w:rPr>
          <w:rFonts w:asciiTheme="majorBidi" w:hAnsiTheme="majorBidi" w:cstheme="majorBidi"/>
          <w:sz w:val="24"/>
          <w:szCs w:val="24"/>
        </w:rPr>
        <w:tab/>
      </w:r>
      <w:r w:rsidRPr="00BF1DB3">
        <w:rPr>
          <w:rFonts w:asciiTheme="majorBidi" w:hAnsiTheme="majorBidi" w:cstheme="majorBidi"/>
          <w:sz w:val="24"/>
          <w:szCs w:val="24"/>
        </w:rPr>
        <w:tab/>
      </w:r>
      <w:r w:rsidRPr="00BF1DB3">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BF1DB3">
        <w:rPr>
          <w:rFonts w:asciiTheme="majorBidi" w:hAnsiTheme="majorBidi" w:cstheme="majorBidi"/>
          <w:sz w:val="24"/>
          <w:szCs w:val="24"/>
        </w:rPr>
        <w:t xml:space="preserve">(5) </w:t>
      </w:r>
    </w:p>
    <w:p w:rsidR="007F433F" w:rsidRDefault="007F433F" w:rsidP="007F433F">
      <w:pPr>
        <w:spacing w:after="0" w:line="480" w:lineRule="auto"/>
        <w:jc w:val="both"/>
        <w:rPr>
          <w:rFonts w:asciiTheme="majorBidi" w:hAnsiTheme="majorBidi" w:cstheme="majorBidi"/>
          <w:sz w:val="24"/>
          <w:szCs w:val="24"/>
        </w:rPr>
      </w:pPr>
      <w:proofErr w:type="gramStart"/>
      <w:r>
        <w:rPr>
          <w:rFonts w:asciiTheme="majorBidi" w:hAnsiTheme="majorBidi" w:cstheme="majorBidi"/>
          <w:sz w:val="24"/>
          <w:szCs w:val="24"/>
        </w:rPr>
        <w:t xml:space="preserve">where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it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oMath>
      <w:r>
        <w:rPr>
          <w:rFonts w:asciiTheme="majorBidi" w:hAnsiTheme="majorBidi" w:cstheme="majorBidi"/>
          <w:sz w:val="24"/>
          <w:szCs w:val="24"/>
        </w:rPr>
        <w:t>. Besides, elements of vector of explanatory variables</w:t>
      </w:r>
      <w:proofErr w:type="gramStart"/>
      <w:r>
        <w:rPr>
          <w:rFonts w:asciiTheme="majorBidi" w:hAnsiTheme="majorBidi" w:cstheme="majorBidi"/>
          <w:sz w:val="24"/>
          <w:szCs w:val="24"/>
        </w:rPr>
        <w:t xml:space="preserve">,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it</m:t>
            </m:r>
          </m:sub>
        </m:sSub>
      </m:oMath>
      <w:r>
        <w:rPr>
          <w:rFonts w:asciiTheme="majorBidi" w:hAnsiTheme="majorBidi" w:cstheme="majorBidi"/>
          <w:sz w:val="24"/>
          <w:szCs w:val="24"/>
        </w:rPr>
        <w:t xml:space="preserve">, and elements of vector of risk coefficients and factor coefficients,  </w:t>
      </w:r>
      <m:oMath>
        <m:r>
          <w:rPr>
            <w:rFonts w:ascii="Cambria Math" w:hAnsi="Cambria Math" w:cstheme="majorBidi"/>
            <w:sz w:val="24"/>
            <w:szCs w:val="24"/>
          </w:rPr>
          <m:t>β</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oMath>
      <w:r>
        <w:rPr>
          <w:rFonts w:asciiTheme="majorBidi" w:hAnsiTheme="majorBidi" w:cstheme="majorBidi"/>
          <w:sz w:val="24"/>
          <w:szCs w:val="24"/>
        </w:rPr>
        <w:t xml:space="preserve">, depend on the specification in each of four models employed. For example, in equation (1),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it</m:t>
            </m:r>
          </m:sub>
        </m:sSub>
        <m:r>
          <w:rPr>
            <w:rFonts w:ascii="Cambria Math" w:hAnsi="Cambria Math" w:cstheme="majorBidi"/>
            <w:sz w:val="24"/>
            <w:szCs w:val="24"/>
          </w:rPr>
          <m:t>=</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Mt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e>
        </m:d>
      </m:oMath>
      <w:r>
        <w:rPr>
          <w:rFonts w:asciiTheme="majorBidi" w:hAnsiTheme="majorBidi" w:cstheme="majorBidi"/>
          <w:sz w:val="24"/>
          <w:szCs w:val="24"/>
        </w:rPr>
        <w:t xml:space="preserve"> and </w:t>
      </w:r>
      <m:oMath>
        <m:r>
          <w:rPr>
            <w:rFonts w:ascii="Cambria Math" w:hAnsi="Cambria Math" w:cstheme="majorBidi"/>
            <w:sz w:val="24"/>
            <w:szCs w:val="24"/>
          </w:rPr>
          <m:t>β</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oMath>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M</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oMath>
      <w:r>
        <w:rPr>
          <w:rFonts w:asciiTheme="majorBidi" w:hAnsiTheme="majorBidi" w:cstheme="majorBidi"/>
          <w:sz w:val="24"/>
          <w:szCs w:val="24"/>
        </w:rPr>
        <w:t>; whereas, in equation (4),</w:t>
      </w:r>
    </w:p>
    <w:p w:rsidR="007F433F" w:rsidRPr="003D1D32" w:rsidRDefault="007F433F" w:rsidP="007F433F">
      <w:pPr>
        <w:spacing w:after="0" w:line="480" w:lineRule="auto"/>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it</m:t>
              </m:r>
            </m:sub>
          </m:sSub>
          <m:r>
            <w:rPr>
              <w:rFonts w:ascii="Cambria Math" w:hAnsi="Cambria Math" w:cstheme="majorBidi"/>
              <w:sz w:val="24"/>
              <w:szCs w:val="24"/>
            </w:rPr>
            <m:t>=</m:t>
          </m:r>
          <m:d>
            <m:dPr>
              <m:begChr m:val="["/>
              <m:endChr m:val="]"/>
              <m:ctrlPr>
                <w:rPr>
                  <w:rFonts w:ascii="Cambria Math" w:hAnsi="Cambria Math" w:cstheme="majorBidi"/>
                  <w:i/>
                  <w:sz w:val="24"/>
                  <w:szCs w:val="24"/>
                </w:rPr>
              </m:ctrlPr>
            </m:dPr>
            <m:e>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Mt</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Ft</m:t>
                      </m:r>
                    </m:sub>
                  </m:sSub>
                </m:e>
              </m:d>
              <m:r>
                <w:rPr>
                  <w:rFonts w:ascii="Cambria Math" w:hAnsi="Cambria Math" w:cstheme="majorBidi"/>
                  <w:sz w:val="24"/>
                  <w:szCs w:val="24"/>
                </w:rPr>
                <m:t>, SM</m:t>
              </m:r>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t</m:t>
                  </m:r>
                </m:sub>
              </m:sSub>
              <m:r>
                <w:rPr>
                  <w:rFonts w:ascii="Cambria Math" w:hAnsi="Cambria Math" w:cstheme="majorBidi"/>
                  <w:sz w:val="24"/>
                  <w:szCs w:val="24"/>
                </w:rPr>
                <m:t>, HM</m:t>
              </m:r>
              <m:sSub>
                <m:sSubPr>
                  <m:ctrlPr>
                    <w:rPr>
                      <w:rFonts w:ascii="Cambria Math" w:hAnsi="Cambria Math" w:cstheme="majorBidi"/>
                      <w:i/>
                      <w:sz w:val="24"/>
                      <w:szCs w:val="24"/>
                    </w:rPr>
                  </m:ctrlPr>
                </m:sSubPr>
                <m:e>
                  <m:r>
                    <w:rPr>
                      <w:rFonts w:ascii="Cambria Math" w:hAnsi="Cambria Math" w:cstheme="majorBidi"/>
                      <w:sz w:val="24"/>
                      <w:szCs w:val="24"/>
                    </w:rPr>
                    <m:t>L</m:t>
                  </m:r>
                </m:e>
                <m:sub>
                  <m:r>
                    <w:rPr>
                      <w:rFonts w:ascii="Cambria Math" w:hAnsi="Cambria Math" w:cstheme="majorBidi"/>
                      <w:sz w:val="24"/>
                      <w:szCs w:val="24"/>
                    </w:rPr>
                    <m:t>t</m:t>
                  </m:r>
                </m:sub>
              </m:sSub>
              <m:r>
                <w:rPr>
                  <w:rFonts w:ascii="Cambria Math" w:hAnsi="Cambria Math" w:cstheme="majorBidi"/>
                  <w:sz w:val="24"/>
                  <w:szCs w:val="24"/>
                </w:rPr>
                <m:t>, RM</m:t>
              </m:r>
              <m:sSub>
                <m:sSubPr>
                  <m:ctrlPr>
                    <w:rPr>
                      <w:rFonts w:ascii="Cambria Math" w:hAnsi="Cambria Math" w:cstheme="majorBidi"/>
                      <w:i/>
                      <w:sz w:val="24"/>
                      <w:szCs w:val="24"/>
                    </w:rPr>
                  </m:ctrlPr>
                </m:sSubPr>
                <m:e>
                  <m:r>
                    <w:rPr>
                      <w:rFonts w:ascii="Cambria Math" w:hAnsi="Cambria Math" w:cstheme="majorBidi"/>
                      <w:sz w:val="24"/>
                      <w:szCs w:val="24"/>
                    </w:rPr>
                    <m:t>W</m:t>
                  </m:r>
                </m:e>
                <m:sub>
                  <m:r>
                    <w:rPr>
                      <w:rFonts w:ascii="Cambria Math" w:hAnsi="Cambria Math" w:cstheme="majorBidi"/>
                      <w:sz w:val="24"/>
                      <w:szCs w:val="24"/>
                    </w:rPr>
                    <m:t>t</m:t>
                  </m:r>
                </m:sub>
              </m:sSub>
              <m:r>
                <w:rPr>
                  <w:rFonts w:ascii="Cambria Math" w:hAnsi="Cambria Math" w:cstheme="majorBidi"/>
                  <w:sz w:val="24"/>
                  <w:szCs w:val="24"/>
                </w:rPr>
                <m:t>, CM</m:t>
              </m:r>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t</m:t>
                  </m:r>
                </m:sub>
              </m:sSub>
            </m:e>
          </m:d>
          <m:r>
            <w:rPr>
              <w:rFonts w:ascii="Cambria Math" w:hAnsi="Cambria Math" w:cstheme="majorBidi"/>
              <w:sz w:val="24"/>
              <w:szCs w:val="24"/>
            </w:rPr>
            <m:t>'</m:t>
          </m:r>
        </m:oMath>
      </m:oMathPara>
    </w:p>
    <w:p w:rsidR="007F433F" w:rsidRPr="00BF1DB3" w:rsidRDefault="007F433F" w:rsidP="007F433F">
      <w:pPr>
        <w:spacing w:after="0" w:line="480" w:lineRule="auto"/>
        <w:rPr>
          <w:rFonts w:asciiTheme="majorBidi" w:hAnsiTheme="majorBidi" w:cstheme="majorBidi"/>
          <w:sz w:val="24"/>
          <w:szCs w:val="24"/>
        </w:rPr>
      </w:pPr>
      <w:proofErr w:type="gramStart"/>
      <w:r>
        <w:rPr>
          <w:rFonts w:asciiTheme="majorBidi" w:hAnsiTheme="majorBidi" w:cstheme="majorBidi"/>
          <w:sz w:val="24"/>
          <w:szCs w:val="24"/>
        </w:rPr>
        <w:t>and</w:t>
      </w:r>
      <w:proofErr w:type="gramEnd"/>
      <w:r>
        <w:rPr>
          <w:rFonts w:asciiTheme="majorBidi" w:hAnsiTheme="majorBidi" w:cstheme="majorBidi"/>
          <w:sz w:val="24"/>
          <w:szCs w:val="24"/>
        </w:rPr>
        <w:br/>
      </w:r>
      <m:oMathPara>
        <m:oMath>
          <m:r>
            <w:rPr>
              <w:rFonts w:ascii="Cambria Math" w:hAnsi="Cambria Math" w:cstheme="majorBidi"/>
              <w:sz w:val="24"/>
              <w:szCs w:val="24"/>
            </w:rPr>
            <m:t>β</m:t>
          </m:r>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r>
            <w:rPr>
              <w:rFonts w:ascii="Cambria Math" w:hAnsi="Cambria Math" w:cstheme="majorBidi"/>
              <w:sz w:val="24"/>
              <w:szCs w:val="24"/>
            </w:rPr>
            <m:t xml:space="preserve">= </m:t>
          </m:r>
          <m:d>
            <m:dPr>
              <m:begChr m:val="["/>
              <m:endChr m:val="]"/>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M</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SMB</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HML</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RMW</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β</m:t>
                  </m:r>
                </m:e>
                <m:sub>
                  <m:r>
                    <w:rPr>
                      <w:rFonts w:ascii="Cambria Math" w:hAnsi="Cambria Math" w:cstheme="majorBidi"/>
                      <w:sz w:val="24"/>
                      <w:szCs w:val="24"/>
                    </w:rPr>
                    <m:t>CMA</m:t>
                  </m:r>
                </m:sub>
              </m:sSub>
              <m:d>
                <m:dPr>
                  <m:ctrlPr>
                    <w:rPr>
                      <w:rFonts w:ascii="Cambria Math" w:hAnsi="Cambria Math" w:cstheme="majorBidi"/>
                      <w:i/>
                      <w:sz w:val="24"/>
                      <w:szCs w:val="24"/>
                    </w:rPr>
                  </m:ctrlPr>
                </m:dPr>
                <m:e>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e>
              </m:d>
            </m:e>
          </m:d>
          <m:r>
            <w:rPr>
              <w:rFonts w:ascii="Cambria Math" w:hAnsi="Cambria Math" w:cstheme="majorBidi"/>
              <w:sz w:val="24"/>
              <w:szCs w:val="24"/>
            </w:rPr>
            <m:t>'</m:t>
          </m:r>
          <m:r>
            <m:rPr>
              <m:sty m:val="p"/>
            </m:rPr>
            <w:rPr>
              <w:rFonts w:asciiTheme="majorBidi" w:hAnsiTheme="majorBidi" w:cstheme="majorBidi"/>
              <w:sz w:val="24"/>
              <w:szCs w:val="24"/>
            </w:rPr>
            <w:br/>
          </m:r>
        </m:oMath>
      </m:oMathPara>
      <w:r>
        <w:rPr>
          <w:rFonts w:asciiTheme="majorBidi" w:hAnsiTheme="majorBidi" w:cstheme="majorBidi"/>
          <w:sz w:val="24"/>
          <w:szCs w:val="24"/>
        </w:rPr>
        <w:t xml:space="preserve">and other employed models, (2) and (3), can be rewritten in a similar fashion. </w:t>
      </w:r>
    </w:p>
    <w:p w:rsidR="007F433F" w:rsidRPr="003D1D32" w:rsidRDefault="007F433F" w:rsidP="007F433F">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Given </w:t>
      </w:r>
      <w:r w:rsidRPr="00307E6B">
        <w:rPr>
          <w:rFonts w:asciiTheme="majorBidi" w:hAnsiTheme="majorBidi" w:cstheme="majorBidi"/>
          <w:i/>
          <w:sz w:val="24"/>
          <w:szCs w:val="24"/>
        </w:rPr>
        <w:t>z</w:t>
      </w:r>
      <w:r>
        <w:rPr>
          <w:rFonts w:asciiTheme="majorBidi" w:hAnsiTheme="majorBidi" w:cstheme="majorBidi"/>
          <w:sz w:val="24"/>
          <w:szCs w:val="24"/>
        </w:rPr>
        <w:t xml:space="preserve"> denotes an individual categorical element </w:t>
      </w:r>
      <w:proofErr w:type="gramStart"/>
      <w:r>
        <w:rPr>
          <w:rFonts w:asciiTheme="majorBidi" w:hAnsiTheme="majorBidi" w:cstheme="majorBidi"/>
          <w:sz w:val="24"/>
          <w:szCs w:val="24"/>
        </w:rPr>
        <w:t xml:space="preserve">of </w:t>
      </w:r>
      <w:proofErr w:type="gramEnd"/>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it</m:t>
            </m:r>
          </m:sub>
        </m:sSub>
      </m:oMath>
      <w:r>
        <w:rPr>
          <w:rFonts w:asciiTheme="majorBidi" w:hAnsiTheme="majorBidi" w:cstheme="majorBidi"/>
          <w:sz w:val="24"/>
          <w:szCs w:val="24"/>
        </w:rPr>
        <w:t xml:space="preserve">, Feng et al. (2017) show that the risk and factor coefficients in each category </w:t>
      </w:r>
      <w:r w:rsidRPr="00307E6B">
        <w:rPr>
          <w:rFonts w:asciiTheme="majorBidi" w:hAnsiTheme="majorBidi" w:cstheme="majorBidi"/>
          <w:i/>
          <w:sz w:val="24"/>
          <w:szCs w:val="24"/>
        </w:rPr>
        <w:t>z</w:t>
      </w:r>
      <w:r>
        <w:rPr>
          <w:rFonts w:asciiTheme="majorBidi" w:hAnsiTheme="majorBidi" w:cstheme="majorBidi"/>
          <w:sz w:val="24"/>
          <w:szCs w:val="24"/>
        </w:rPr>
        <w:t xml:space="preserve">, </w:t>
      </w:r>
      <m:oMath>
        <m:acc>
          <m:accPr>
            <m:ctrlPr>
              <w:rPr>
                <w:rFonts w:ascii="Cambria Math" w:hAnsi="Cambria Math"/>
                <w:i/>
              </w:rPr>
            </m:ctrlPr>
          </m:accPr>
          <m:e>
            <m:r>
              <w:rPr>
                <w:rFonts w:ascii="Cambria Math" w:hAnsi="Cambria Math"/>
              </w:rPr>
              <m:t>β</m:t>
            </m:r>
          </m:e>
        </m:acc>
        <m:d>
          <m:dPr>
            <m:ctrlPr>
              <w:rPr>
                <w:rFonts w:ascii="Cambria Math" w:hAnsi="Cambria Math"/>
                <w:i/>
              </w:rPr>
            </m:ctrlPr>
          </m:dPr>
          <m:e>
            <m:r>
              <w:rPr>
                <w:rFonts w:ascii="Cambria Math" w:hAnsi="Cambria Math"/>
              </w:rPr>
              <m:t>z</m:t>
            </m:r>
          </m:e>
        </m:d>
      </m:oMath>
      <w:r>
        <w:rPr>
          <w:rFonts w:asciiTheme="majorBidi" w:hAnsiTheme="majorBidi" w:cstheme="majorBidi"/>
        </w:rPr>
        <w:t>, can be estimated as follows,</w:t>
      </w:r>
      <w:r>
        <w:rPr>
          <w:rFonts w:asciiTheme="majorBidi" w:hAnsiTheme="majorBidi" w:cstheme="majorBidi"/>
          <w:sz w:val="24"/>
          <w:szCs w:val="24"/>
        </w:rPr>
        <w:t xml:space="preserve"> </w:t>
      </w:r>
    </w:p>
    <w:p w:rsidR="007F433F" w:rsidRPr="001F2963" w:rsidRDefault="007F433F" w:rsidP="007F433F">
      <w:pPr>
        <w:pStyle w:val="BodyText"/>
        <w:spacing w:after="0"/>
        <w:jc w:val="both"/>
        <w:rPr>
          <w:rFonts w:asciiTheme="majorBidi" w:hAnsiTheme="majorBidi" w:cstheme="majorBidi"/>
          <w:sz w:val="24"/>
          <w:szCs w:val="24"/>
        </w:rPr>
      </w:pPr>
    </w:p>
    <w:p w:rsidR="007F433F" w:rsidRPr="003D1D32" w:rsidRDefault="007F433F" w:rsidP="007F433F">
      <w:pPr>
        <w:jc w:val="both"/>
      </w:pPr>
      <m:oMathPara>
        <m:oMathParaPr>
          <m:jc m:val="right"/>
        </m:oMathParaPr>
        <m:oMath>
          <m:acc>
            <m:accPr>
              <m:ctrlPr>
                <w:rPr>
                  <w:rFonts w:ascii="Cambria Math" w:hAnsi="Cambria Math"/>
                  <w:i/>
                </w:rPr>
              </m:ctrlPr>
            </m:accPr>
            <m:e>
              <m:r>
                <w:rPr>
                  <w:rFonts w:ascii="Cambria Math" w:hAnsi="Cambria Math"/>
                </w:rPr>
                <m:t>β</m:t>
              </m:r>
            </m:e>
          </m:acc>
          <m:d>
            <m:dPr>
              <m:ctrlPr>
                <w:rPr>
                  <w:rFonts w:ascii="Cambria Math" w:hAnsi="Cambria Math"/>
                  <w:i/>
                </w:rPr>
              </m:ctrlPr>
            </m:dPr>
            <m:e>
              <m:r>
                <w:rPr>
                  <w:rFonts w:ascii="Cambria Math" w:hAnsi="Cambria Math"/>
                </w:rPr>
                <m:t>z</m:t>
              </m:r>
            </m:e>
          </m:d>
          <m:r>
            <w:rPr>
              <w:rFonts w:ascii="Cambria Math" w:hAnsi="Cambria Math"/>
            </w:rPr>
            <m:t>=</m:t>
          </m:r>
          <m:sSup>
            <m:sSupPr>
              <m:ctrlPr>
                <w:rPr>
                  <w:rFonts w:ascii="Cambria Math" w:hAnsi="Cambria Math"/>
                  <w:i/>
                </w:rPr>
              </m:ctrlPr>
            </m:sSupPr>
            <m:e>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it</m:t>
                              </m:r>
                            </m:sub>
                          </m:sSub>
                          <m:sSubSup>
                            <m:sSubSupPr>
                              <m:ctrlPr>
                                <w:rPr>
                                  <w:rFonts w:ascii="Cambria Math" w:hAnsi="Cambria Math"/>
                                  <w:i/>
                                </w:rPr>
                              </m:ctrlPr>
                            </m:sSubSupPr>
                            <m:e>
                              <m:acc>
                                <m:accPr>
                                  <m:chr m:val="̃"/>
                                  <m:ctrlPr>
                                    <w:rPr>
                                      <w:rFonts w:ascii="Cambria Math" w:hAnsi="Cambria Math"/>
                                      <w:i/>
                                    </w:rPr>
                                  </m:ctrlPr>
                                </m:accPr>
                                <m:e>
                                  <m:r>
                                    <w:rPr>
                                      <w:rFonts w:ascii="Cambria Math" w:hAnsi="Cambria Math"/>
                                    </w:rPr>
                                    <m:t>X</m:t>
                                  </m:r>
                                </m:e>
                              </m:acc>
                            </m:e>
                            <m:sub>
                              <m:r>
                                <w:rPr>
                                  <w:rFonts w:ascii="Cambria Math" w:hAnsi="Cambria Math"/>
                                </w:rPr>
                                <m:t>it</m:t>
                              </m:r>
                            </m:sub>
                            <m:sup>
                              <m:r>
                                <w:rPr>
                                  <w:rFonts w:ascii="Cambria Math" w:hAnsi="Cambria Math"/>
                                </w:rPr>
                                <m:t>'</m:t>
                              </m:r>
                            </m:sup>
                          </m:sSubSup>
                        </m:e>
                      </m:nary>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it</m:t>
                              </m:r>
                            </m:sub>
                          </m:sSub>
                          <m:r>
                            <w:rPr>
                              <w:rFonts w:ascii="Cambria Math" w:hAnsi="Cambria Math"/>
                            </w:rPr>
                            <m:t>,z,</m:t>
                          </m:r>
                          <m:acc>
                            <m:accPr>
                              <m:ctrlPr>
                                <w:rPr>
                                  <w:rFonts w:ascii="Cambria Math" w:hAnsi="Cambria Math"/>
                                  <w:i/>
                                </w:rPr>
                              </m:ctrlPr>
                            </m:accPr>
                            <m:e>
                              <m:r>
                                <w:rPr>
                                  <w:rFonts w:ascii="Cambria Math" w:hAnsi="Cambria Math"/>
                                </w:rPr>
                                <m:t>λ</m:t>
                              </m:r>
                            </m:e>
                          </m:acc>
                        </m:e>
                      </m:d>
                    </m:e>
                  </m:nary>
                </m:e>
              </m:d>
            </m:e>
            <m:sup>
              <m:r>
                <w:rPr>
                  <w:rFonts w:ascii="Cambria Math" w:hAnsi="Cambria Math"/>
                </w:rPr>
                <m:t>-1</m:t>
              </m:r>
            </m:sup>
          </m:sSup>
          <m:d>
            <m:dPr>
              <m:ctrlPr>
                <w:rPr>
                  <w:rFonts w:ascii="Cambria Math" w:hAnsi="Cambria Math"/>
                  <w:i/>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it</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it</m:t>
                          </m:r>
                        </m:sub>
                      </m:sSub>
                    </m:e>
                  </m:nary>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it</m:t>
                          </m:r>
                        </m:sub>
                      </m:sSub>
                      <m:r>
                        <w:rPr>
                          <w:rFonts w:ascii="Cambria Math" w:hAnsi="Cambria Math"/>
                        </w:rPr>
                        <m:t>,z,</m:t>
                      </m:r>
                      <m:acc>
                        <m:accPr>
                          <m:ctrlPr>
                            <w:rPr>
                              <w:rFonts w:ascii="Cambria Math" w:hAnsi="Cambria Math"/>
                              <w:i/>
                            </w:rPr>
                          </m:ctrlPr>
                        </m:accPr>
                        <m:e>
                          <m:r>
                            <w:rPr>
                              <w:rFonts w:ascii="Cambria Math" w:hAnsi="Cambria Math"/>
                            </w:rPr>
                            <m:t>λ</m:t>
                          </m:r>
                        </m:e>
                      </m:acc>
                    </m:e>
                  </m:d>
                </m:e>
              </m:nary>
            </m:e>
          </m:d>
          <m:r>
            <w:rPr>
              <w:rFonts w:ascii="Cambria Math" w:hAnsi="Cambria Math"/>
            </w:rPr>
            <m:t xml:space="preserve">                        (6)</m:t>
          </m:r>
        </m:oMath>
      </m:oMathPara>
    </w:p>
    <w:p w:rsidR="007F433F" w:rsidRDefault="007F433F" w:rsidP="007F433F">
      <w:pPr>
        <w:pStyle w:val="BodyText"/>
        <w:spacing w:after="0" w:line="480" w:lineRule="auto"/>
        <w:ind w:firstLine="358"/>
        <w:jc w:val="both"/>
        <w:rPr>
          <w:rFonts w:asciiTheme="majorBidi" w:hAnsiTheme="majorBidi" w:cstheme="majorBidi"/>
          <w:sz w:val="24"/>
          <w:szCs w:val="24"/>
        </w:rPr>
      </w:pPr>
      <w:r>
        <w:rPr>
          <w:rFonts w:asciiTheme="majorBidi" w:hAnsiTheme="majorBidi" w:cstheme="majorBidi"/>
          <w:sz w:val="24"/>
          <w:szCs w:val="24"/>
        </w:rPr>
        <w:lastRenderedPageBreak/>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7F433F" w:rsidRDefault="007F433F" w:rsidP="007F433F">
      <w:pPr>
        <w:pStyle w:val="BodyText"/>
        <w:spacing w:after="0" w:line="480" w:lineRule="auto"/>
        <w:jc w:val="both"/>
        <w:rPr>
          <w:rFonts w:asciiTheme="majorBidi" w:hAnsiTheme="majorBidi" w:cstheme="majorBidi"/>
          <w:color w:val="000000"/>
          <w:w w:val="105"/>
          <w:sz w:val="24"/>
          <w:szCs w:val="24"/>
        </w:rPr>
      </w:pPr>
      <w:r>
        <w:rPr>
          <w:rFonts w:asciiTheme="majorBidi" w:hAnsiTheme="majorBidi" w:cstheme="majorBidi"/>
          <w:sz w:val="24"/>
          <w:szCs w:val="24"/>
        </w:rPr>
        <w:t>w</w:t>
      </w:r>
      <w:r w:rsidRPr="00E92347">
        <w:rPr>
          <w:rFonts w:asciiTheme="majorBidi" w:hAnsiTheme="majorBidi" w:cstheme="majorBidi"/>
          <w:sz w:val="24"/>
          <w:szCs w:val="24"/>
        </w:rPr>
        <w:t xml:space="preserve">here </w:t>
      </w:r>
      <m:oMath>
        <m:sSub>
          <m:sSubPr>
            <m:ctrlPr>
              <w:rPr>
                <w:rFonts w:ascii="Cambria Math" w:hAnsi="Cambria Math" w:cstheme="majorBidi"/>
                <w:i/>
                <w:sz w:val="24"/>
                <w:szCs w:val="24"/>
              </w:rPr>
            </m:ctrlPr>
          </m:sSubPr>
          <m:e>
            <m:acc>
              <m:accPr>
                <m:chr m:val="̃"/>
                <m:ctrlPr>
                  <w:rPr>
                    <w:rFonts w:ascii="Cambria Math" w:hAnsi="Cambria Math" w:cstheme="majorBidi"/>
                    <w:i/>
                    <w:sz w:val="24"/>
                    <w:szCs w:val="24"/>
                  </w:rPr>
                </m:ctrlPr>
              </m:accPr>
              <m:e>
                <m:r>
                  <w:rPr>
                    <w:rFonts w:ascii="Cambria Math" w:hAnsi="Cambria Math" w:cstheme="majorBidi"/>
                    <w:sz w:val="24"/>
                    <w:szCs w:val="24"/>
                  </w:rPr>
                  <m:t>X</m:t>
                </m:r>
              </m:e>
            </m:acc>
          </m:e>
          <m:sub>
            <m:r>
              <w:rPr>
                <w:rFonts w:ascii="Cambria Math" w:hAnsi="Cambria Math" w:cstheme="majorBidi"/>
                <w:sz w:val="24"/>
                <w:szCs w:val="24"/>
              </w:rPr>
              <m:t>it</m:t>
            </m:r>
          </m:sub>
        </m:sSub>
        <m:r>
          <w:rPr>
            <w:rFonts w:ascii="Cambria Math" w:hAnsi="Cambria Math" w:cstheme="majorBidi"/>
            <w:sz w:val="24"/>
            <w:szCs w:val="24"/>
          </w:rPr>
          <m:t xml:space="preserve"> </m:t>
        </m:r>
      </m:oMath>
      <w:r w:rsidRPr="00E92347">
        <w:rPr>
          <w:rFonts w:asciiTheme="majorBidi" w:hAnsiTheme="majorBidi" w:cstheme="majorBidi"/>
          <w:sz w:val="24"/>
          <w:szCs w:val="24"/>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it</m:t>
            </m:r>
          </m:sub>
        </m:sSub>
      </m:oMath>
      <w:r w:rsidRPr="00E92347">
        <w:rPr>
          <w:rFonts w:asciiTheme="majorBidi" w:hAnsiTheme="majorBidi" w:cstheme="majorBidi"/>
          <w:sz w:val="24"/>
          <w:szCs w:val="24"/>
        </w:rPr>
        <w:t xml:space="preserve"> are transformed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it</m:t>
            </m:r>
          </m:sub>
        </m:sSub>
      </m:oMath>
      <w:r w:rsidRPr="00E92347">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it</m:t>
            </m:r>
          </m:sub>
        </m:sSub>
      </m:oMath>
      <w:r w:rsidRPr="00E92347">
        <w:rPr>
          <w:rFonts w:asciiTheme="majorBidi" w:hAnsiTheme="majorBidi" w:cstheme="majorBidi"/>
          <w:sz w:val="24"/>
          <w:szCs w:val="24"/>
          <w:vertAlign w:val="subscript"/>
        </w:rPr>
        <w:t xml:space="preserve"> </w:t>
      </w:r>
      <w:r w:rsidRPr="00E92347">
        <w:rPr>
          <w:rFonts w:asciiTheme="majorBidi" w:hAnsiTheme="majorBidi" w:cstheme="majorBidi"/>
          <w:sz w:val="24"/>
          <w:szCs w:val="24"/>
        </w:rPr>
        <w:t>after removing the fixed effects</w:t>
      </w:r>
      <w:r>
        <w:rPr>
          <w:rFonts w:asciiTheme="majorBidi"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ω</m:t>
            </m:r>
          </m:e>
          <m:sub>
            <m:r>
              <w:rPr>
                <w:rFonts w:ascii="Cambria Math" w:hAnsi="Cambria Math" w:cstheme="majorBidi"/>
                <w:sz w:val="24"/>
                <w:szCs w:val="24"/>
              </w:rPr>
              <m:t>i</m:t>
            </m:r>
          </m:sub>
        </m:sSub>
      </m:oMath>
      <w:r w:rsidRPr="00E92347">
        <w:rPr>
          <w:rFonts w:asciiTheme="majorBidi" w:hAnsiTheme="majorBidi" w:cstheme="majorBidi"/>
          <w:sz w:val="24"/>
          <w:szCs w:val="24"/>
        </w:rPr>
        <w:t xml:space="preserve">; </w:t>
      </w:r>
      <m:oMath>
        <m:r>
          <w:rPr>
            <w:rFonts w:ascii="Cambria Math" w:hAnsi="Cambria Math" w:cstheme="majorBidi"/>
            <w:sz w:val="24"/>
            <w:szCs w:val="24"/>
          </w:rPr>
          <m:t>L</m:t>
        </m:r>
        <m:d>
          <m:dPr>
            <m:ctrlPr>
              <w:rPr>
                <w:rFonts w:ascii="Cambria Math" w:hAnsi="Cambria Math" w:cstheme="majorBidi"/>
                <w:i/>
                <w:sz w:val="24"/>
                <w:szCs w:val="24"/>
              </w:rPr>
            </m:ctrlPr>
          </m:dPr>
          <m:e>
            <m:r>
              <w:rPr>
                <w:rFonts w:ascii="Cambria Math" w:hAnsi="Cambria Math" w:cstheme="majorBidi"/>
                <w:sz w:val="24"/>
                <w:szCs w:val="24"/>
              </w:rPr>
              <m:t>.</m:t>
            </m:r>
          </m:e>
        </m:d>
      </m:oMath>
      <w:r w:rsidRPr="00E92347">
        <w:rPr>
          <w:rFonts w:asciiTheme="majorBidi" w:hAnsiTheme="majorBidi" w:cstheme="majorBidi"/>
          <w:sz w:val="24"/>
          <w:szCs w:val="24"/>
        </w:rPr>
        <w:t xml:space="preserve"> is a multivariate kernel function of Aitchison and Aitken (1976) with its optimal bandwidths </w:t>
      </w:r>
      <m:oMath>
        <m:acc>
          <m:accPr>
            <m:ctrlPr>
              <w:rPr>
                <w:rFonts w:ascii="Cambria Math" w:hAnsi="Cambria Math" w:cstheme="majorBidi"/>
                <w:i/>
                <w:sz w:val="24"/>
                <w:szCs w:val="24"/>
              </w:rPr>
            </m:ctrlPr>
          </m:accPr>
          <m:e>
            <m:r>
              <w:rPr>
                <w:rFonts w:ascii="Cambria Math" w:hAnsi="Cambria Math" w:cstheme="majorBidi"/>
                <w:sz w:val="24"/>
                <w:szCs w:val="24"/>
              </w:rPr>
              <m:t>λ</m:t>
            </m:r>
          </m:e>
        </m:acc>
      </m:oMath>
      <w:r w:rsidRPr="00E92347">
        <w:rPr>
          <w:rFonts w:asciiTheme="majorBidi" w:hAnsiTheme="majorBidi" w:cstheme="majorBidi"/>
          <w:sz w:val="24"/>
          <w:szCs w:val="24"/>
        </w:rPr>
        <w:t xml:space="preserve"> selected through a cross validation criterion function</w:t>
      </w:r>
      <w:r>
        <w:rPr>
          <w:rFonts w:asciiTheme="majorBidi" w:hAnsiTheme="majorBidi" w:cstheme="majorBidi"/>
          <w:sz w:val="24"/>
          <w:szCs w:val="24"/>
        </w:rPr>
        <w:t xml:space="preserve"> (see Feng et al., 2017)</w:t>
      </w:r>
      <w:r>
        <w:rPr>
          <w:rFonts w:asciiTheme="majorBidi" w:hAnsiTheme="majorBidi" w:cstheme="majorBidi"/>
          <w:color w:val="000000"/>
          <w:w w:val="105"/>
          <w:sz w:val="24"/>
          <w:szCs w:val="24"/>
        </w:rPr>
        <w:t>.</w:t>
      </w:r>
    </w:p>
    <w:p w:rsidR="007F433F" w:rsidRDefault="007F433F" w:rsidP="007F433F">
      <w:pPr>
        <w:pStyle w:val="ListParagraph"/>
        <w:numPr>
          <w:ilvl w:val="0"/>
          <w:numId w:val="2"/>
        </w:numPr>
        <w:adjustRightInd w:val="0"/>
        <w:spacing w:after="0" w:line="480" w:lineRule="auto"/>
        <w:ind w:left="284" w:hanging="284"/>
        <w:jc w:val="both"/>
        <w:rPr>
          <w:rFonts w:asciiTheme="majorBidi" w:hAnsiTheme="majorBidi" w:cstheme="majorBidi"/>
          <w:b/>
          <w:bCs/>
          <w:sz w:val="24"/>
          <w:szCs w:val="24"/>
        </w:rPr>
      </w:pPr>
      <w:r w:rsidRPr="00B32228">
        <w:rPr>
          <w:rFonts w:asciiTheme="majorBidi" w:hAnsiTheme="majorBidi" w:cstheme="majorBidi"/>
          <w:b/>
          <w:bCs/>
          <w:sz w:val="24"/>
          <w:szCs w:val="24"/>
        </w:rPr>
        <w:t xml:space="preserve">Empirical Results </w:t>
      </w:r>
    </w:p>
    <w:p w:rsidR="007F433F" w:rsidRPr="00307E6B" w:rsidRDefault="007F433F" w:rsidP="007F433F">
      <w:pPr>
        <w:pStyle w:val="ListParagraph"/>
        <w:adjustRightInd w:val="0"/>
        <w:spacing w:after="0" w:line="480" w:lineRule="auto"/>
        <w:ind w:left="0"/>
        <w:jc w:val="both"/>
        <w:rPr>
          <w:rFonts w:asciiTheme="majorBidi" w:hAnsiTheme="majorBidi" w:cstheme="majorBidi"/>
          <w:b/>
          <w:bCs/>
          <w:i/>
          <w:sz w:val="24"/>
          <w:szCs w:val="24"/>
        </w:rPr>
      </w:pPr>
      <w:r w:rsidRPr="00307E6B">
        <w:rPr>
          <w:rFonts w:asciiTheme="majorBidi" w:hAnsiTheme="majorBidi" w:cstheme="majorBidi"/>
          <w:b/>
          <w:bCs/>
          <w:i/>
          <w:sz w:val="24"/>
          <w:szCs w:val="24"/>
        </w:rPr>
        <w:t>4.1 Initial Return Analysis</w:t>
      </w:r>
    </w:p>
    <w:p w:rsidR="007F433F" w:rsidRDefault="007F433F" w:rsidP="007F433F">
      <w:pPr>
        <w:spacing w:after="0" w:line="480" w:lineRule="auto"/>
        <w:ind w:firstLine="567"/>
        <w:jc w:val="both"/>
        <w:rPr>
          <w:rFonts w:asciiTheme="majorBidi" w:hAnsiTheme="majorBidi" w:cstheme="majorBidi"/>
          <w:sz w:val="24"/>
          <w:szCs w:val="24"/>
        </w:rPr>
      </w:pPr>
      <w:r w:rsidRPr="004E4B90">
        <w:rPr>
          <w:rFonts w:asciiTheme="majorBidi" w:hAnsiTheme="majorBidi" w:cstheme="majorBidi"/>
          <w:sz w:val="24"/>
          <w:szCs w:val="24"/>
        </w:rPr>
        <w:t>Using the monthly price data, we compute the continuous</w:t>
      </w:r>
      <w:r>
        <w:rPr>
          <w:rFonts w:asciiTheme="majorBidi" w:hAnsiTheme="majorBidi" w:cstheme="majorBidi"/>
          <w:sz w:val="24"/>
          <w:szCs w:val="24"/>
        </w:rPr>
        <w:t>ly</w:t>
      </w:r>
      <w:r w:rsidRPr="004E4B90">
        <w:rPr>
          <w:rFonts w:asciiTheme="majorBidi" w:hAnsiTheme="majorBidi" w:cstheme="majorBidi"/>
          <w:sz w:val="24"/>
          <w:szCs w:val="24"/>
        </w:rPr>
        <w:t xml:space="preserve"> compound returns</w:t>
      </w:r>
      <w:r>
        <w:rPr>
          <w:rFonts w:asciiTheme="majorBidi" w:hAnsiTheme="majorBidi" w:cstheme="majorBidi"/>
          <w:sz w:val="24"/>
          <w:szCs w:val="24"/>
        </w:rPr>
        <w:t xml:space="preserve"> and present the summary statistics in ta</w:t>
      </w:r>
      <w:r w:rsidRPr="004E4B90">
        <w:rPr>
          <w:rFonts w:asciiTheme="majorBidi" w:hAnsiTheme="majorBidi" w:cstheme="majorBidi"/>
          <w:sz w:val="24"/>
          <w:szCs w:val="24"/>
        </w:rPr>
        <w:t>ble 2.</w:t>
      </w:r>
      <w:r>
        <w:rPr>
          <w:rFonts w:asciiTheme="majorBidi" w:hAnsiTheme="majorBidi" w:cstheme="majorBidi"/>
          <w:sz w:val="24"/>
          <w:szCs w:val="24"/>
        </w:rPr>
        <w:t xml:space="preserve"> </w:t>
      </w:r>
      <w:r w:rsidRPr="004E4B90">
        <w:rPr>
          <w:rFonts w:asciiTheme="majorBidi" w:hAnsiTheme="majorBidi" w:cstheme="majorBidi"/>
          <w:sz w:val="24"/>
          <w:szCs w:val="24"/>
        </w:rPr>
        <w:t xml:space="preserve">Table 2 summarises the average long term return of the four investment options calculated using the </w:t>
      </w:r>
      <w:proofErr w:type="spellStart"/>
      <w:r>
        <w:rPr>
          <w:rFonts w:asciiTheme="majorBidi" w:hAnsiTheme="majorBidi" w:cstheme="majorBidi"/>
          <w:sz w:val="24"/>
          <w:szCs w:val="24"/>
        </w:rPr>
        <w:t>Canstar</w:t>
      </w:r>
      <w:proofErr w:type="spellEnd"/>
      <w:r>
        <w:rPr>
          <w:rFonts w:asciiTheme="majorBidi" w:hAnsiTheme="majorBidi" w:cstheme="majorBidi"/>
          <w:sz w:val="24"/>
          <w:szCs w:val="24"/>
        </w:rPr>
        <w:t xml:space="preserve"> classification </w:t>
      </w:r>
      <w:r w:rsidRPr="004E4B90">
        <w:rPr>
          <w:rFonts w:asciiTheme="majorBidi" w:hAnsiTheme="majorBidi" w:cstheme="majorBidi"/>
          <w:sz w:val="24"/>
          <w:szCs w:val="24"/>
        </w:rPr>
        <w:t xml:space="preserve">in panel A and panel B summarises the returns using the ASIC classification. </w:t>
      </w:r>
      <w:r>
        <w:rPr>
          <w:rFonts w:asciiTheme="majorBidi" w:hAnsiTheme="majorBidi" w:cstheme="majorBidi"/>
          <w:sz w:val="24"/>
          <w:szCs w:val="24"/>
        </w:rPr>
        <w:t xml:space="preserve">Consistent in both panels, the highest monthly average return for the sample period is for the multi-sector growth options and across the two methods of classification used. As expected, the higher the percentage of growth assets the higher is the expected return over each of the categories. The growth and aggressive options outperform the moderate and balanced options, and the two different methods of classification do not provide different average returns; the mean across the two methods are quite similar. Hence, defining a balanced fund using 41-60 % or a balanced fund as 31-70% does not indicate a large difference in the monthly average return over the longer term. </w:t>
      </w:r>
      <w:r w:rsidRPr="004E4B90">
        <w:rPr>
          <w:rFonts w:asciiTheme="majorBidi" w:hAnsiTheme="majorBidi" w:cstheme="majorBidi"/>
          <w:sz w:val="24"/>
          <w:szCs w:val="24"/>
        </w:rPr>
        <w:t>The</w:t>
      </w:r>
      <w:r>
        <w:rPr>
          <w:rFonts w:asciiTheme="majorBidi" w:hAnsiTheme="majorBidi" w:cstheme="majorBidi"/>
          <w:sz w:val="24"/>
          <w:szCs w:val="24"/>
        </w:rPr>
        <w:t xml:space="preserve"> monthly </w:t>
      </w:r>
      <w:r w:rsidRPr="004E4B90">
        <w:rPr>
          <w:rFonts w:asciiTheme="majorBidi" w:hAnsiTheme="majorBidi" w:cstheme="majorBidi"/>
          <w:sz w:val="24"/>
          <w:szCs w:val="24"/>
        </w:rPr>
        <w:t xml:space="preserve">maximum average return </w:t>
      </w:r>
      <w:r>
        <w:rPr>
          <w:rFonts w:asciiTheme="majorBidi" w:hAnsiTheme="majorBidi" w:cstheme="majorBidi"/>
          <w:sz w:val="24"/>
          <w:szCs w:val="24"/>
        </w:rPr>
        <w:t>is</w:t>
      </w:r>
      <w:r w:rsidRPr="004E4B90">
        <w:rPr>
          <w:rFonts w:asciiTheme="majorBidi" w:hAnsiTheme="majorBidi" w:cstheme="majorBidi"/>
          <w:sz w:val="24"/>
          <w:szCs w:val="24"/>
        </w:rPr>
        <w:t xml:space="preserve"> 1.5497% </w:t>
      </w:r>
      <w:r>
        <w:rPr>
          <w:rFonts w:asciiTheme="majorBidi" w:hAnsiTheme="majorBidi" w:cstheme="majorBidi"/>
          <w:sz w:val="24"/>
          <w:szCs w:val="24"/>
        </w:rPr>
        <w:t xml:space="preserve">in the panel A </w:t>
      </w:r>
      <w:r w:rsidRPr="004E4B90">
        <w:rPr>
          <w:rFonts w:asciiTheme="majorBidi" w:hAnsiTheme="majorBidi" w:cstheme="majorBidi"/>
          <w:sz w:val="24"/>
          <w:szCs w:val="24"/>
        </w:rPr>
        <w:t xml:space="preserve">and 2.0357%, </w:t>
      </w:r>
      <w:r>
        <w:rPr>
          <w:rFonts w:asciiTheme="majorBidi" w:hAnsiTheme="majorBidi" w:cstheme="majorBidi"/>
          <w:sz w:val="24"/>
          <w:szCs w:val="24"/>
        </w:rPr>
        <w:t>in panel B,</w:t>
      </w:r>
      <w:r w:rsidRPr="004E4B90">
        <w:rPr>
          <w:rFonts w:asciiTheme="majorBidi" w:hAnsiTheme="majorBidi" w:cstheme="majorBidi"/>
          <w:sz w:val="24"/>
          <w:szCs w:val="24"/>
        </w:rPr>
        <w:t xml:space="preserve"> both from </w:t>
      </w:r>
      <w:r>
        <w:rPr>
          <w:rFonts w:asciiTheme="majorBidi" w:hAnsiTheme="majorBidi" w:cstheme="majorBidi"/>
          <w:sz w:val="24"/>
          <w:szCs w:val="24"/>
        </w:rPr>
        <w:t>the aggressive investment option. The definition of an aggressive investment options in panel A includes growth assets of 81-100 % and the variability of the return as shown by the range and the standard deviation are 1.6976% and 0.2445%, respectively</w:t>
      </w:r>
      <w:r w:rsidRPr="004E4B90">
        <w:rPr>
          <w:rFonts w:asciiTheme="majorBidi" w:hAnsiTheme="majorBidi" w:cstheme="majorBidi"/>
          <w:sz w:val="24"/>
          <w:szCs w:val="24"/>
        </w:rPr>
        <w:t xml:space="preserve">. </w:t>
      </w:r>
      <w:r>
        <w:rPr>
          <w:rFonts w:asciiTheme="majorBidi" w:hAnsiTheme="majorBidi" w:cstheme="majorBidi"/>
          <w:sz w:val="24"/>
          <w:szCs w:val="24"/>
        </w:rPr>
        <w:t xml:space="preserve">Panel B defines an aggressive option with growth assets in the range of 85-100 % and the range which the return varies is 3.1457% and the standard deviation is 0.2919%. Similarly, the </w:t>
      </w:r>
      <w:r w:rsidRPr="004E4B90">
        <w:rPr>
          <w:rFonts w:asciiTheme="majorBidi" w:hAnsiTheme="majorBidi" w:cstheme="majorBidi"/>
          <w:sz w:val="24"/>
          <w:szCs w:val="24"/>
        </w:rPr>
        <w:t xml:space="preserve">minimum </w:t>
      </w:r>
      <w:r>
        <w:rPr>
          <w:rFonts w:asciiTheme="majorBidi" w:hAnsiTheme="majorBidi" w:cstheme="majorBidi"/>
          <w:sz w:val="24"/>
          <w:szCs w:val="24"/>
        </w:rPr>
        <w:t xml:space="preserve">monthly </w:t>
      </w:r>
      <w:r w:rsidRPr="004E4B90">
        <w:rPr>
          <w:rFonts w:asciiTheme="majorBidi" w:hAnsiTheme="majorBidi" w:cstheme="majorBidi"/>
          <w:sz w:val="24"/>
          <w:szCs w:val="24"/>
        </w:rPr>
        <w:t>average return</w:t>
      </w:r>
      <w:r>
        <w:rPr>
          <w:rFonts w:asciiTheme="majorBidi" w:hAnsiTheme="majorBidi" w:cstheme="majorBidi"/>
          <w:sz w:val="24"/>
          <w:szCs w:val="24"/>
        </w:rPr>
        <w:t xml:space="preserve">s observed in aggressive categories from two classification methodologies are </w:t>
      </w:r>
      <w:r w:rsidRPr="004E4B90">
        <w:rPr>
          <w:rFonts w:asciiTheme="majorBidi" w:hAnsiTheme="majorBidi" w:cstheme="majorBidi"/>
          <w:sz w:val="24"/>
          <w:szCs w:val="24"/>
        </w:rPr>
        <w:t xml:space="preserve">-0.1479% </w:t>
      </w:r>
      <w:r>
        <w:rPr>
          <w:rFonts w:asciiTheme="majorBidi" w:hAnsiTheme="majorBidi" w:cstheme="majorBidi"/>
          <w:sz w:val="24"/>
          <w:szCs w:val="24"/>
        </w:rPr>
        <w:t xml:space="preserve">(panel A) and -1.1100% (panel B) </w:t>
      </w:r>
      <w:r w:rsidRPr="004E4B90">
        <w:rPr>
          <w:rFonts w:asciiTheme="majorBidi" w:hAnsiTheme="majorBidi" w:cstheme="majorBidi"/>
          <w:sz w:val="24"/>
          <w:szCs w:val="24"/>
        </w:rPr>
        <w:t xml:space="preserve">respectively. </w:t>
      </w:r>
      <w:r>
        <w:rPr>
          <w:rFonts w:asciiTheme="majorBidi" w:hAnsiTheme="majorBidi" w:cstheme="majorBidi"/>
          <w:sz w:val="24"/>
          <w:szCs w:val="24"/>
        </w:rPr>
        <w:t xml:space="preserve">Hence, while defining investment options using </w:t>
      </w:r>
      <w:r>
        <w:rPr>
          <w:rFonts w:asciiTheme="majorBidi" w:hAnsiTheme="majorBidi" w:cstheme="majorBidi"/>
          <w:sz w:val="24"/>
          <w:szCs w:val="24"/>
        </w:rPr>
        <w:lastRenderedPageBreak/>
        <w:t xml:space="preserve">different definitions highlight that the monthly average return in the long term does not vary, there is quite a large variation in the returns, which is the risk associated with the investment option. As such we focus our results now on the risk assessment for each of the categories by considering the beta estimates across the models explained in the previous section. </w:t>
      </w:r>
    </w:p>
    <w:p w:rsidR="007F433F" w:rsidRDefault="007F433F" w:rsidP="007F433F">
      <w:pPr>
        <w:spacing w:after="0" w:line="480" w:lineRule="auto"/>
        <w:ind w:firstLine="567"/>
        <w:jc w:val="both"/>
        <w:rPr>
          <w:rFonts w:asciiTheme="majorBidi" w:hAnsiTheme="majorBidi" w:cstheme="majorBidi"/>
          <w:sz w:val="24"/>
          <w:szCs w:val="24"/>
        </w:rPr>
      </w:pPr>
    </w:p>
    <w:p w:rsidR="007F433F" w:rsidRPr="00307E6B" w:rsidRDefault="007F433F" w:rsidP="007F433F">
      <w:pPr>
        <w:pStyle w:val="ListParagraph"/>
        <w:numPr>
          <w:ilvl w:val="1"/>
          <w:numId w:val="3"/>
        </w:numPr>
        <w:spacing w:after="0" w:line="480" w:lineRule="auto"/>
        <w:jc w:val="both"/>
        <w:rPr>
          <w:rFonts w:asciiTheme="majorBidi" w:hAnsiTheme="majorBidi" w:cstheme="majorBidi"/>
          <w:b/>
          <w:bCs/>
          <w:i/>
          <w:sz w:val="24"/>
          <w:szCs w:val="24"/>
        </w:rPr>
      </w:pPr>
      <w:r w:rsidRPr="00307E6B">
        <w:rPr>
          <w:rFonts w:asciiTheme="majorBidi" w:hAnsiTheme="majorBidi" w:cstheme="majorBidi"/>
          <w:b/>
          <w:bCs/>
          <w:i/>
          <w:sz w:val="24"/>
          <w:szCs w:val="24"/>
        </w:rPr>
        <w:t>Risk Analysis- Full sample</w:t>
      </w:r>
    </w:p>
    <w:p w:rsidR="007F433F" w:rsidRDefault="007F433F" w:rsidP="007F433F">
      <w:pPr>
        <w:snapToGrid w:val="0"/>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Our sample period is over a 27 years period and hence the market has had significant periods of stock market volatility with some significant crisis including the 1997 Asian Crisis, the 2001 Dot Com Crisis and the 2007 GFC. Hence, we estimate the risk associated with the investment options using our models defined in the previous section considering possibly different impacts of crisis and non-crisis periods. We</w:t>
      </w:r>
      <w:r w:rsidRPr="006C0FEF">
        <w:rPr>
          <w:rFonts w:asciiTheme="majorBidi" w:hAnsiTheme="majorBidi" w:cstheme="majorBidi"/>
          <w:sz w:val="24"/>
          <w:szCs w:val="24"/>
        </w:rPr>
        <w:t xml:space="preserve"> define three crisis periods</w:t>
      </w:r>
      <w:r>
        <w:rPr>
          <w:rFonts w:asciiTheme="majorBidi" w:hAnsiTheme="majorBidi" w:cstheme="majorBidi"/>
          <w:sz w:val="24"/>
          <w:szCs w:val="24"/>
        </w:rPr>
        <w:t xml:space="preserve"> as follows: 1997 Asian financial crisis from </w:t>
      </w:r>
      <w:r w:rsidRPr="006C0FEF">
        <w:rPr>
          <w:rFonts w:asciiTheme="majorBidi" w:hAnsiTheme="majorBidi" w:cstheme="majorBidi"/>
          <w:sz w:val="24"/>
          <w:szCs w:val="24"/>
        </w:rPr>
        <w:t>January 1997</w:t>
      </w:r>
      <w:r>
        <w:rPr>
          <w:rFonts w:asciiTheme="majorBidi" w:hAnsiTheme="majorBidi" w:cstheme="majorBidi"/>
          <w:sz w:val="24"/>
          <w:szCs w:val="24"/>
        </w:rPr>
        <w:t xml:space="preserve"> to </w:t>
      </w:r>
      <w:r w:rsidRPr="006C0FEF">
        <w:rPr>
          <w:rFonts w:asciiTheme="majorBidi" w:hAnsiTheme="majorBidi" w:cstheme="majorBidi"/>
          <w:sz w:val="24"/>
          <w:szCs w:val="24"/>
        </w:rPr>
        <w:t>June 1999</w:t>
      </w:r>
      <w:r>
        <w:rPr>
          <w:rFonts w:asciiTheme="majorBidi" w:hAnsiTheme="majorBidi" w:cstheme="majorBidi"/>
          <w:sz w:val="24"/>
          <w:szCs w:val="24"/>
        </w:rPr>
        <w:t xml:space="preserve">; the </w:t>
      </w:r>
      <w:r w:rsidRPr="006C0FEF">
        <w:rPr>
          <w:rFonts w:asciiTheme="majorBidi" w:hAnsiTheme="majorBidi" w:cstheme="majorBidi"/>
          <w:sz w:val="24"/>
          <w:szCs w:val="24"/>
        </w:rPr>
        <w:t xml:space="preserve">2000 dot com crisis </w:t>
      </w:r>
      <w:r>
        <w:rPr>
          <w:rFonts w:asciiTheme="majorBidi" w:hAnsiTheme="majorBidi" w:cstheme="majorBidi"/>
          <w:sz w:val="24"/>
          <w:szCs w:val="24"/>
        </w:rPr>
        <w:t xml:space="preserve">from </w:t>
      </w:r>
      <w:r w:rsidRPr="006C0FEF">
        <w:rPr>
          <w:rFonts w:asciiTheme="majorBidi" w:hAnsiTheme="majorBidi" w:cstheme="majorBidi"/>
          <w:sz w:val="24"/>
          <w:szCs w:val="24"/>
        </w:rPr>
        <w:t>September 1999</w:t>
      </w:r>
      <w:r>
        <w:rPr>
          <w:rFonts w:asciiTheme="majorBidi" w:hAnsiTheme="majorBidi" w:cstheme="majorBidi"/>
          <w:sz w:val="24"/>
          <w:szCs w:val="24"/>
        </w:rPr>
        <w:t xml:space="preserve"> to </w:t>
      </w:r>
      <w:r w:rsidRPr="006C0FEF">
        <w:rPr>
          <w:rFonts w:asciiTheme="majorBidi" w:hAnsiTheme="majorBidi" w:cstheme="majorBidi"/>
          <w:sz w:val="24"/>
          <w:szCs w:val="24"/>
        </w:rPr>
        <w:t xml:space="preserve">April 2003 and 2007 </w:t>
      </w:r>
      <w:r>
        <w:rPr>
          <w:rFonts w:asciiTheme="majorBidi" w:hAnsiTheme="majorBidi" w:cstheme="majorBidi"/>
          <w:sz w:val="24"/>
          <w:szCs w:val="24"/>
        </w:rPr>
        <w:t xml:space="preserve">GFC from </w:t>
      </w:r>
      <w:r w:rsidRPr="006C0FEF">
        <w:rPr>
          <w:rFonts w:asciiTheme="majorBidi" w:hAnsiTheme="majorBidi" w:cstheme="majorBidi"/>
          <w:sz w:val="24"/>
          <w:szCs w:val="24"/>
        </w:rPr>
        <w:t>January 2007- September 2009.</w:t>
      </w:r>
      <w:r>
        <w:rPr>
          <w:rFonts w:asciiTheme="majorBidi" w:hAnsiTheme="majorBidi" w:cstheme="majorBidi"/>
          <w:sz w:val="24"/>
          <w:szCs w:val="24"/>
        </w:rPr>
        <w:t xml:space="preserve"> Vector of</w:t>
      </w:r>
      <w:r w:rsidRPr="006C0FEF">
        <w:rPr>
          <w:rFonts w:asciiTheme="majorBidi" w:hAnsiTheme="majorBidi" w:cstheme="majorBidi"/>
          <w:sz w:val="24"/>
          <w:szCs w:val="24"/>
        </w:rPr>
        <w:t xml:space="preserve"> </w:t>
      </w:r>
      <w:r>
        <w:rPr>
          <w:rFonts w:asciiTheme="majorBidi" w:hAnsiTheme="majorBidi" w:cstheme="majorBidi"/>
          <w:sz w:val="24"/>
          <w:szCs w:val="24"/>
        </w:rPr>
        <w:t>c</w:t>
      </w:r>
      <w:r w:rsidRPr="006C0FEF">
        <w:rPr>
          <w:rFonts w:asciiTheme="majorBidi" w:hAnsiTheme="majorBidi" w:cstheme="majorBidi"/>
          <w:sz w:val="24"/>
          <w:szCs w:val="24"/>
        </w:rPr>
        <w:t xml:space="preserve">ategorical variables </w:t>
      </w:r>
      <w:r w:rsidRPr="00307E6B">
        <w:rPr>
          <w:rFonts w:asciiTheme="majorBidi" w:hAnsiTheme="majorBidi" w:cstheme="majorBidi"/>
          <w:i/>
          <w:sz w:val="24"/>
          <w:szCs w:val="24"/>
        </w:rPr>
        <w:t>Z</w:t>
      </w:r>
      <w:r w:rsidRPr="00307E6B">
        <w:rPr>
          <w:rFonts w:asciiTheme="majorBidi" w:hAnsiTheme="majorBidi" w:cstheme="majorBidi"/>
          <w:i/>
          <w:sz w:val="24"/>
          <w:szCs w:val="24"/>
          <w:vertAlign w:val="subscript"/>
        </w:rPr>
        <w:t>it</w:t>
      </w:r>
      <w:r>
        <w:rPr>
          <w:rFonts w:asciiTheme="majorBidi" w:hAnsiTheme="majorBidi" w:cstheme="majorBidi"/>
          <w:sz w:val="24"/>
          <w:szCs w:val="24"/>
        </w:rPr>
        <w:t xml:space="preserve"> = (</w:t>
      </w:r>
      <w:r w:rsidRPr="00307E6B">
        <w:rPr>
          <w:rFonts w:asciiTheme="majorBidi" w:hAnsiTheme="majorBidi" w:cstheme="majorBidi"/>
          <w:i/>
          <w:sz w:val="24"/>
          <w:szCs w:val="24"/>
        </w:rPr>
        <w:t>Z</w:t>
      </w:r>
      <w:r>
        <w:rPr>
          <w:rFonts w:asciiTheme="majorBidi" w:hAnsiTheme="majorBidi" w:cstheme="majorBidi"/>
          <w:i/>
          <w:sz w:val="24"/>
          <w:szCs w:val="24"/>
          <w:vertAlign w:val="subscript"/>
        </w:rPr>
        <w:t>1it</w:t>
      </w:r>
      <w:r>
        <w:rPr>
          <w:rFonts w:asciiTheme="majorBidi" w:hAnsiTheme="majorBidi" w:cstheme="majorBidi"/>
          <w:sz w:val="24"/>
          <w:szCs w:val="24"/>
        </w:rPr>
        <w:t xml:space="preserve"> , </w:t>
      </w:r>
      <w:r w:rsidRPr="00307E6B">
        <w:rPr>
          <w:rFonts w:asciiTheme="majorBidi" w:hAnsiTheme="majorBidi" w:cstheme="majorBidi"/>
          <w:i/>
          <w:sz w:val="24"/>
          <w:szCs w:val="24"/>
        </w:rPr>
        <w:t>Z</w:t>
      </w:r>
      <w:r>
        <w:rPr>
          <w:rFonts w:asciiTheme="majorBidi" w:hAnsiTheme="majorBidi" w:cstheme="majorBidi"/>
          <w:i/>
          <w:sz w:val="24"/>
          <w:szCs w:val="24"/>
          <w:vertAlign w:val="subscript"/>
        </w:rPr>
        <w:t>2it</w:t>
      </w:r>
      <w:r>
        <w:rPr>
          <w:rFonts w:asciiTheme="majorBidi" w:hAnsiTheme="majorBidi" w:cstheme="majorBidi"/>
          <w:sz w:val="24"/>
          <w:szCs w:val="24"/>
        </w:rPr>
        <w:t>)</w:t>
      </w:r>
      <w:r w:rsidRPr="006C0FEF">
        <w:rPr>
          <w:rFonts w:asciiTheme="majorBidi" w:hAnsiTheme="majorBidi" w:cstheme="majorBidi"/>
          <w:sz w:val="24"/>
          <w:szCs w:val="24"/>
        </w:rPr>
        <w:t xml:space="preserve"> in </w:t>
      </w:r>
      <w:r>
        <w:rPr>
          <w:rFonts w:asciiTheme="majorBidi" w:hAnsiTheme="majorBidi" w:cstheme="majorBidi"/>
          <w:sz w:val="24"/>
          <w:szCs w:val="24"/>
        </w:rPr>
        <w:t xml:space="preserve">equations </w:t>
      </w:r>
      <w:r w:rsidRPr="006C0FEF">
        <w:rPr>
          <w:rFonts w:asciiTheme="majorBidi" w:hAnsiTheme="majorBidi" w:cstheme="majorBidi"/>
          <w:sz w:val="24"/>
          <w:szCs w:val="24"/>
        </w:rPr>
        <w:t>(</w:t>
      </w:r>
      <w:r>
        <w:rPr>
          <w:rFonts w:asciiTheme="majorBidi" w:hAnsiTheme="majorBidi" w:cstheme="majorBidi"/>
          <w:sz w:val="24"/>
          <w:szCs w:val="24"/>
        </w:rPr>
        <w:t>1</w:t>
      </w:r>
      <w:r w:rsidRPr="006C0FEF">
        <w:rPr>
          <w:rFonts w:asciiTheme="majorBidi" w:hAnsiTheme="majorBidi" w:cstheme="majorBidi"/>
          <w:sz w:val="24"/>
          <w:szCs w:val="24"/>
        </w:rPr>
        <w:t>), (</w:t>
      </w:r>
      <w:r>
        <w:rPr>
          <w:rFonts w:asciiTheme="majorBidi" w:hAnsiTheme="majorBidi" w:cstheme="majorBidi"/>
          <w:sz w:val="24"/>
          <w:szCs w:val="24"/>
        </w:rPr>
        <w:t>2</w:t>
      </w:r>
      <w:r w:rsidRPr="006C0FEF">
        <w:rPr>
          <w:rFonts w:asciiTheme="majorBidi" w:hAnsiTheme="majorBidi" w:cstheme="majorBidi"/>
          <w:sz w:val="24"/>
          <w:szCs w:val="24"/>
        </w:rPr>
        <w:t>), (</w:t>
      </w:r>
      <w:r>
        <w:rPr>
          <w:rFonts w:asciiTheme="majorBidi" w:hAnsiTheme="majorBidi" w:cstheme="majorBidi"/>
          <w:sz w:val="24"/>
          <w:szCs w:val="24"/>
        </w:rPr>
        <w:t>3</w:t>
      </w:r>
      <w:r w:rsidRPr="006C0FEF">
        <w:rPr>
          <w:rFonts w:asciiTheme="majorBidi" w:hAnsiTheme="majorBidi" w:cstheme="majorBidi"/>
          <w:sz w:val="24"/>
          <w:szCs w:val="24"/>
        </w:rPr>
        <w:t>) a</w:t>
      </w:r>
      <w:r>
        <w:rPr>
          <w:rFonts w:asciiTheme="majorBidi" w:hAnsiTheme="majorBidi" w:cstheme="majorBidi"/>
          <w:sz w:val="24"/>
          <w:szCs w:val="24"/>
        </w:rPr>
        <w:t xml:space="preserve">nd (4), comprises of </w:t>
      </w:r>
      <w:r w:rsidRPr="00307E6B">
        <w:rPr>
          <w:rFonts w:asciiTheme="majorBidi" w:hAnsiTheme="majorBidi" w:cstheme="majorBidi"/>
          <w:i/>
          <w:sz w:val="24"/>
          <w:szCs w:val="24"/>
        </w:rPr>
        <w:t>Z</w:t>
      </w:r>
      <w:r>
        <w:rPr>
          <w:rFonts w:asciiTheme="majorBidi" w:hAnsiTheme="majorBidi" w:cstheme="majorBidi"/>
          <w:i/>
          <w:sz w:val="24"/>
          <w:szCs w:val="24"/>
          <w:vertAlign w:val="subscript"/>
        </w:rPr>
        <w:t>1it</w:t>
      </w:r>
      <w:r>
        <w:rPr>
          <w:rFonts w:asciiTheme="majorBidi" w:hAnsiTheme="majorBidi" w:cstheme="majorBidi"/>
          <w:sz w:val="24"/>
          <w:szCs w:val="24"/>
        </w:rPr>
        <w:t xml:space="preserve"> and </w:t>
      </w:r>
      <w:r w:rsidRPr="00307E6B">
        <w:rPr>
          <w:rFonts w:asciiTheme="majorBidi" w:hAnsiTheme="majorBidi" w:cstheme="majorBidi"/>
          <w:i/>
          <w:sz w:val="24"/>
          <w:szCs w:val="24"/>
        </w:rPr>
        <w:t>Z</w:t>
      </w:r>
      <w:r>
        <w:rPr>
          <w:rFonts w:asciiTheme="majorBidi" w:hAnsiTheme="majorBidi" w:cstheme="majorBidi"/>
          <w:i/>
          <w:sz w:val="24"/>
          <w:szCs w:val="24"/>
          <w:vertAlign w:val="subscript"/>
        </w:rPr>
        <w:t>2it</w:t>
      </w:r>
      <w:r>
        <w:rPr>
          <w:rFonts w:asciiTheme="majorBidi" w:hAnsiTheme="majorBidi" w:cstheme="majorBidi"/>
          <w:sz w:val="24"/>
          <w:szCs w:val="24"/>
        </w:rPr>
        <w:t>, in which</w:t>
      </w:r>
      <w:r w:rsidRPr="006C0FEF">
        <w:rPr>
          <w:rFonts w:asciiTheme="majorBidi" w:hAnsiTheme="majorBidi" w:cstheme="majorBidi"/>
          <w:sz w:val="24"/>
          <w:szCs w:val="24"/>
        </w:rPr>
        <w:t xml:space="preserve"> </w:t>
      </w:r>
      <w:r w:rsidRPr="00307E6B">
        <w:rPr>
          <w:rFonts w:asciiTheme="majorBidi" w:hAnsiTheme="majorBidi" w:cstheme="majorBidi"/>
          <w:i/>
          <w:sz w:val="24"/>
          <w:szCs w:val="24"/>
        </w:rPr>
        <w:t>Z</w:t>
      </w:r>
      <w:r>
        <w:rPr>
          <w:rFonts w:asciiTheme="majorBidi" w:hAnsiTheme="majorBidi" w:cstheme="majorBidi"/>
          <w:i/>
          <w:sz w:val="24"/>
          <w:szCs w:val="24"/>
          <w:vertAlign w:val="subscript"/>
        </w:rPr>
        <w:t>1it</w:t>
      </w:r>
      <w:r w:rsidRPr="006C0FEF">
        <w:rPr>
          <w:rFonts w:asciiTheme="majorBidi" w:hAnsiTheme="majorBidi" w:cstheme="majorBidi"/>
          <w:sz w:val="24"/>
          <w:szCs w:val="24"/>
        </w:rPr>
        <w:t xml:space="preserve"> </w:t>
      </w:r>
      <w:r>
        <w:rPr>
          <w:rFonts w:asciiTheme="majorBidi" w:hAnsiTheme="majorBidi" w:cstheme="majorBidi"/>
          <w:sz w:val="24"/>
          <w:szCs w:val="24"/>
        </w:rPr>
        <w:t>capture</w:t>
      </w:r>
      <w:r w:rsidRPr="006C0FEF">
        <w:rPr>
          <w:rFonts w:asciiTheme="majorBidi" w:hAnsiTheme="majorBidi" w:cstheme="majorBidi"/>
          <w:sz w:val="24"/>
          <w:szCs w:val="24"/>
        </w:rPr>
        <w:t xml:space="preserve"> </w:t>
      </w:r>
      <w:r>
        <w:rPr>
          <w:rFonts w:asciiTheme="majorBidi" w:hAnsiTheme="majorBidi" w:cstheme="majorBidi"/>
          <w:sz w:val="24"/>
          <w:szCs w:val="24"/>
        </w:rPr>
        <w:t xml:space="preserve">the investment option information of superannuation fund </w:t>
      </w:r>
      <w:proofErr w:type="spellStart"/>
      <w:r w:rsidRPr="00A12EC3">
        <w:rPr>
          <w:rFonts w:asciiTheme="majorBidi" w:hAnsiTheme="majorBidi" w:cstheme="majorBidi"/>
          <w:i/>
          <w:sz w:val="24"/>
          <w:szCs w:val="24"/>
        </w:rPr>
        <w:t>i</w:t>
      </w:r>
      <w:proofErr w:type="spellEnd"/>
      <w:r>
        <w:rPr>
          <w:rFonts w:asciiTheme="majorBidi" w:hAnsiTheme="majorBidi" w:cstheme="majorBidi"/>
          <w:sz w:val="24"/>
          <w:szCs w:val="24"/>
        </w:rPr>
        <w:t xml:space="preserve"> across time </w:t>
      </w:r>
      <w:r w:rsidRPr="00A12EC3">
        <w:rPr>
          <w:rFonts w:asciiTheme="majorBidi" w:hAnsiTheme="majorBidi" w:cstheme="majorBidi"/>
          <w:i/>
          <w:sz w:val="24"/>
          <w:szCs w:val="24"/>
        </w:rPr>
        <w:t>t</w:t>
      </w:r>
      <w:r>
        <w:rPr>
          <w:rFonts w:asciiTheme="majorBidi" w:hAnsiTheme="majorBidi" w:cstheme="majorBidi"/>
          <w:sz w:val="24"/>
          <w:szCs w:val="24"/>
        </w:rPr>
        <w:t xml:space="preserve"> including m</w:t>
      </w:r>
      <w:r w:rsidRPr="006C0FEF">
        <w:rPr>
          <w:rFonts w:asciiTheme="majorBidi" w:hAnsiTheme="majorBidi" w:cstheme="majorBidi"/>
          <w:sz w:val="24"/>
          <w:szCs w:val="24"/>
        </w:rPr>
        <w:t>oderate</w:t>
      </w:r>
      <w:r>
        <w:rPr>
          <w:rFonts w:asciiTheme="majorBidi" w:hAnsiTheme="majorBidi" w:cstheme="majorBidi"/>
          <w:sz w:val="24"/>
          <w:szCs w:val="24"/>
        </w:rPr>
        <w:t xml:space="preserve"> option, balanced options</w:t>
      </w:r>
      <w:r w:rsidRPr="006C0FEF">
        <w:rPr>
          <w:rFonts w:asciiTheme="majorBidi" w:hAnsiTheme="majorBidi" w:cstheme="majorBidi"/>
          <w:sz w:val="24"/>
          <w:szCs w:val="24"/>
        </w:rPr>
        <w:t xml:space="preserve">, </w:t>
      </w:r>
      <w:r>
        <w:rPr>
          <w:rFonts w:asciiTheme="majorBidi" w:hAnsiTheme="majorBidi" w:cstheme="majorBidi"/>
          <w:sz w:val="24"/>
          <w:szCs w:val="24"/>
        </w:rPr>
        <w:t>g</w:t>
      </w:r>
      <w:r w:rsidRPr="006C0FEF">
        <w:rPr>
          <w:rFonts w:asciiTheme="majorBidi" w:hAnsiTheme="majorBidi" w:cstheme="majorBidi"/>
          <w:sz w:val="24"/>
          <w:szCs w:val="24"/>
        </w:rPr>
        <w:t>rowth</w:t>
      </w:r>
      <w:r>
        <w:rPr>
          <w:rFonts w:asciiTheme="majorBidi" w:hAnsiTheme="majorBidi" w:cstheme="majorBidi"/>
          <w:sz w:val="24"/>
          <w:szCs w:val="24"/>
        </w:rPr>
        <w:t xml:space="preserve"> option</w:t>
      </w:r>
      <w:r w:rsidRPr="006C0FEF">
        <w:rPr>
          <w:rFonts w:asciiTheme="majorBidi" w:hAnsiTheme="majorBidi" w:cstheme="majorBidi"/>
          <w:sz w:val="24"/>
          <w:szCs w:val="24"/>
        </w:rPr>
        <w:t xml:space="preserve"> and </w:t>
      </w:r>
      <w:r>
        <w:rPr>
          <w:rFonts w:asciiTheme="majorBidi" w:hAnsiTheme="majorBidi" w:cstheme="majorBidi"/>
          <w:sz w:val="24"/>
          <w:szCs w:val="24"/>
        </w:rPr>
        <w:t>a</w:t>
      </w:r>
      <w:r w:rsidRPr="006C0FEF">
        <w:rPr>
          <w:rFonts w:asciiTheme="majorBidi" w:hAnsiTheme="majorBidi" w:cstheme="majorBidi"/>
          <w:sz w:val="24"/>
          <w:szCs w:val="24"/>
        </w:rPr>
        <w:t>ggressive</w:t>
      </w:r>
      <w:r>
        <w:rPr>
          <w:rFonts w:asciiTheme="majorBidi" w:hAnsiTheme="majorBidi" w:cstheme="majorBidi"/>
          <w:sz w:val="24"/>
          <w:szCs w:val="24"/>
        </w:rPr>
        <w:t xml:space="preserve"> option</w:t>
      </w:r>
      <w:r w:rsidRPr="006C0FEF">
        <w:rPr>
          <w:rFonts w:asciiTheme="majorBidi" w:hAnsiTheme="majorBidi" w:cstheme="majorBidi"/>
          <w:sz w:val="24"/>
          <w:szCs w:val="24"/>
        </w:rPr>
        <w:t>.</w:t>
      </w:r>
      <w:r>
        <w:rPr>
          <w:rFonts w:asciiTheme="majorBidi" w:hAnsiTheme="majorBidi" w:cstheme="majorBidi"/>
          <w:sz w:val="24"/>
          <w:szCs w:val="24"/>
        </w:rPr>
        <w:t xml:space="preserve"> We consider two approaches to classify investment options, the </w:t>
      </w:r>
      <w:proofErr w:type="spellStart"/>
      <w:r>
        <w:rPr>
          <w:rFonts w:asciiTheme="majorBidi" w:hAnsiTheme="majorBidi" w:cstheme="majorBidi"/>
          <w:sz w:val="24"/>
          <w:szCs w:val="24"/>
        </w:rPr>
        <w:t>Canstar</w:t>
      </w:r>
      <w:proofErr w:type="spellEnd"/>
      <w:r>
        <w:rPr>
          <w:rFonts w:asciiTheme="majorBidi" w:hAnsiTheme="majorBidi" w:cstheme="majorBidi"/>
          <w:sz w:val="24"/>
          <w:szCs w:val="24"/>
        </w:rPr>
        <w:t xml:space="preserve"> and ASIC method.</w:t>
      </w:r>
      <w:r w:rsidRPr="006C0FEF">
        <w:rPr>
          <w:rFonts w:asciiTheme="majorBidi" w:hAnsiTheme="majorBidi" w:cstheme="majorBidi"/>
          <w:sz w:val="24"/>
          <w:szCs w:val="24"/>
        </w:rPr>
        <w:t xml:space="preserve"> </w:t>
      </w:r>
      <w:r>
        <w:rPr>
          <w:rFonts w:asciiTheme="majorBidi" w:hAnsiTheme="majorBidi" w:cstheme="majorBidi"/>
          <w:sz w:val="24"/>
          <w:szCs w:val="24"/>
        </w:rPr>
        <w:t xml:space="preserve">Across both methods of classification, </w:t>
      </w:r>
      <w:r w:rsidRPr="00307E6B">
        <w:rPr>
          <w:rFonts w:asciiTheme="majorBidi" w:hAnsiTheme="majorBidi" w:cstheme="majorBidi"/>
          <w:i/>
          <w:sz w:val="24"/>
          <w:szCs w:val="24"/>
        </w:rPr>
        <w:t>Z</w:t>
      </w:r>
      <w:r w:rsidRPr="00307E6B">
        <w:rPr>
          <w:rFonts w:asciiTheme="majorBidi" w:hAnsiTheme="majorBidi" w:cstheme="majorBidi"/>
          <w:i/>
          <w:sz w:val="24"/>
          <w:szCs w:val="24"/>
          <w:vertAlign w:val="subscript"/>
        </w:rPr>
        <w:t>2</w:t>
      </w:r>
      <w:r>
        <w:rPr>
          <w:rFonts w:asciiTheme="majorBidi" w:hAnsiTheme="majorBidi" w:cstheme="majorBidi"/>
          <w:i/>
          <w:sz w:val="24"/>
          <w:szCs w:val="24"/>
          <w:vertAlign w:val="subscript"/>
        </w:rPr>
        <w:t>i</w:t>
      </w:r>
      <w:r w:rsidRPr="00307E6B">
        <w:rPr>
          <w:rFonts w:asciiTheme="majorBidi" w:hAnsiTheme="majorBidi" w:cstheme="majorBidi"/>
          <w:i/>
          <w:sz w:val="24"/>
          <w:szCs w:val="24"/>
          <w:vertAlign w:val="subscript"/>
        </w:rPr>
        <w:t>t</w:t>
      </w:r>
      <w:r w:rsidRPr="006C0FEF">
        <w:rPr>
          <w:rFonts w:asciiTheme="majorBidi" w:hAnsiTheme="majorBidi" w:cstheme="majorBidi"/>
          <w:sz w:val="24"/>
          <w:szCs w:val="24"/>
        </w:rPr>
        <w:t xml:space="preserve"> </w:t>
      </w:r>
      <w:r>
        <w:rPr>
          <w:rFonts w:asciiTheme="majorBidi" w:hAnsiTheme="majorBidi" w:cstheme="majorBidi"/>
          <w:sz w:val="24"/>
          <w:szCs w:val="24"/>
        </w:rPr>
        <w:t xml:space="preserve">is defined as </w:t>
      </w:r>
      <w:r w:rsidRPr="006C0FEF">
        <w:rPr>
          <w:rFonts w:asciiTheme="majorBidi" w:hAnsiTheme="majorBidi" w:cstheme="majorBidi"/>
          <w:sz w:val="24"/>
          <w:szCs w:val="24"/>
        </w:rPr>
        <w:t xml:space="preserve">crisis </w:t>
      </w:r>
      <w:r>
        <w:rPr>
          <w:rFonts w:asciiTheme="majorBidi" w:hAnsiTheme="majorBidi" w:cstheme="majorBidi"/>
          <w:sz w:val="24"/>
          <w:szCs w:val="24"/>
        </w:rPr>
        <w:t>=1</w:t>
      </w:r>
      <w:r w:rsidRPr="006C0FEF">
        <w:rPr>
          <w:rFonts w:asciiTheme="majorBidi" w:hAnsiTheme="majorBidi" w:cstheme="majorBidi"/>
          <w:sz w:val="24"/>
          <w:szCs w:val="24"/>
        </w:rPr>
        <w:t xml:space="preserve"> and non-crisis =0 periods. </w:t>
      </w:r>
      <w:r>
        <w:rPr>
          <w:rFonts w:asciiTheme="majorBidi" w:hAnsiTheme="majorBidi" w:cstheme="majorBidi"/>
          <w:sz w:val="24"/>
          <w:szCs w:val="24"/>
        </w:rPr>
        <w:t>As we expect the superannuation fund managers may actively</w:t>
      </w:r>
      <w:r w:rsidRPr="006C0FEF">
        <w:rPr>
          <w:rFonts w:asciiTheme="majorBidi" w:hAnsiTheme="majorBidi" w:cstheme="majorBidi"/>
          <w:sz w:val="24"/>
          <w:szCs w:val="24"/>
        </w:rPr>
        <w:t xml:space="preserve"> change their investment strategy during non-crisis and crisis period, </w:t>
      </w:r>
      <w:r w:rsidRPr="00307E6B">
        <w:rPr>
          <w:rFonts w:asciiTheme="majorBidi" w:hAnsiTheme="majorBidi" w:cstheme="majorBidi"/>
          <w:i/>
          <w:sz w:val="24"/>
          <w:szCs w:val="24"/>
        </w:rPr>
        <w:t>Z</w:t>
      </w:r>
      <w:r w:rsidRPr="006C0FEF">
        <w:rPr>
          <w:rFonts w:asciiTheme="majorBidi" w:hAnsiTheme="majorBidi" w:cstheme="majorBidi"/>
          <w:sz w:val="24"/>
          <w:szCs w:val="24"/>
        </w:rPr>
        <w:t xml:space="preserve"> </w:t>
      </w:r>
      <w:r>
        <w:rPr>
          <w:rFonts w:asciiTheme="majorBidi" w:hAnsiTheme="majorBidi" w:cstheme="majorBidi"/>
          <w:sz w:val="24"/>
          <w:szCs w:val="24"/>
        </w:rPr>
        <w:t>should</w:t>
      </w:r>
      <w:r w:rsidRPr="006C0FEF">
        <w:rPr>
          <w:rFonts w:asciiTheme="majorBidi" w:hAnsiTheme="majorBidi" w:cstheme="majorBidi"/>
          <w:sz w:val="24"/>
          <w:szCs w:val="24"/>
        </w:rPr>
        <w:t xml:space="preserve"> vary in both cross sectional and time series dimensions.</w:t>
      </w:r>
      <w:r>
        <w:rPr>
          <w:rFonts w:asciiTheme="majorBidi" w:hAnsiTheme="majorBidi" w:cstheme="majorBidi"/>
          <w:sz w:val="24"/>
          <w:szCs w:val="24"/>
        </w:rPr>
        <w:t xml:space="preserve"> </w:t>
      </w:r>
      <w:r w:rsidRPr="006C0FEF">
        <w:rPr>
          <w:rFonts w:asciiTheme="majorBidi" w:hAnsiTheme="majorBidi" w:cstheme="majorBidi"/>
          <w:sz w:val="24"/>
          <w:szCs w:val="24"/>
        </w:rPr>
        <w:t>In order to implement the model</w:t>
      </w:r>
      <w:r>
        <w:rPr>
          <w:rFonts w:asciiTheme="majorBidi" w:hAnsiTheme="majorBidi" w:cstheme="majorBidi"/>
          <w:sz w:val="24"/>
          <w:szCs w:val="24"/>
        </w:rPr>
        <w:t>s</w:t>
      </w:r>
      <w:r w:rsidRPr="006C0FEF">
        <w:rPr>
          <w:rFonts w:asciiTheme="majorBidi" w:hAnsiTheme="majorBidi" w:cstheme="majorBidi"/>
          <w:sz w:val="24"/>
          <w:szCs w:val="24"/>
        </w:rPr>
        <w:t xml:space="preserve">, we use balanced data which removes those </w:t>
      </w:r>
      <w:r>
        <w:rPr>
          <w:rFonts w:asciiTheme="majorBidi" w:hAnsiTheme="majorBidi" w:cstheme="majorBidi"/>
          <w:sz w:val="24"/>
          <w:szCs w:val="24"/>
        </w:rPr>
        <w:t>investment options</w:t>
      </w:r>
      <w:r w:rsidRPr="006C0FEF">
        <w:rPr>
          <w:rFonts w:asciiTheme="majorBidi" w:hAnsiTheme="majorBidi" w:cstheme="majorBidi"/>
          <w:sz w:val="24"/>
          <w:szCs w:val="24"/>
        </w:rPr>
        <w:t xml:space="preserve"> with incomplete data during these three crisis periods. We first estimate the varying coefficient CAPM in (</w:t>
      </w:r>
      <w:r>
        <w:rPr>
          <w:rFonts w:asciiTheme="majorBidi" w:hAnsiTheme="majorBidi" w:cstheme="majorBidi"/>
          <w:sz w:val="24"/>
          <w:szCs w:val="24"/>
        </w:rPr>
        <w:t>1</w:t>
      </w:r>
      <w:r w:rsidRPr="006C0FEF">
        <w:rPr>
          <w:rFonts w:asciiTheme="majorBidi" w:hAnsiTheme="majorBidi" w:cstheme="majorBidi"/>
          <w:sz w:val="24"/>
          <w:szCs w:val="24"/>
        </w:rPr>
        <w:t xml:space="preserve">), </w:t>
      </w:r>
      <w:r>
        <w:rPr>
          <w:rFonts w:asciiTheme="majorBidi" w:hAnsiTheme="majorBidi" w:cstheme="majorBidi"/>
          <w:sz w:val="24"/>
          <w:szCs w:val="24"/>
        </w:rPr>
        <w:t xml:space="preserve">FF </w:t>
      </w:r>
      <w:r w:rsidRPr="006C0FEF">
        <w:rPr>
          <w:rFonts w:asciiTheme="majorBidi" w:hAnsiTheme="majorBidi" w:cstheme="majorBidi"/>
          <w:sz w:val="24"/>
          <w:szCs w:val="24"/>
        </w:rPr>
        <w:t>three factor model in (</w:t>
      </w:r>
      <w:r>
        <w:rPr>
          <w:rFonts w:asciiTheme="majorBidi" w:hAnsiTheme="majorBidi" w:cstheme="majorBidi"/>
          <w:sz w:val="24"/>
          <w:szCs w:val="24"/>
        </w:rPr>
        <w:t>2</w:t>
      </w:r>
      <w:r w:rsidRPr="006C0FEF">
        <w:rPr>
          <w:rFonts w:asciiTheme="majorBidi" w:hAnsiTheme="majorBidi" w:cstheme="majorBidi"/>
          <w:sz w:val="24"/>
          <w:szCs w:val="24"/>
        </w:rPr>
        <w:t>),</w:t>
      </w:r>
      <w:r>
        <w:rPr>
          <w:rFonts w:asciiTheme="majorBidi" w:hAnsiTheme="majorBidi" w:cstheme="majorBidi"/>
          <w:sz w:val="24"/>
          <w:szCs w:val="24"/>
        </w:rPr>
        <w:t xml:space="preserve"> FF</w:t>
      </w:r>
      <w:r w:rsidRPr="006C0FEF">
        <w:rPr>
          <w:rFonts w:asciiTheme="majorBidi" w:hAnsiTheme="majorBidi" w:cstheme="majorBidi"/>
          <w:sz w:val="24"/>
          <w:szCs w:val="24"/>
        </w:rPr>
        <w:t xml:space="preserve"> four factor model in (</w:t>
      </w:r>
      <w:r>
        <w:rPr>
          <w:rFonts w:asciiTheme="majorBidi" w:hAnsiTheme="majorBidi" w:cstheme="majorBidi"/>
          <w:sz w:val="24"/>
          <w:szCs w:val="24"/>
        </w:rPr>
        <w:t>3</w:t>
      </w:r>
      <w:r w:rsidRPr="006C0FEF">
        <w:rPr>
          <w:rFonts w:asciiTheme="majorBidi" w:hAnsiTheme="majorBidi" w:cstheme="majorBidi"/>
          <w:sz w:val="24"/>
          <w:szCs w:val="24"/>
        </w:rPr>
        <w:t xml:space="preserve">) and </w:t>
      </w:r>
      <w:r>
        <w:rPr>
          <w:rFonts w:asciiTheme="majorBidi" w:hAnsiTheme="majorBidi" w:cstheme="majorBidi"/>
          <w:sz w:val="24"/>
          <w:szCs w:val="24"/>
        </w:rPr>
        <w:t xml:space="preserve">FF </w:t>
      </w:r>
      <w:r w:rsidRPr="006C0FEF">
        <w:rPr>
          <w:rFonts w:asciiTheme="majorBidi" w:hAnsiTheme="majorBidi" w:cstheme="majorBidi"/>
          <w:sz w:val="24"/>
          <w:szCs w:val="24"/>
        </w:rPr>
        <w:t>five factor model in</w:t>
      </w:r>
      <w:r>
        <w:rPr>
          <w:rFonts w:asciiTheme="majorBidi" w:hAnsiTheme="majorBidi" w:cstheme="majorBidi"/>
          <w:sz w:val="24"/>
          <w:szCs w:val="24"/>
        </w:rPr>
        <w:t xml:space="preserve"> (4) based on full sample data for the period January 1990 to December 2016. The estimation for the non-crisis period is the full sample excluding the three crisis periods as </w:t>
      </w:r>
      <w:r>
        <w:rPr>
          <w:rFonts w:asciiTheme="majorBidi" w:hAnsiTheme="majorBidi" w:cstheme="majorBidi"/>
          <w:sz w:val="24"/>
          <w:szCs w:val="24"/>
        </w:rPr>
        <w:lastRenderedPageBreak/>
        <w:t xml:space="preserve">defined above and the crisis period is the combination of the 1997 Asian crisis, the 2000 Dot Com crisis and the 2007 GFC. The results in table 3 reports the risk measures using the </w:t>
      </w:r>
      <w:proofErr w:type="spellStart"/>
      <w:r>
        <w:rPr>
          <w:rFonts w:asciiTheme="majorBidi" w:hAnsiTheme="majorBidi" w:cstheme="majorBidi"/>
          <w:sz w:val="24"/>
          <w:szCs w:val="24"/>
        </w:rPr>
        <w:t>Canstar</w:t>
      </w:r>
      <w:proofErr w:type="spellEnd"/>
      <w:r>
        <w:rPr>
          <w:rFonts w:asciiTheme="majorBidi" w:hAnsiTheme="majorBidi" w:cstheme="majorBidi"/>
          <w:sz w:val="24"/>
          <w:szCs w:val="24"/>
        </w:rPr>
        <w:t xml:space="preserve"> method of classifying the investment options and the results in table 4 reports the risk estimation using the ASIC method of classifying the investment options. </w:t>
      </w:r>
    </w:p>
    <w:p w:rsidR="007F433F" w:rsidRPr="007F13B6" w:rsidRDefault="007F433F" w:rsidP="007F433F">
      <w:pPr>
        <w:snapToGrid w:val="0"/>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rPr>
        <w:t>Analysis of table 3 and table 4 shows that the level of risk as measured by beta, increases as the investment type varies from being moderate to aggressive options</w:t>
      </w:r>
      <w:r>
        <w:rPr>
          <w:rStyle w:val="FootnoteReference"/>
          <w:rFonts w:asciiTheme="majorBidi" w:hAnsiTheme="majorBidi" w:cstheme="majorBidi"/>
          <w:sz w:val="24"/>
          <w:szCs w:val="24"/>
        </w:rPr>
        <w:footnoteReference w:id="12"/>
      </w:r>
      <w:r>
        <w:rPr>
          <w:rFonts w:asciiTheme="majorBidi" w:hAnsiTheme="majorBidi" w:cstheme="majorBidi"/>
          <w:sz w:val="24"/>
          <w:szCs w:val="24"/>
        </w:rPr>
        <w:t>.</w:t>
      </w:r>
      <w:r w:rsidRPr="00C372A5">
        <w:rPr>
          <w:rStyle w:val="FootnoteReference"/>
          <w:rFonts w:ascii="Times New Roman" w:hAnsi="Times New Roman" w:cs="Times New Roman"/>
          <w:sz w:val="20"/>
          <w:szCs w:val="20"/>
        </w:rPr>
        <w:t xml:space="preserve"> </w:t>
      </w:r>
      <w:r>
        <w:rPr>
          <w:rFonts w:asciiTheme="majorBidi" w:hAnsiTheme="majorBidi" w:cstheme="majorBidi"/>
          <w:sz w:val="24"/>
          <w:szCs w:val="24"/>
        </w:rPr>
        <w:t xml:space="preserve">Similar to the trend that we have reported in the returns statistics observed in table 2, the beta coefficient increases across both table 3 and table 4. For the non-crisis period, the moderate investment option has a beta of 0.1620 and the coefficient increases gradually to 0.6399 for the aggressive option under the CAPM model with the </w:t>
      </w:r>
      <w:proofErr w:type="spellStart"/>
      <w:r>
        <w:rPr>
          <w:rFonts w:asciiTheme="majorBidi" w:hAnsiTheme="majorBidi" w:cstheme="majorBidi"/>
          <w:sz w:val="24"/>
          <w:szCs w:val="24"/>
        </w:rPr>
        <w:t>Canstar</w:t>
      </w:r>
      <w:proofErr w:type="spellEnd"/>
      <w:r>
        <w:rPr>
          <w:rFonts w:asciiTheme="majorBidi" w:hAnsiTheme="majorBidi" w:cstheme="majorBidi"/>
          <w:sz w:val="24"/>
          <w:szCs w:val="24"/>
        </w:rPr>
        <w:t xml:space="preserve"> classification method. The coefficients are very similar in table 4 using the ASIC </w:t>
      </w:r>
      <w:proofErr w:type="gramStart"/>
      <w:r>
        <w:rPr>
          <w:rFonts w:asciiTheme="majorBidi" w:hAnsiTheme="majorBidi" w:cstheme="majorBidi"/>
          <w:sz w:val="24"/>
          <w:szCs w:val="24"/>
        </w:rPr>
        <w:t>classification, that</w:t>
      </w:r>
      <w:proofErr w:type="gramEnd"/>
      <w:r>
        <w:rPr>
          <w:rFonts w:asciiTheme="majorBidi" w:hAnsiTheme="majorBidi" w:cstheme="majorBidi"/>
          <w:sz w:val="24"/>
          <w:szCs w:val="24"/>
        </w:rPr>
        <w:t xml:space="preserve"> is a beta of 0.1210 for the moderate option increasing to 0.6437 for the aggressive option. The beta estimate, </w:t>
      </w:r>
      <m:oMath>
        <m:sSub>
          <m:sSubPr>
            <m:ctrlPr>
              <w:rPr>
                <w:rFonts w:ascii="Cambria Math" w:hAnsi="Cambria Math" w:cs="Times New Roman"/>
                <w:i/>
                <w:sz w:val="24"/>
                <w:szCs w:val="24"/>
                <w:lang w:val="en-NZ"/>
              </w:rPr>
            </m:ctrlPr>
          </m:sSubPr>
          <m:e>
            <m:r>
              <w:rPr>
                <w:rFonts w:ascii="Cambria Math" w:hAnsi="Cambria Math" w:cs="Times New Roman"/>
                <w:sz w:val="24"/>
                <w:szCs w:val="24"/>
                <w:lang w:val="en-NZ"/>
              </w:rPr>
              <m:t>β</m:t>
            </m:r>
          </m:e>
          <m:sub>
            <m:r>
              <w:rPr>
                <w:rFonts w:ascii="Cambria Math" w:hAnsi="Cambria Math" w:cs="Times New Roman"/>
                <w:sz w:val="24"/>
                <w:szCs w:val="24"/>
                <w:lang w:val="en-NZ"/>
              </w:rPr>
              <m:t>M</m:t>
            </m:r>
          </m:sub>
        </m:sSub>
      </m:oMath>
      <w:r>
        <w:rPr>
          <w:rFonts w:asciiTheme="majorBidi" w:hAnsiTheme="majorBidi" w:cstheme="majorBidi"/>
          <w:sz w:val="24"/>
          <w:szCs w:val="24"/>
          <w:vertAlign w:val="subscript"/>
        </w:rPr>
        <w:t xml:space="preserve">, </w:t>
      </w:r>
      <w:r>
        <w:rPr>
          <w:rFonts w:asciiTheme="majorBidi" w:hAnsiTheme="majorBidi" w:cstheme="majorBidi"/>
          <w:sz w:val="24"/>
          <w:szCs w:val="24"/>
        </w:rPr>
        <w:t>in the FF three factor, FF four factor and FF five factor estimation shows similar trend for both table 3 and table 4, that is, lower for the moderate option and higher for the aggressive options. As expected, the level of risk in the market during the crisis period is higher with market returns being more volatile. As can be seen from table 3 for CAPM estimations, the moderate option in the crisis period has a beta of 0.1652 and the aggressive option has a beta of 0.7340. While the gap between CAPM betas of the moderate option in the crisis and the non-crisis is slight (0.1652 versus 0.1620), the difference is more pronounced as we move to a more aggressive investment option with non-crisis aggressive beta of 0.6399 and an aggressive crisis beta of 0.7340. This risk trend is consistent across different models and methods of classification under consideration as shown in table 3 and table 4.</w:t>
      </w:r>
      <w:r w:rsidRPr="007F13B6">
        <w:rPr>
          <w:rFonts w:asciiTheme="majorBidi" w:hAnsiTheme="majorBidi" w:cstheme="majorBidi"/>
          <w:sz w:val="24"/>
          <w:szCs w:val="24"/>
        </w:rPr>
        <w:t xml:space="preserve"> This leads to our first key conclusion. The results </w:t>
      </w:r>
      <w:r>
        <w:rPr>
          <w:rFonts w:asciiTheme="majorBidi" w:hAnsiTheme="majorBidi" w:cstheme="majorBidi"/>
          <w:sz w:val="24"/>
          <w:szCs w:val="24"/>
        </w:rPr>
        <w:t>observed in</w:t>
      </w:r>
      <w:r w:rsidRPr="007F13B6">
        <w:rPr>
          <w:rFonts w:asciiTheme="majorBidi" w:hAnsiTheme="majorBidi" w:cstheme="majorBidi"/>
          <w:sz w:val="24"/>
          <w:szCs w:val="24"/>
        </w:rPr>
        <w:t xml:space="preserve"> </w:t>
      </w:r>
      <w:r w:rsidRPr="007F13B6">
        <w:rPr>
          <w:rFonts w:asciiTheme="majorBidi" w:hAnsiTheme="majorBidi" w:cstheme="majorBidi"/>
          <w:sz w:val="24"/>
          <w:szCs w:val="24"/>
        </w:rPr>
        <w:lastRenderedPageBreak/>
        <w:t xml:space="preserve">table 3 and 4 clearly highlight that as the percentage of growth assets increases, the level of risk that </w:t>
      </w:r>
      <w:r>
        <w:rPr>
          <w:rFonts w:asciiTheme="majorBidi" w:hAnsiTheme="majorBidi" w:cstheme="majorBidi"/>
          <w:sz w:val="24"/>
          <w:szCs w:val="24"/>
        </w:rPr>
        <w:t>s</w:t>
      </w:r>
      <w:r w:rsidRPr="007F13B6">
        <w:rPr>
          <w:rFonts w:asciiTheme="majorBidi" w:hAnsiTheme="majorBidi" w:cstheme="majorBidi"/>
          <w:sz w:val="24"/>
          <w:szCs w:val="24"/>
        </w:rPr>
        <w:t>uper</w:t>
      </w:r>
      <w:r>
        <w:rPr>
          <w:rFonts w:asciiTheme="majorBidi" w:hAnsiTheme="majorBidi" w:cstheme="majorBidi"/>
          <w:sz w:val="24"/>
          <w:szCs w:val="24"/>
        </w:rPr>
        <w:t xml:space="preserve">annuation </w:t>
      </w:r>
      <w:r w:rsidRPr="007F13B6">
        <w:rPr>
          <w:rFonts w:asciiTheme="majorBidi" w:hAnsiTheme="majorBidi" w:cstheme="majorBidi"/>
          <w:sz w:val="24"/>
          <w:szCs w:val="24"/>
        </w:rPr>
        <w:t xml:space="preserve">fund managers are undertaking is higher. While the returns may be higher overall, it is significantly associated with more volatility, </w:t>
      </w:r>
      <w:r>
        <w:rPr>
          <w:rFonts w:asciiTheme="majorBidi" w:hAnsiTheme="majorBidi" w:cstheme="majorBidi"/>
          <w:sz w:val="24"/>
          <w:szCs w:val="24"/>
        </w:rPr>
        <w:t>particularly</w:t>
      </w:r>
      <w:r w:rsidRPr="007F13B6">
        <w:rPr>
          <w:rFonts w:asciiTheme="majorBidi" w:hAnsiTheme="majorBidi" w:cstheme="majorBidi"/>
          <w:sz w:val="24"/>
          <w:szCs w:val="24"/>
        </w:rPr>
        <w:t xml:space="preserve"> in a crisis period where the aggressive investment options can have larger variability of return given they have a higher beta than a moderate option. Our definition of growth assets includes both equity and property market and our results ha</w:t>
      </w:r>
      <w:r>
        <w:rPr>
          <w:rFonts w:asciiTheme="majorBidi" w:hAnsiTheme="majorBidi" w:cstheme="majorBidi"/>
          <w:sz w:val="24"/>
          <w:szCs w:val="24"/>
        </w:rPr>
        <w:t>ve</w:t>
      </w:r>
      <w:r w:rsidRPr="007F13B6">
        <w:rPr>
          <w:rFonts w:asciiTheme="majorBidi" w:hAnsiTheme="majorBidi" w:cstheme="majorBidi"/>
          <w:sz w:val="24"/>
          <w:szCs w:val="24"/>
        </w:rPr>
        <w:t xml:space="preserve"> important implication that it provides a consistent method of classifying the assets and provides the market with a more unbiased estimate of risk. </w:t>
      </w:r>
    </w:p>
    <w:p w:rsidR="007F433F" w:rsidRPr="007F13B6" w:rsidRDefault="007F433F" w:rsidP="007F433F">
      <w:pPr>
        <w:pStyle w:val="BodyText"/>
        <w:spacing w:after="0" w:line="480" w:lineRule="auto"/>
        <w:jc w:val="both"/>
        <w:rPr>
          <w:rFonts w:asciiTheme="majorBidi" w:eastAsia="SimSun" w:hAnsiTheme="majorBidi" w:cstheme="majorBidi"/>
          <w:sz w:val="24"/>
          <w:szCs w:val="24"/>
          <w:lang w:val="en-GB"/>
        </w:rPr>
      </w:pPr>
      <w:r w:rsidRPr="007F13B6">
        <w:rPr>
          <w:rFonts w:asciiTheme="majorBidi" w:hAnsiTheme="majorBidi" w:cstheme="majorBidi"/>
          <w:sz w:val="24"/>
          <w:szCs w:val="24"/>
        </w:rPr>
        <w:tab/>
        <w:t xml:space="preserve">We report the coefficients of the </w:t>
      </w:r>
      <w:r>
        <w:rPr>
          <w:rFonts w:asciiTheme="majorBidi" w:hAnsiTheme="majorBidi" w:cstheme="majorBidi"/>
          <w:sz w:val="24"/>
          <w:szCs w:val="24"/>
        </w:rPr>
        <w:t>FF</w:t>
      </w:r>
      <w:r w:rsidRPr="007F13B6">
        <w:rPr>
          <w:rFonts w:asciiTheme="majorBidi" w:hAnsiTheme="majorBidi" w:cstheme="majorBidi"/>
          <w:sz w:val="24"/>
          <w:szCs w:val="24"/>
        </w:rPr>
        <w:t xml:space="preserve"> three factor, </w:t>
      </w:r>
      <w:r>
        <w:rPr>
          <w:rFonts w:asciiTheme="majorBidi" w:hAnsiTheme="majorBidi" w:cstheme="majorBidi"/>
          <w:sz w:val="24"/>
          <w:szCs w:val="24"/>
        </w:rPr>
        <w:t xml:space="preserve">FF </w:t>
      </w:r>
      <w:r w:rsidRPr="007F13B6">
        <w:rPr>
          <w:rFonts w:asciiTheme="majorBidi" w:hAnsiTheme="majorBidi" w:cstheme="majorBidi"/>
          <w:sz w:val="24"/>
          <w:szCs w:val="24"/>
        </w:rPr>
        <w:t xml:space="preserve">four factor and </w:t>
      </w:r>
      <w:r>
        <w:rPr>
          <w:rFonts w:asciiTheme="majorBidi" w:hAnsiTheme="majorBidi" w:cstheme="majorBidi"/>
          <w:sz w:val="24"/>
          <w:szCs w:val="24"/>
        </w:rPr>
        <w:t xml:space="preserve">FF </w:t>
      </w:r>
      <w:r w:rsidRPr="007F13B6">
        <w:rPr>
          <w:rFonts w:asciiTheme="majorBidi" w:hAnsiTheme="majorBidi" w:cstheme="majorBidi"/>
          <w:sz w:val="24"/>
          <w:szCs w:val="24"/>
        </w:rPr>
        <w:t xml:space="preserve">five factor model. The FF three factor models capture the size and value variable through SMB and HML. </w:t>
      </w:r>
      <w:proofErr w:type="spellStart"/>
      <w:r w:rsidRPr="007F13B6">
        <w:rPr>
          <w:rFonts w:asciiTheme="majorBidi" w:hAnsiTheme="majorBidi" w:cstheme="majorBidi"/>
          <w:sz w:val="24"/>
          <w:szCs w:val="24"/>
        </w:rPr>
        <w:t>Carhart</w:t>
      </w:r>
      <w:proofErr w:type="spellEnd"/>
      <w:r w:rsidRPr="007F13B6">
        <w:rPr>
          <w:rFonts w:asciiTheme="majorBidi" w:hAnsiTheme="majorBidi" w:cstheme="majorBidi"/>
          <w:sz w:val="24"/>
          <w:szCs w:val="24"/>
        </w:rPr>
        <w:t xml:space="preserve"> (1997) further extended the FF three factor model to </w:t>
      </w:r>
      <w:r>
        <w:rPr>
          <w:rFonts w:asciiTheme="majorBidi" w:hAnsiTheme="majorBidi" w:cstheme="majorBidi"/>
          <w:sz w:val="24"/>
          <w:szCs w:val="24"/>
        </w:rPr>
        <w:t>include</w:t>
      </w:r>
      <w:r w:rsidRPr="007F13B6">
        <w:rPr>
          <w:rFonts w:asciiTheme="majorBidi" w:hAnsiTheme="majorBidi" w:cstheme="majorBidi"/>
          <w:sz w:val="24"/>
          <w:szCs w:val="24"/>
        </w:rPr>
        <w:t xml:space="preserve"> the momentum factor measured by UMD. The momentum factor is used to show the tendency for the stock price to continue rising if it is going up and to continue declining if it is going down. While both the FF three factor and four factor model </w:t>
      </w:r>
      <w:r>
        <w:rPr>
          <w:rFonts w:asciiTheme="majorBidi" w:hAnsiTheme="majorBidi" w:cstheme="majorBidi"/>
          <w:sz w:val="24"/>
          <w:szCs w:val="24"/>
        </w:rPr>
        <w:t>are</w:t>
      </w:r>
      <w:r w:rsidRPr="007F13B6">
        <w:rPr>
          <w:rFonts w:asciiTheme="majorBidi" w:hAnsiTheme="majorBidi" w:cstheme="majorBidi"/>
          <w:sz w:val="24"/>
          <w:szCs w:val="24"/>
        </w:rPr>
        <w:t xml:space="preserve"> known to have significant improvement over the CAPM given it adjusted for these anomalies, it is argued that it d</w:t>
      </w:r>
      <w:r>
        <w:rPr>
          <w:rFonts w:asciiTheme="majorBidi" w:hAnsiTheme="majorBidi" w:cstheme="majorBidi"/>
          <w:sz w:val="24"/>
          <w:szCs w:val="24"/>
        </w:rPr>
        <w:t>oes</w:t>
      </w:r>
      <w:r w:rsidRPr="007F13B6">
        <w:rPr>
          <w:rFonts w:asciiTheme="majorBidi" w:hAnsiTheme="majorBidi" w:cstheme="majorBidi"/>
          <w:sz w:val="24"/>
          <w:szCs w:val="24"/>
        </w:rPr>
        <w:t xml:space="preserve"> not capture the profitability and the investment factor, which is captured by </w:t>
      </w:r>
      <w:r>
        <w:rPr>
          <w:rFonts w:asciiTheme="majorBidi" w:hAnsiTheme="majorBidi" w:cstheme="majorBidi"/>
          <w:sz w:val="24"/>
          <w:szCs w:val="24"/>
        </w:rPr>
        <w:t>FF</w:t>
      </w:r>
      <w:r w:rsidRPr="007F13B6">
        <w:rPr>
          <w:rFonts w:asciiTheme="majorBidi" w:hAnsiTheme="majorBidi" w:cstheme="majorBidi"/>
          <w:sz w:val="24"/>
          <w:szCs w:val="24"/>
        </w:rPr>
        <w:t xml:space="preserve"> five factor model. We run our analysis using the two definitions to classify the investment options using equations (</w:t>
      </w:r>
      <w:r>
        <w:rPr>
          <w:rFonts w:asciiTheme="majorBidi" w:hAnsiTheme="majorBidi" w:cstheme="majorBidi"/>
          <w:sz w:val="24"/>
          <w:szCs w:val="24"/>
        </w:rPr>
        <w:t>2</w:t>
      </w:r>
      <w:r w:rsidRPr="007F13B6">
        <w:rPr>
          <w:rFonts w:asciiTheme="majorBidi" w:hAnsiTheme="majorBidi" w:cstheme="majorBidi"/>
          <w:sz w:val="24"/>
          <w:szCs w:val="24"/>
        </w:rPr>
        <w:t>), (</w:t>
      </w:r>
      <w:r>
        <w:rPr>
          <w:rFonts w:asciiTheme="majorBidi" w:hAnsiTheme="majorBidi" w:cstheme="majorBidi"/>
          <w:sz w:val="24"/>
          <w:szCs w:val="24"/>
        </w:rPr>
        <w:t>3</w:t>
      </w:r>
      <w:r w:rsidRPr="007F13B6">
        <w:rPr>
          <w:rFonts w:asciiTheme="majorBidi" w:hAnsiTheme="majorBidi" w:cstheme="majorBidi"/>
          <w:sz w:val="24"/>
          <w:szCs w:val="24"/>
        </w:rPr>
        <w:t>) and (</w:t>
      </w:r>
      <w:r>
        <w:rPr>
          <w:rFonts w:asciiTheme="majorBidi" w:hAnsiTheme="majorBidi" w:cstheme="majorBidi"/>
          <w:sz w:val="24"/>
          <w:szCs w:val="24"/>
        </w:rPr>
        <w:t>4</w:t>
      </w:r>
      <w:r w:rsidRPr="007F13B6">
        <w:rPr>
          <w:rFonts w:asciiTheme="majorBidi" w:hAnsiTheme="majorBidi" w:cstheme="majorBidi"/>
          <w:sz w:val="24"/>
          <w:szCs w:val="24"/>
        </w:rPr>
        <w:t>). The coefficients of SMB</w:t>
      </w:r>
      <w:r>
        <w:rPr>
          <w:rFonts w:asciiTheme="majorBidi" w:hAnsiTheme="majorBidi" w:cstheme="majorBidi"/>
          <w:sz w:val="24"/>
          <w:szCs w:val="24"/>
        </w:rPr>
        <w:t xml:space="preserve"> </w:t>
      </w:r>
      <w:r w:rsidRPr="007F13B6">
        <w:rPr>
          <w:rFonts w:asciiTheme="majorBidi" w:hAnsiTheme="majorBidi" w:cstheme="majorBidi"/>
          <w:sz w:val="24"/>
          <w:szCs w:val="24"/>
        </w:rPr>
        <w:t>(size), HML (value), UMD</w:t>
      </w:r>
      <w:r>
        <w:rPr>
          <w:rFonts w:asciiTheme="majorBidi" w:hAnsiTheme="majorBidi" w:cstheme="majorBidi"/>
          <w:sz w:val="24"/>
          <w:szCs w:val="24"/>
        </w:rPr>
        <w:t xml:space="preserve"> </w:t>
      </w:r>
      <w:r w:rsidRPr="007F13B6">
        <w:rPr>
          <w:rFonts w:asciiTheme="majorBidi" w:hAnsiTheme="majorBidi" w:cstheme="majorBidi"/>
          <w:sz w:val="24"/>
          <w:szCs w:val="24"/>
        </w:rPr>
        <w:t>(momentum), RMW</w:t>
      </w:r>
      <w:r>
        <w:rPr>
          <w:rFonts w:asciiTheme="majorBidi" w:hAnsiTheme="majorBidi" w:cstheme="majorBidi"/>
          <w:sz w:val="24"/>
          <w:szCs w:val="24"/>
        </w:rPr>
        <w:t xml:space="preserve"> </w:t>
      </w:r>
      <w:r w:rsidRPr="007F13B6">
        <w:rPr>
          <w:rFonts w:asciiTheme="majorBidi" w:hAnsiTheme="majorBidi" w:cstheme="majorBidi"/>
          <w:sz w:val="24"/>
          <w:szCs w:val="24"/>
        </w:rPr>
        <w:t>(profitability) and CMA</w:t>
      </w:r>
      <w:r>
        <w:rPr>
          <w:rFonts w:asciiTheme="majorBidi" w:hAnsiTheme="majorBidi" w:cstheme="majorBidi"/>
          <w:sz w:val="24"/>
          <w:szCs w:val="24"/>
        </w:rPr>
        <w:t xml:space="preserve"> </w:t>
      </w:r>
      <w:r w:rsidRPr="007F13B6">
        <w:rPr>
          <w:rFonts w:asciiTheme="majorBidi" w:hAnsiTheme="majorBidi" w:cstheme="majorBidi"/>
          <w:sz w:val="24"/>
          <w:szCs w:val="24"/>
        </w:rPr>
        <w:t>(investment) are reported across table 3 and table 4 for the two classifications used. Chen and Bassett (2014) highlight that the FF regression coefficients are often interpreted in absolute terms. A positive SMB coefficient implies that a portfolio has higher expected returns if small cap stock</w:t>
      </w:r>
      <w:r>
        <w:rPr>
          <w:rFonts w:asciiTheme="majorBidi" w:hAnsiTheme="majorBidi" w:cstheme="majorBidi"/>
          <w:sz w:val="24"/>
          <w:szCs w:val="24"/>
        </w:rPr>
        <w:t>s</w:t>
      </w:r>
      <w:r w:rsidRPr="007F13B6">
        <w:rPr>
          <w:rFonts w:asciiTheme="majorBidi" w:hAnsiTheme="majorBidi" w:cstheme="majorBidi"/>
          <w:sz w:val="24"/>
          <w:szCs w:val="24"/>
        </w:rPr>
        <w:t xml:space="preserve"> outperform large cap </w:t>
      </w:r>
      <w:proofErr w:type="gramStart"/>
      <w:r w:rsidRPr="007F13B6">
        <w:rPr>
          <w:rFonts w:asciiTheme="majorBidi" w:hAnsiTheme="majorBidi" w:cstheme="majorBidi"/>
          <w:sz w:val="24"/>
          <w:szCs w:val="24"/>
        </w:rPr>
        <w:t>stocks</w:t>
      </w:r>
      <w:r>
        <w:rPr>
          <w:rFonts w:asciiTheme="majorBidi" w:hAnsiTheme="majorBidi" w:cstheme="majorBidi"/>
          <w:sz w:val="24"/>
          <w:szCs w:val="24"/>
        </w:rPr>
        <w:t>,</w:t>
      </w:r>
      <w:r w:rsidRPr="007F13B6">
        <w:rPr>
          <w:rFonts w:asciiTheme="majorBidi" w:hAnsiTheme="majorBidi" w:cstheme="majorBidi"/>
          <w:sz w:val="24"/>
          <w:szCs w:val="24"/>
        </w:rPr>
        <w:t xml:space="preserve"> that</w:t>
      </w:r>
      <w:proofErr w:type="gramEnd"/>
      <w:r w:rsidRPr="007F13B6">
        <w:rPr>
          <w:rFonts w:asciiTheme="majorBidi" w:hAnsiTheme="majorBidi" w:cstheme="majorBidi"/>
          <w:sz w:val="24"/>
          <w:szCs w:val="24"/>
        </w:rPr>
        <w:t xml:space="preserve"> is the portfolio is predominantly small cap stock</w:t>
      </w:r>
      <w:r>
        <w:rPr>
          <w:rFonts w:asciiTheme="majorBidi" w:hAnsiTheme="majorBidi" w:cstheme="majorBidi"/>
          <w:sz w:val="24"/>
          <w:szCs w:val="24"/>
        </w:rPr>
        <w:t>s</w:t>
      </w:r>
      <w:r w:rsidRPr="007F13B6">
        <w:rPr>
          <w:rFonts w:asciiTheme="majorBidi" w:hAnsiTheme="majorBidi" w:cstheme="majorBidi"/>
          <w:sz w:val="24"/>
          <w:szCs w:val="24"/>
        </w:rPr>
        <w:t>, while a negative SMB shows that the portfolio is predominantly large cap stock</w:t>
      </w:r>
      <w:r>
        <w:rPr>
          <w:rFonts w:asciiTheme="majorBidi" w:hAnsiTheme="majorBidi" w:cstheme="majorBidi"/>
          <w:sz w:val="24"/>
          <w:szCs w:val="24"/>
        </w:rPr>
        <w:t>s</w:t>
      </w:r>
      <w:r w:rsidRPr="007F13B6">
        <w:rPr>
          <w:rFonts w:asciiTheme="majorBidi" w:hAnsiTheme="majorBidi" w:cstheme="majorBidi"/>
          <w:sz w:val="24"/>
          <w:szCs w:val="24"/>
        </w:rPr>
        <w:t xml:space="preserve">. Elton, Grubber and Blake (2011) argue that the average </w:t>
      </w:r>
      <w:r>
        <w:rPr>
          <w:rFonts w:asciiTheme="majorBidi" w:hAnsiTheme="majorBidi" w:cstheme="majorBidi"/>
          <w:sz w:val="24"/>
          <w:szCs w:val="24"/>
        </w:rPr>
        <w:t>SMB coefficient</w:t>
      </w:r>
      <w:r w:rsidRPr="007F13B6">
        <w:rPr>
          <w:rFonts w:asciiTheme="majorBidi" w:hAnsiTheme="majorBidi" w:cstheme="majorBidi"/>
          <w:sz w:val="24"/>
          <w:szCs w:val="24"/>
        </w:rPr>
        <w:t xml:space="preserve"> is positive demonstrating that a general tendency for US mutual funds to hold small stocks, but they equally find that over 25% of the sample has a negative coefficient which indicate</w:t>
      </w:r>
      <w:r>
        <w:rPr>
          <w:rFonts w:asciiTheme="majorBidi" w:hAnsiTheme="majorBidi" w:cstheme="majorBidi"/>
          <w:sz w:val="24"/>
          <w:szCs w:val="24"/>
        </w:rPr>
        <w:t>s</w:t>
      </w:r>
      <w:r w:rsidRPr="007F13B6">
        <w:rPr>
          <w:rFonts w:asciiTheme="majorBidi" w:hAnsiTheme="majorBidi" w:cstheme="majorBidi"/>
          <w:sz w:val="24"/>
          <w:szCs w:val="24"/>
        </w:rPr>
        <w:t xml:space="preserve"> tendency of larger stock </w:t>
      </w:r>
      <w:r w:rsidRPr="007F13B6">
        <w:rPr>
          <w:rFonts w:asciiTheme="majorBidi" w:hAnsiTheme="majorBidi" w:cstheme="majorBidi"/>
          <w:sz w:val="24"/>
          <w:szCs w:val="24"/>
        </w:rPr>
        <w:lastRenderedPageBreak/>
        <w:t xml:space="preserve">holding. In the Australian context, </w:t>
      </w:r>
      <w:r w:rsidRPr="007F13B6">
        <w:rPr>
          <w:rFonts w:asciiTheme="majorBidi" w:eastAsia="SimSun" w:hAnsiTheme="majorBidi" w:cstheme="majorBidi"/>
          <w:sz w:val="24"/>
          <w:szCs w:val="24"/>
          <w:lang w:val="en-GB"/>
        </w:rPr>
        <w:t xml:space="preserve">Chan, Faff, Gallagher and </w:t>
      </w:r>
      <w:proofErr w:type="spellStart"/>
      <w:r w:rsidRPr="007F13B6">
        <w:rPr>
          <w:rFonts w:asciiTheme="majorBidi" w:eastAsia="SimSun" w:hAnsiTheme="majorBidi" w:cstheme="majorBidi"/>
          <w:sz w:val="24"/>
          <w:szCs w:val="24"/>
          <w:lang w:val="en-GB"/>
        </w:rPr>
        <w:t>Looi</w:t>
      </w:r>
      <w:proofErr w:type="spellEnd"/>
      <w:r w:rsidRPr="007F13B6">
        <w:rPr>
          <w:rFonts w:asciiTheme="majorBidi" w:eastAsia="SimSun" w:hAnsiTheme="majorBidi" w:cstheme="majorBidi"/>
          <w:sz w:val="24"/>
          <w:szCs w:val="24"/>
          <w:lang w:val="en-GB"/>
        </w:rPr>
        <w:t xml:space="preserve"> (2009) study 34 Australian funds</w:t>
      </w:r>
      <w:r>
        <w:rPr>
          <w:rFonts w:asciiTheme="majorBidi" w:eastAsia="SimSun" w:hAnsiTheme="majorBidi" w:cstheme="majorBidi"/>
          <w:sz w:val="24"/>
          <w:szCs w:val="24"/>
          <w:lang w:val="en-GB"/>
        </w:rPr>
        <w:t xml:space="preserve"> and</w:t>
      </w:r>
      <w:r w:rsidRPr="007F13B6">
        <w:rPr>
          <w:rFonts w:asciiTheme="majorBidi" w:eastAsia="SimSun" w:hAnsiTheme="majorBidi" w:cstheme="majorBidi"/>
          <w:sz w:val="24"/>
          <w:szCs w:val="24"/>
          <w:lang w:val="en-GB"/>
        </w:rPr>
        <w:t xml:space="preserve"> find no significant impact of size on trading cost. They find that market impact is larger for larger funds. However, the larger funds trade in securities with lower bid ask spreads negating the higher impact. Hence</w:t>
      </w:r>
      <w:r>
        <w:rPr>
          <w:rFonts w:asciiTheme="majorBidi" w:eastAsia="SimSun" w:hAnsiTheme="majorBidi" w:cstheme="majorBidi"/>
          <w:sz w:val="24"/>
          <w:szCs w:val="24"/>
          <w:lang w:val="en-GB"/>
        </w:rPr>
        <w:t xml:space="preserve">, as evidence, </w:t>
      </w:r>
      <w:r w:rsidRPr="007F13B6">
        <w:rPr>
          <w:rFonts w:asciiTheme="majorBidi" w:eastAsia="SimSun" w:hAnsiTheme="majorBidi" w:cstheme="majorBidi"/>
          <w:sz w:val="24"/>
          <w:szCs w:val="24"/>
          <w:lang w:val="en-GB"/>
        </w:rPr>
        <w:t xml:space="preserve">it is quite inconclusive in terms of the coefficient of the SMB variable. Our results indicate a negative SMB coefficient across all the modelling of the </w:t>
      </w:r>
      <w:r>
        <w:rPr>
          <w:rFonts w:asciiTheme="majorBidi" w:eastAsia="SimSun" w:hAnsiTheme="majorBidi" w:cstheme="majorBidi"/>
          <w:sz w:val="24"/>
          <w:szCs w:val="24"/>
          <w:lang w:val="en-GB"/>
        </w:rPr>
        <w:t xml:space="preserve">FF </w:t>
      </w:r>
      <w:r w:rsidRPr="007F13B6">
        <w:rPr>
          <w:rFonts w:asciiTheme="majorBidi" w:eastAsia="SimSun" w:hAnsiTheme="majorBidi" w:cstheme="majorBidi"/>
          <w:sz w:val="24"/>
          <w:szCs w:val="24"/>
          <w:lang w:val="en-GB"/>
        </w:rPr>
        <w:t xml:space="preserve">three factor, </w:t>
      </w:r>
      <w:r>
        <w:rPr>
          <w:rFonts w:asciiTheme="majorBidi" w:eastAsia="SimSun" w:hAnsiTheme="majorBidi" w:cstheme="majorBidi"/>
          <w:sz w:val="24"/>
          <w:szCs w:val="24"/>
          <w:lang w:val="en-GB"/>
        </w:rPr>
        <w:t xml:space="preserve">FF </w:t>
      </w:r>
      <w:r w:rsidRPr="007F13B6">
        <w:rPr>
          <w:rFonts w:asciiTheme="majorBidi" w:eastAsia="SimSun" w:hAnsiTheme="majorBidi" w:cstheme="majorBidi"/>
          <w:sz w:val="24"/>
          <w:szCs w:val="24"/>
          <w:lang w:val="en-GB"/>
        </w:rPr>
        <w:t xml:space="preserve">four factor and </w:t>
      </w:r>
      <w:r>
        <w:rPr>
          <w:rFonts w:asciiTheme="majorBidi" w:eastAsia="SimSun" w:hAnsiTheme="majorBidi" w:cstheme="majorBidi"/>
          <w:sz w:val="24"/>
          <w:szCs w:val="24"/>
          <w:lang w:val="en-GB"/>
        </w:rPr>
        <w:t xml:space="preserve">FF </w:t>
      </w:r>
      <w:r w:rsidRPr="007F13B6">
        <w:rPr>
          <w:rFonts w:asciiTheme="majorBidi" w:eastAsia="SimSun" w:hAnsiTheme="majorBidi" w:cstheme="majorBidi"/>
          <w:sz w:val="24"/>
          <w:szCs w:val="24"/>
          <w:lang w:val="en-GB"/>
        </w:rPr>
        <w:t>five factor estimation</w:t>
      </w:r>
      <w:r>
        <w:rPr>
          <w:rFonts w:asciiTheme="majorBidi" w:eastAsia="SimSun" w:hAnsiTheme="majorBidi" w:cstheme="majorBidi"/>
          <w:sz w:val="24"/>
          <w:szCs w:val="24"/>
          <w:lang w:val="en-GB"/>
        </w:rPr>
        <w:t>s</w:t>
      </w:r>
      <w:r w:rsidRPr="007F13B6">
        <w:rPr>
          <w:rFonts w:asciiTheme="majorBidi" w:eastAsia="SimSun" w:hAnsiTheme="majorBidi" w:cstheme="majorBidi"/>
          <w:sz w:val="24"/>
          <w:szCs w:val="24"/>
          <w:lang w:val="en-GB"/>
        </w:rPr>
        <w:t xml:space="preserve">, except for the crisis analysis under the five factor model where we have </w:t>
      </w:r>
      <w:r>
        <w:rPr>
          <w:rFonts w:asciiTheme="majorBidi" w:eastAsia="SimSun" w:hAnsiTheme="majorBidi" w:cstheme="majorBidi"/>
          <w:sz w:val="24"/>
          <w:szCs w:val="24"/>
          <w:lang w:val="en-GB"/>
        </w:rPr>
        <w:t xml:space="preserve">a </w:t>
      </w:r>
      <w:r w:rsidRPr="007F13B6">
        <w:rPr>
          <w:rFonts w:asciiTheme="majorBidi" w:eastAsia="SimSun" w:hAnsiTheme="majorBidi" w:cstheme="majorBidi"/>
          <w:sz w:val="24"/>
          <w:szCs w:val="24"/>
          <w:lang w:val="en-GB"/>
        </w:rPr>
        <w:t xml:space="preserve">positive coefficient for the moderate, balanced and aggressive investment option under the ASIC classification, which indicates that in </w:t>
      </w:r>
      <w:r>
        <w:rPr>
          <w:rFonts w:asciiTheme="majorBidi" w:eastAsia="SimSun" w:hAnsiTheme="majorBidi" w:cstheme="majorBidi"/>
          <w:sz w:val="24"/>
          <w:szCs w:val="24"/>
          <w:lang w:val="en-GB"/>
        </w:rPr>
        <w:t>the</w:t>
      </w:r>
      <w:r w:rsidRPr="007F13B6">
        <w:rPr>
          <w:rFonts w:asciiTheme="majorBidi" w:eastAsia="SimSun" w:hAnsiTheme="majorBidi" w:cstheme="majorBidi"/>
          <w:sz w:val="24"/>
          <w:szCs w:val="24"/>
          <w:lang w:val="en-GB"/>
        </w:rPr>
        <w:t xml:space="preserve"> crisis period the investment options reflect more of </w:t>
      </w:r>
      <w:r>
        <w:rPr>
          <w:rFonts w:asciiTheme="majorBidi" w:eastAsia="SimSun" w:hAnsiTheme="majorBidi" w:cstheme="majorBidi"/>
          <w:sz w:val="24"/>
          <w:szCs w:val="24"/>
          <w:lang w:val="en-GB"/>
        </w:rPr>
        <w:t xml:space="preserve">a </w:t>
      </w:r>
      <w:r w:rsidRPr="007F13B6">
        <w:rPr>
          <w:rFonts w:asciiTheme="majorBidi" w:eastAsia="SimSun" w:hAnsiTheme="majorBidi" w:cstheme="majorBidi"/>
          <w:sz w:val="24"/>
          <w:szCs w:val="24"/>
          <w:lang w:val="en-GB"/>
        </w:rPr>
        <w:t xml:space="preserve">small cap preference. </w:t>
      </w:r>
    </w:p>
    <w:p w:rsidR="007F433F" w:rsidRDefault="007F433F" w:rsidP="007F433F">
      <w:pPr>
        <w:snapToGrid w:val="0"/>
        <w:spacing w:after="0" w:line="480" w:lineRule="auto"/>
        <w:ind w:firstLine="567"/>
        <w:jc w:val="both"/>
        <w:rPr>
          <w:rFonts w:asciiTheme="majorBidi" w:eastAsia="SimSun" w:hAnsiTheme="majorBidi" w:cstheme="majorBidi"/>
          <w:sz w:val="24"/>
          <w:szCs w:val="24"/>
          <w:lang w:val="en-GB"/>
        </w:rPr>
      </w:pPr>
      <w:r w:rsidRPr="007F13B6">
        <w:rPr>
          <w:rFonts w:asciiTheme="majorBidi" w:eastAsia="SimSun" w:hAnsiTheme="majorBidi" w:cstheme="majorBidi"/>
          <w:sz w:val="24"/>
          <w:szCs w:val="24"/>
          <w:lang w:val="en-GB"/>
        </w:rPr>
        <w:t>Similarly, a positive HML coefficient implies that high book to value stock (value stock) outperform low book to value stock</w:t>
      </w:r>
      <w:r>
        <w:rPr>
          <w:rFonts w:asciiTheme="majorBidi" w:eastAsia="SimSun" w:hAnsiTheme="majorBidi" w:cstheme="majorBidi"/>
          <w:sz w:val="24"/>
          <w:szCs w:val="24"/>
          <w:lang w:val="en-GB"/>
        </w:rPr>
        <w:t xml:space="preserve"> </w:t>
      </w:r>
      <w:r w:rsidRPr="007F13B6">
        <w:rPr>
          <w:rFonts w:asciiTheme="majorBidi" w:eastAsia="SimSun" w:hAnsiTheme="majorBidi" w:cstheme="majorBidi"/>
          <w:sz w:val="24"/>
          <w:szCs w:val="24"/>
          <w:lang w:val="en-GB"/>
        </w:rPr>
        <w:t>(growth stock)</w:t>
      </w:r>
      <w:r>
        <w:rPr>
          <w:rFonts w:asciiTheme="majorBidi" w:eastAsia="SimSun" w:hAnsiTheme="majorBidi" w:cstheme="majorBidi"/>
          <w:sz w:val="24"/>
          <w:szCs w:val="24"/>
          <w:lang w:val="en-GB"/>
        </w:rPr>
        <w:t>,</w:t>
      </w:r>
      <w:r w:rsidRPr="007F13B6">
        <w:rPr>
          <w:rFonts w:asciiTheme="majorBidi" w:eastAsia="SimSun" w:hAnsiTheme="majorBidi" w:cstheme="majorBidi"/>
          <w:sz w:val="24"/>
          <w:szCs w:val="24"/>
          <w:lang w:val="en-GB"/>
        </w:rPr>
        <w:t xml:space="preserve"> that is they are predominantly value stocks. A negative HML coefficient indicate</w:t>
      </w:r>
      <w:r>
        <w:rPr>
          <w:rFonts w:asciiTheme="majorBidi" w:eastAsia="SimSun" w:hAnsiTheme="majorBidi" w:cstheme="majorBidi"/>
          <w:sz w:val="24"/>
          <w:szCs w:val="24"/>
          <w:lang w:val="en-GB"/>
        </w:rPr>
        <w:t>s</w:t>
      </w:r>
      <w:r w:rsidRPr="007F13B6">
        <w:rPr>
          <w:rFonts w:asciiTheme="majorBidi" w:eastAsia="SimSun" w:hAnsiTheme="majorBidi" w:cstheme="majorBidi"/>
          <w:sz w:val="24"/>
          <w:szCs w:val="24"/>
          <w:lang w:val="en-GB"/>
        </w:rPr>
        <w:t xml:space="preserve"> that the portfolio has </w:t>
      </w:r>
      <w:r>
        <w:rPr>
          <w:rFonts w:asciiTheme="majorBidi" w:eastAsia="SimSun" w:hAnsiTheme="majorBidi" w:cstheme="majorBidi"/>
          <w:sz w:val="24"/>
          <w:szCs w:val="24"/>
          <w:lang w:val="en-GB"/>
        </w:rPr>
        <w:t>mostly</w:t>
      </w:r>
      <w:r w:rsidRPr="007F13B6">
        <w:rPr>
          <w:rFonts w:asciiTheme="majorBidi" w:eastAsia="SimSun" w:hAnsiTheme="majorBidi" w:cstheme="majorBidi"/>
          <w:sz w:val="24"/>
          <w:szCs w:val="24"/>
          <w:lang w:val="en-GB"/>
        </w:rPr>
        <w:t xml:space="preserve"> growth stock</w:t>
      </w:r>
      <w:r>
        <w:rPr>
          <w:rFonts w:asciiTheme="majorBidi" w:eastAsia="SimSun" w:hAnsiTheme="majorBidi" w:cstheme="majorBidi"/>
          <w:sz w:val="24"/>
          <w:szCs w:val="24"/>
          <w:lang w:val="en-GB"/>
        </w:rPr>
        <w:t>s</w:t>
      </w:r>
      <w:r w:rsidRPr="007F13B6">
        <w:rPr>
          <w:rFonts w:asciiTheme="majorBidi" w:eastAsia="SimSun" w:hAnsiTheme="majorBidi" w:cstheme="majorBidi"/>
          <w:sz w:val="24"/>
          <w:szCs w:val="24"/>
          <w:lang w:val="en-GB"/>
        </w:rPr>
        <w:t>. Our results show that across both table</w:t>
      </w:r>
      <w:r>
        <w:rPr>
          <w:rFonts w:asciiTheme="majorBidi" w:eastAsia="SimSun" w:hAnsiTheme="majorBidi" w:cstheme="majorBidi"/>
          <w:sz w:val="24"/>
          <w:szCs w:val="24"/>
          <w:lang w:val="en-GB"/>
        </w:rPr>
        <w:t xml:space="preserve"> 3</w:t>
      </w:r>
      <w:r w:rsidRPr="007F13B6">
        <w:rPr>
          <w:rFonts w:asciiTheme="majorBidi" w:eastAsia="SimSun" w:hAnsiTheme="majorBidi" w:cstheme="majorBidi"/>
          <w:sz w:val="24"/>
          <w:szCs w:val="24"/>
          <w:lang w:val="en-GB"/>
        </w:rPr>
        <w:t xml:space="preserve"> and table 4, for the non-crisis analysis, HML has a negative coefficient which is consistent across all investment options which reflects that the portfolio consist</w:t>
      </w:r>
      <w:r>
        <w:rPr>
          <w:rFonts w:asciiTheme="majorBidi" w:eastAsia="SimSun" w:hAnsiTheme="majorBidi" w:cstheme="majorBidi"/>
          <w:sz w:val="24"/>
          <w:szCs w:val="24"/>
          <w:lang w:val="en-GB"/>
        </w:rPr>
        <w:t>s</w:t>
      </w:r>
      <w:r w:rsidRPr="007F13B6">
        <w:rPr>
          <w:rFonts w:asciiTheme="majorBidi" w:eastAsia="SimSun" w:hAnsiTheme="majorBidi" w:cstheme="majorBidi"/>
          <w:sz w:val="24"/>
          <w:szCs w:val="24"/>
          <w:lang w:val="en-GB"/>
        </w:rPr>
        <w:t xml:space="preserve"> of </w:t>
      </w:r>
      <w:r>
        <w:rPr>
          <w:rFonts w:asciiTheme="majorBidi" w:eastAsia="SimSun" w:hAnsiTheme="majorBidi" w:cstheme="majorBidi"/>
          <w:sz w:val="24"/>
          <w:szCs w:val="24"/>
          <w:lang w:val="en-GB"/>
        </w:rPr>
        <w:t xml:space="preserve">mostly </w:t>
      </w:r>
      <w:r w:rsidRPr="007F13B6">
        <w:rPr>
          <w:rFonts w:asciiTheme="majorBidi" w:eastAsia="SimSun" w:hAnsiTheme="majorBidi" w:cstheme="majorBidi"/>
          <w:sz w:val="24"/>
          <w:szCs w:val="24"/>
          <w:lang w:val="en-GB"/>
        </w:rPr>
        <w:t>growth stocks. The crisis analysis in table 3 however has mixed signs</w:t>
      </w:r>
      <w:r>
        <w:rPr>
          <w:rFonts w:asciiTheme="majorBidi" w:eastAsia="SimSun" w:hAnsiTheme="majorBidi" w:cstheme="majorBidi"/>
          <w:sz w:val="24"/>
          <w:szCs w:val="24"/>
          <w:lang w:val="en-GB"/>
        </w:rPr>
        <w:t xml:space="preserve"> of HML coefficients</w:t>
      </w:r>
      <w:r w:rsidRPr="007F13B6">
        <w:rPr>
          <w:rFonts w:asciiTheme="majorBidi" w:eastAsia="SimSun" w:hAnsiTheme="majorBidi" w:cstheme="majorBidi"/>
          <w:sz w:val="24"/>
          <w:szCs w:val="24"/>
          <w:lang w:val="en-GB"/>
        </w:rPr>
        <w:t xml:space="preserve"> </w:t>
      </w:r>
      <w:r>
        <w:rPr>
          <w:rFonts w:asciiTheme="majorBidi" w:eastAsia="SimSun" w:hAnsiTheme="majorBidi" w:cstheme="majorBidi"/>
          <w:sz w:val="24"/>
          <w:szCs w:val="24"/>
          <w:lang w:val="en-GB"/>
        </w:rPr>
        <w:t>for the FF four factor and FF five factor models</w:t>
      </w:r>
      <w:r w:rsidRPr="007F13B6">
        <w:rPr>
          <w:rFonts w:asciiTheme="majorBidi" w:eastAsia="SimSun" w:hAnsiTheme="majorBidi" w:cstheme="majorBidi"/>
          <w:sz w:val="24"/>
          <w:szCs w:val="24"/>
          <w:lang w:val="en-GB"/>
        </w:rPr>
        <w:t xml:space="preserve"> while in table 4 the growth investment options under the crisis analysis</w:t>
      </w:r>
      <w:r>
        <w:rPr>
          <w:rFonts w:asciiTheme="majorBidi" w:eastAsia="SimSun" w:hAnsiTheme="majorBidi" w:cstheme="majorBidi"/>
          <w:sz w:val="24"/>
          <w:szCs w:val="24"/>
          <w:lang w:val="en-GB"/>
        </w:rPr>
        <w:t xml:space="preserve"> has mostly a negative coefficient for the FF three, FF four and FF five factor models, highlighting investment in growth stocks. For the momentum factor UMD, a positive UMD coefficient indicates a bullish market in general and a negative UMD coefficient is typical of bearish market. The non-crisis coefficient for the FF four factor model shows a positive UMD coefficient across tables 3 and 4 which is reflecting more of a stable economy and high investor confidence in a bullish market. The crisis analysis for the UMD coefficient across both tables 3 and 4 are mainly negative (except for the moderate option under the ASIC classification). This shows the volatility in the market in the crisis period reflecting the falling prices and pessimism in the market. </w:t>
      </w:r>
      <w:proofErr w:type="spellStart"/>
      <w:r w:rsidRPr="005F4E27">
        <w:rPr>
          <w:rFonts w:asciiTheme="majorBidi" w:eastAsia="SimSun" w:hAnsiTheme="majorBidi" w:cstheme="majorBidi"/>
          <w:sz w:val="24"/>
          <w:szCs w:val="24"/>
          <w:lang w:val="en-GB"/>
        </w:rPr>
        <w:t>Fama</w:t>
      </w:r>
      <w:proofErr w:type="spellEnd"/>
      <w:r w:rsidRPr="005F4E27">
        <w:rPr>
          <w:rFonts w:asciiTheme="majorBidi" w:eastAsia="SimSun" w:hAnsiTheme="majorBidi" w:cstheme="majorBidi"/>
          <w:sz w:val="24"/>
          <w:szCs w:val="24"/>
          <w:lang w:val="en-GB"/>
        </w:rPr>
        <w:t xml:space="preserve"> and French (201</w:t>
      </w:r>
      <w:r>
        <w:rPr>
          <w:rFonts w:asciiTheme="majorBidi" w:eastAsia="SimSun" w:hAnsiTheme="majorBidi" w:cstheme="majorBidi"/>
          <w:sz w:val="24"/>
          <w:szCs w:val="24"/>
          <w:lang w:val="en-GB"/>
        </w:rPr>
        <w:t>5</w:t>
      </w:r>
      <w:r w:rsidRPr="005F4E27">
        <w:rPr>
          <w:rFonts w:asciiTheme="majorBidi" w:eastAsia="SimSun" w:hAnsiTheme="majorBidi" w:cstheme="majorBidi"/>
          <w:sz w:val="24"/>
          <w:szCs w:val="24"/>
          <w:lang w:val="en-GB"/>
        </w:rPr>
        <w:t>) introduced</w:t>
      </w:r>
      <w:r>
        <w:rPr>
          <w:rFonts w:asciiTheme="majorBidi" w:eastAsia="SimSun" w:hAnsiTheme="majorBidi" w:cstheme="majorBidi"/>
          <w:sz w:val="24"/>
          <w:szCs w:val="24"/>
          <w:lang w:val="en-GB"/>
        </w:rPr>
        <w:t xml:space="preserve"> </w:t>
      </w:r>
      <w:r>
        <w:rPr>
          <w:rFonts w:asciiTheme="majorBidi" w:eastAsia="SimSun" w:hAnsiTheme="majorBidi" w:cstheme="majorBidi"/>
          <w:sz w:val="24"/>
          <w:szCs w:val="24"/>
          <w:lang w:val="en-GB"/>
        </w:rPr>
        <w:lastRenderedPageBreak/>
        <w:t>the</w:t>
      </w:r>
      <w:r w:rsidRPr="005F4E27">
        <w:rPr>
          <w:rFonts w:asciiTheme="majorBidi" w:eastAsia="SimSun" w:hAnsiTheme="majorBidi" w:cstheme="majorBidi"/>
          <w:sz w:val="24"/>
          <w:szCs w:val="24"/>
          <w:lang w:val="en-GB"/>
        </w:rPr>
        <w:t xml:space="preserve"> five-factor </w:t>
      </w:r>
      <w:r>
        <w:rPr>
          <w:rFonts w:asciiTheme="majorBidi" w:eastAsia="SimSun" w:hAnsiTheme="majorBidi" w:cstheme="majorBidi"/>
          <w:sz w:val="24"/>
          <w:szCs w:val="24"/>
          <w:lang w:val="en-GB"/>
        </w:rPr>
        <w:t xml:space="preserve">model to </w:t>
      </w:r>
      <w:r w:rsidRPr="005F4E27">
        <w:rPr>
          <w:rFonts w:asciiTheme="majorBidi" w:eastAsia="SimSun" w:hAnsiTheme="majorBidi" w:cstheme="majorBidi"/>
          <w:sz w:val="24"/>
          <w:szCs w:val="24"/>
          <w:lang w:val="en-GB"/>
        </w:rPr>
        <w:t>capture the return</w:t>
      </w:r>
      <w:r>
        <w:rPr>
          <w:rFonts w:asciiTheme="majorBidi" w:eastAsia="SimSun" w:hAnsiTheme="majorBidi" w:cstheme="majorBidi"/>
          <w:sz w:val="24"/>
          <w:szCs w:val="24"/>
          <w:lang w:val="en-GB"/>
        </w:rPr>
        <w:t xml:space="preserve"> </w:t>
      </w:r>
      <w:r w:rsidRPr="005F4E27">
        <w:rPr>
          <w:rFonts w:asciiTheme="majorBidi" w:eastAsia="SimSun" w:hAnsiTheme="majorBidi" w:cstheme="majorBidi"/>
          <w:sz w:val="24"/>
          <w:szCs w:val="24"/>
          <w:lang w:val="en-GB"/>
        </w:rPr>
        <w:t xml:space="preserve">premiums associated with profitability </w:t>
      </w:r>
      <w:r>
        <w:rPr>
          <w:rFonts w:asciiTheme="majorBidi" w:eastAsia="SimSun" w:hAnsiTheme="majorBidi" w:cstheme="majorBidi"/>
          <w:sz w:val="24"/>
          <w:szCs w:val="24"/>
          <w:lang w:val="en-GB"/>
        </w:rPr>
        <w:t xml:space="preserve">(RMW) </w:t>
      </w:r>
      <w:r w:rsidRPr="005F4E27">
        <w:rPr>
          <w:rFonts w:asciiTheme="majorBidi" w:eastAsia="SimSun" w:hAnsiTheme="majorBidi" w:cstheme="majorBidi"/>
          <w:sz w:val="24"/>
          <w:szCs w:val="24"/>
          <w:lang w:val="en-GB"/>
        </w:rPr>
        <w:t>and investment</w:t>
      </w:r>
      <w:r>
        <w:rPr>
          <w:rFonts w:asciiTheme="majorBidi" w:eastAsia="SimSun" w:hAnsiTheme="majorBidi" w:cstheme="majorBidi"/>
          <w:sz w:val="24"/>
          <w:szCs w:val="24"/>
          <w:lang w:val="en-GB"/>
        </w:rPr>
        <w:t xml:space="preserve"> (CMA). The starting point of the five factor model is the dividend discount model and they find that based on the new factors the following is expected: </w:t>
      </w:r>
      <w:r w:rsidRPr="005F4E27">
        <w:rPr>
          <w:rFonts w:asciiTheme="majorBidi" w:eastAsia="SimSun" w:hAnsiTheme="majorBidi" w:cstheme="majorBidi"/>
          <w:sz w:val="24"/>
          <w:szCs w:val="24"/>
          <w:lang w:val="en-GB"/>
        </w:rPr>
        <w:t>(</w:t>
      </w:r>
      <w:proofErr w:type="spellStart"/>
      <w:r>
        <w:rPr>
          <w:rFonts w:asciiTheme="majorBidi" w:eastAsia="SimSun" w:hAnsiTheme="majorBidi" w:cstheme="majorBidi"/>
          <w:sz w:val="24"/>
          <w:szCs w:val="24"/>
          <w:lang w:val="en-GB"/>
        </w:rPr>
        <w:t>i</w:t>
      </w:r>
      <w:proofErr w:type="spellEnd"/>
      <w:r w:rsidRPr="005F4E27">
        <w:rPr>
          <w:rFonts w:asciiTheme="majorBidi" w:eastAsia="SimSun" w:hAnsiTheme="majorBidi" w:cstheme="majorBidi"/>
          <w:sz w:val="24"/>
          <w:szCs w:val="24"/>
          <w:lang w:val="en-GB"/>
        </w:rPr>
        <w:t>) a higher book-to-market ratio implies a hig</w:t>
      </w:r>
      <w:r>
        <w:rPr>
          <w:rFonts w:asciiTheme="majorBidi" w:eastAsia="SimSun" w:hAnsiTheme="majorBidi" w:cstheme="majorBidi"/>
          <w:sz w:val="24"/>
          <w:szCs w:val="24"/>
          <w:lang w:val="en-GB"/>
        </w:rPr>
        <w:t>her expected return (i.e., positive HML coefficient);</w:t>
      </w:r>
      <w:r w:rsidRPr="005F4E27">
        <w:rPr>
          <w:rFonts w:asciiTheme="majorBidi" w:eastAsia="SimSun" w:hAnsiTheme="majorBidi" w:cstheme="majorBidi"/>
          <w:sz w:val="24"/>
          <w:szCs w:val="24"/>
          <w:lang w:val="en-GB"/>
        </w:rPr>
        <w:t xml:space="preserve"> (</w:t>
      </w:r>
      <w:r>
        <w:rPr>
          <w:rFonts w:asciiTheme="majorBidi" w:eastAsia="SimSun" w:hAnsiTheme="majorBidi" w:cstheme="majorBidi"/>
          <w:sz w:val="24"/>
          <w:szCs w:val="24"/>
          <w:lang w:val="en-GB"/>
        </w:rPr>
        <w:t>ii</w:t>
      </w:r>
      <w:r w:rsidRPr="005F4E27">
        <w:rPr>
          <w:rFonts w:asciiTheme="majorBidi" w:eastAsia="SimSun" w:hAnsiTheme="majorBidi" w:cstheme="majorBidi"/>
          <w:sz w:val="24"/>
          <w:szCs w:val="24"/>
          <w:lang w:val="en-GB"/>
        </w:rPr>
        <w:t>) firms with higher</w:t>
      </w:r>
      <w:r>
        <w:rPr>
          <w:rFonts w:asciiTheme="majorBidi" w:eastAsia="SimSun" w:hAnsiTheme="majorBidi" w:cstheme="majorBidi"/>
          <w:sz w:val="24"/>
          <w:szCs w:val="24"/>
          <w:lang w:val="en-GB"/>
        </w:rPr>
        <w:t xml:space="preserve"> </w:t>
      </w:r>
      <w:r w:rsidRPr="005F4E27">
        <w:rPr>
          <w:rFonts w:asciiTheme="majorBidi" w:eastAsia="SimSun" w:hAnsiTheme="majorBidi" w:cstheme="majorBidi"/>
          <w:sz w:val="24"/>
          <w:szCs w:val="24"/>
          <w:lang w:val="en-GB"/>
        </w:rPr>
        <w:t>profitability relative to current book equity have higher expected returns</w:t>
      </w:r>
      <w:r>
        <w:rPr>
          <w:rFonts w:asciiTheme="majorBidi" w:eastAsia="SimSun" w:hAnsiTheme="majorBidi" w:cstheme="majorBidi"/>
          <w:sz w:val="24"/>
          <w:szCs w:val="24"/>
          <w:lang w:val="en-GB"/>
        </w:rPr>
        <w:t xml:space="preserve"> (i.e., positive RMW coefficient);</w:t>
      </w:r>
      <w:r w:rsidRPr="005F4E27">
        <w:rPr>
          <w:rFonts w:asciiTheme="majorBidi" w:eastAsia="SimSun" w:hAnsiTheme="majorBidi" w:cstheme="majorBidi"/>
          <w:sz w:val="24"/>
          <w:szCs w:val="24"/>
          <w:lang w:val="en-GB"/>
        </w:rPr>
        <w:t xml:space="preserve"> and (</w:t>
      </w:r>
      <w:r>
        <w:rPr>
          <w:rFonts w:asciiTheme="majorBidi" w:eastAsia="SimSun" w:hAnsiTheme="majorBidi" w:cstheme="majorBidi"/>
          <w:sz w:val="24"/>
          <w:szCs w:val="24"/>
          <w:lang w:val="en-GB"/>
        </w:rPr>
        <w:t>iii</w:t>
      </w:r>
      <w:r w:rsidRPr="005F4E27">
        <w:rPr>
          <w:rFonts w:asciiTheme="majorBidi" w:eastAsia="SimSun" w:hAnsiTheme="majorBidi" w:cstheme="majorBidi"/>
          <w:sz w:val="24"/>
          <w:szCs w:val="24"/>
          <w:lang w:val="en-GB"/>
        </w:rPr>
        <w:t>) a higher expected growth in book</w:t>
      </w:r>
      <w:r>
        <w:rPr>
          <w:rFonts w:asciiTheme="majorBidi" w:eastAsia="SimSun" w:hAnsiTheme="majorBidi" w:cstheme="majorBidi"/>
          <w:sz w:val="24"/>
          <w:szCs w:val="24"/>
          <w:lang w:val="en-GB"/>
        </w:rPr>
        <w:t xml:space="preserve"> </w:t>
      </w:r>
      <w:r w:rsidRPr="005F4E27">
        <w:rPr>
          <w:rFonts w:asciiTheme="majorBidi" w:eastAsia="SimSun" w:hAnsiTheme="majorBidi" w:cstheme="majorBidi"/>
          <w:sz w:val="24"/>
          <w:szCs w:val="24"/>
          <w:lang w:val="en-GB"/>
        </w:rPr>
        <w:t>equity due to reinvestment and earnings means lower expected returns</w:t>
      </w:r>
      <w:r>
        <w:rPr>
          <w:rFonts w:asciiTheme="majorBidi" w:eastAsia="SimSun" w:hAnsiTheme="majorBidi" w:cstheme="majorBidi"/>
          <w:sz w:val="24"/>
          <w:szCs w:val="24"/>
          <w:lang w:val="en-GB"/>
        </w:rPr>
        <w:t xml:space="preserve"> (i.e., negative CMA coefficient)</w:t>
      </w:r>
      <w:r w:rsidRPr="005F4E27">
        <w:rPr>
          <w:rFonts w:asciiTheme="majorBidi" w:eastAsia="SimSun" w:hAnsiTheme="majorBidi" w:cstheme="majorBidi"/>
          <w:sz w:val="24"/>
          <w:szCs w:val="24"/>
          <w:lang w:val="en-GB"/>
        </w:rPr>
        <w:t>.</w:t>
      </w:r>
      <w:r>
        <w:rPr>
          <w:rFonts w:asciiTheme="majorBidi" w:eastAsia="SimSun" w:hAnsiTheme="majorBidi" w:cstheme="majorBidi"/>
          <w:sz w:val="24"/>
          <w:szCs w:val="24"/>
          <w:lang w:val="en-GB"/>
        </w:rPr>
        <w:t xml:space="preserve"> Since the introduction of these factors, there are numerous papers which have provided empirical </w:t>
      </w:r>
      <w:r w:rsidRPr="005F4E27">
        <w:rPr>
          <w:rFonts w:asciiTheme="majorBidi" w:eastAsia="SimSun" w:hAnsiTheme="majorBidi" w:cstheme="majorBidi"/>
          <w:sz w:val="24"/>
          <w:szCs w:val="24"/>
          <w:lang w:val="en-GB"/>
        </w:rPr>
        <w:t>evidence for the profitability and</w:t>
      </w:r>
      <w:r>
        <w:rPr>
          <w:rFonts w:asciiTheme="majorBidi" w:eastAsia="SimSun" w:hAnsiTheme="majorBidi" w:cstheme="majorBidi"/>
          <w:sz w:val="24"/>
          <w:szCs w:val="24"/>
          <w:lang w:val="en-GB"/>
        </w:rPr>
        <w:t xml:space="preserve"> </w:t>
      </w:r>
      <w:r w:rsidRPr="005F4E27">
        <w:rPr>
          <w:rFonts w:asciiTheme="majorBidi" w:eastAsia="SimSun" w:hAnsiTheme="majorBidi" w:cstheme="majorBidi"/>
          <w:sz w:val="24"/>
          <w:szCs w:val="24"/>
          <w:lang w:val="en-GB"/>
        </w:rPr>
        <w:t xml:space="preserve">investment effects </w:t>
      </w:r>
      <w:r>
        <w:rPr>
          <w:rFonts w:asciiTheme="majorBidi" w:eastAsia="SimSun" w:hAnsiTheme="majorBidi" w:cstheme="majorBidi"/>
          <w:sz w:val="24"/>
          <w:szCs w:val="24"/>
          <w:lang w:val="en-GB"/>
        </w:rPr>
        <w:t xml:space="preserve">(see for example, </w:t>
      </w:r>
      <w:proofErr w:type="spellStart"/>
      <w:r w:rsidRPr="005F4E27">
        <w:rPr>
          <w:rFonts w:asciiTheme="majorBidi" w:eastAsia="SimSun" w:hAnsiTheme="majorBidi" w:cstheme="majorBidi"/>
          <w:sz w:val="24"/>
          <w:szCs w:val="24"/>
          <w:lang w:val="en-GB"/>
        </w:rPr>
        <w:t>Novy</w:t>
      </w:r>
      <w:proofErr w:type="spellEnd"/>
      <w:r w:rsidRPr="005F4E27">
        <w:rPr>
          <w:rFonts w:asciiTheme="majorBidi" w:eastAsia="SimSun" w:hAnsiTheme="majorBidi" w:cstheme="majorBidi"/>
          <w:sz w:val="24"/>
          <w:szCs w:val="24"/>
          <w:lang w:val="en-GB"/>
        </w:rPr>
        <w:t>-Marx</w:t>
      </w:r>
      <w:r>
        <w:rPr>
          <w:rFonts w:asciiTheme="majorBidi" w:eastAsia="SimSun" w:hAnsiTheme="majorBidi" w:cstheme="majorBidi"/>
          <w:sz w:val="24"/>
          <w:szCs w:val="24"/>
          <w:lang w:val="en-GB"/>
        </w:rPr>
        <w:t xml:space="preserve">, </w:t>
      </w:r>
      <w:r w:rsidRPr="005F4E27">
        <w:rPr>
          <w:rFonts w:asciiTheme="majorBidi" w:eastAsia="SimSun" w:hAnsiTheme="majorBidi" w:cstheme="majorBidi"/>
          <w:sz w:val="24"/>
          <w:szCs w:val="24"/>
          <w:lang w:val="en-GB"/>
        </w:rPr>
        <w:t>2013</w:t>
      </w:r>
      <w:r>
        <w:rPr>
          <w:rFonts w:asciiTheme="majorBidi" w:eastAsia="SimSun" w:hAnsiTheme="majorBidi" w:cstheme="majorBidi"/>
          <w:sz w:val="24"/>
          <w:szCs w:val="24"/>
          <w:lang w:val="en-GB"/>
        </w:rPr>
        <w:t>;</w:t>
      </w:r>
      <w:r w:rsidRPr="005F4E27">
        <w:rPr>
          <w:rFonts w:asciiTheme="majorBidi" w:eastAsia="SimSun" w:hAnsiTheme="majorBidi" w:cstheme="majorBidi"/>
          <w:sz w:val="24"/>
          <w:szCs w:val="24"/>
          <w:lang w:val="en-GB"/>
        </w:rPr>
        <w:t xml:space="preserve"> Titman, Wei and</w:t>
      </w:r>
      <w:r>
        <w:rPr>
          <w:rFonts w:asciiTheme="majorBidi" w:eastAsia="SimSun" w:hAnsiTheme="majorBidi" w:cstheme="majorBidi"/>
          <w:sz w:val="24"/>
          <w:szCs w:val="24"/>
          <w:lang w:val="en-GB"/>
        </w:rPr>
        <w:t xml:space="preserve"> </w:t>
      </w:r>
      <w:proofErr w:type="spellStart"/>
      <w:r>
        <w:rPr>
          <w:rFonts w:asciiTheme="majorBidi" w:eastAsia="SimSun" w:hAnsiTheme="majorBidi" w:cstheme="majorBidi"/>
          <w:sz w:val="24"/>
          <w:szCs w:val="24"/>
          <w:lang w:val="en-GB"/>
        </w:rPr>
        <w:t>Xie</w:t>
      </w:r>
      <w:proofErr w:type="spellEnd"/>
      <w:r>
        <w:rPr>
          <w:rFonts w:asciiTheme="majorBidi" w:eastAsia="SimSun" w:hAnsiTheme="majorBidi" w:cstheme="majorBidi"/>
          <w:sz w:val="24"/>
          <w:szCs w:val="24"/>
          <w:lang w:val="en-GB"/>
        </w:rPr>
        <w:t xml:space="preserve">, 2004). </w:t>
      </w:r>
      <w:proofErr w:type="spellStart"/>
      <w:r>
        <w:rPr>
          <w:rFonts w:asciiTheme="majorBidi" w:eastAsia="SimSun" w:hAnsiTheme="majorBidi" w:cstheme="majorBidi"/>
          <w:sz w:val="24"/>
          <w:szCs w:val="24"/>
          <w:lang w:val="en-GB"/>
        </w:rPr>
        <w:t>Fama</w:t>
      </w:r>
      <w:proofErr w:type="spellEnd"/>
      <w:r>
        <w:rPr>
          <w:rFonts w:asciiTheme="majorBidi" w:eastAsia="SimSun" w:hAnsiTheme="majorBidi" w:cstheme="majorBidi"/>
          <w:sz w:val="24"/>
          <w:szCs w:val="24"/>
          <w:lang w:val="en-GB"/>
        </w:rPr>
        <w:t xml:space="preserve"> and French (2015) further show that the HML factor is redundant when profitability and investment has been included in the model. While this test is in the US context, in the Australia context, </w:t>
      </w:r>
      <w:proofErr w:type="spellStart"/>
      <w:r>
        <w:rPr>
          <w:rFonts w:asciiTheme="majorBidi" w:eastAsia="SimSun" w:hAnsiTheme="majorBidi" w:cstheme="majorBidi"/>
          <w:sz w:val="24"/>
          <w:szCs w:val="24"/>
          <w:lang w:val="en-GB"/>
        </w:rPr>
        <w:t>Chiah</w:t>
      </w:r>
      <w:proofErr w:type="spellEnd"/>
      <w:r>
        <w:rPr>
          <w:rFonts w:asciiTheme="majorBidi" w:eastAsia="SimSun" w:hAnsiTheme="majorBidi" w:cstheme="majorBidi"/>
          <w:sz w:val="24"/>
          <w:szCs w:val="24"/>
          <w:lang w:val="en-GB"/>
        </w:rPr>
        <w:t xml:space="preserve">, Chai and </w:t>
      </w:r>
      <w:proofErr w:type="spellStart"/>
      <w:r>
        <w:rPr>
          <w:rFonts w:asciiTheme="majorBidi" w:eastAsia="SimSun" w:hAnsiTheme="majorBidi" w:cstheme="majorBidi"/>
          <w:sz w:val="24"/>
          <w:szCs w:val="24"/>
          <w:lang w:val="en-GB"/>
        </w:rPr>
        <w:t>Zhong</w:t>
      </w:r>
      <w:proofErr w:type="spellEnd"/>
      <w:r>
        <w:rPr>
          <w:rFonts w:asciiTheme="majorBidi" w:eastAsia="SimSun" w:hAnsiTheme="majorBidi" w:cstheme="majorBidi"/>
          <w:sz w:val="24"/>
          <w:szCs w:val="24"/>
          <w:lang w:val="en-GB"/>
        </w:rPr>
        <w:t xml:space="preserve"> (2016) show that the HML is not redundant and hence in our study we use the five factor model including HML to apply to the investment options of superannuation funds. The results of the FF five factor models across tables 3 and tables 4 are consistent for both non-crisis and crisis period. For the non- crisis period, the coefficient of HML is negative as highlighted previously, that is the investment held by Australian superannuation fund reflects more of the growth stocks. This is quite in line with the OECD figures which highlight that Australian superannuation funds are one of the highest investors in the equity market and hence we expect this negative coefficient. The profitability as measured by RMW coefficient, is positive under both classification method in the non-crisis period, which implies that higher profitability in the non-crisis period will lead to a higher expected return. The investment coefficient (CMA coefficient) is negative, which is consistent with expectations as per the </w:t>
      </w:r>
      <w:proofErr w:type="spellStart"/>
      <w:r>
        <w:rPr>
          <w:rFonts w:asciiTheme="majorBidi" w:eastAsia="SimSun" w:hAnsiTheme="majorBidi" w:cstheme="majorBidi"/>
          <w:sz w:val="24"/>
          <w:szCs w:val="24"/>
          <w:lang w:val="en-GB"/>
        </w:rPr>
        <w:t>Fama</w:t>
      </w:r>
      <w:proofErr w:type="spellEnd"/>
      <w:r>
        <w:rPr>
          <w:rFonts w:asciiTheme="majorBidi" w:eastAsia="SimSun" w:hAnsiTheme="majorBidi" w:cstheme="majorBidi"/>
          <w:sz w:val="24"/>
          <w:szCs w:val="24"/>
          <w:lang w:val="en-GB"/>
        </w:rPr>
        <w:t xml:space="preserve"> French (2015) findings, that is, the growth due to re-investment of earnings will lead to lower expected returns. The crisis results in both tables are different to the non-crisis period. While the profitability coefficient does not change, the </w:t>
      </w:r>
      <w:r>
        <w:rPr>
          <w:rFonts w:asciiTheme="majorBidi" w:eastAsia="SimSun" w:hAnsiTheme="majorBidi" w:cstheme="majorBidi"/>
          <w:sz w:val="24"/>
          <w:szCs w:val="24"/>
          <w:lang w:val="en-GB"/>
        </w:rPr>
        <w:lastRenderedPageBreak/>
        <w:t xml:space="preserve">investment coefficient and HML coefficients do change signs. The CMA coefficient for both classification methods change to positive across all the investment categories moderate, balanced, growth and aggressive. Further, in the crisis period, the moderate, balanced and aggressive option has a positive HML coefficient which shows that in a crisis period, the portfolio is dominated by value stock.  </w:t>
      </w:r>
    </w:p>
    <w:p w:rsidR="007F433F" w:rsidRDefault="007F433F" w:rsidP="007F433F">
      <w:pPr>
        <w:snapToGrid w:val="0"/>
        <w:spacing w:after="0" w:line="480" w:lineRule="auto"/>
        <w:ind w:firstLine="720"/>
        <w:jc w:val="both"/>
        <w:rPr>
          <w:rFonts w:asciiTheme="majorBidi" w:eastAsia="SimSun" w:hAnsiTheme="majorBidi" w:cstheme="majorBidi"/>
          <w:sz w:val="24"/>
          <w:szCs w:val="24"/>
          <w:lang w:val="en-GB"/>
        </w:rPr>
      </w:pPr>
      <w:r>
        <w:rPr>
          <w:rFonts w:asciiTheme="majorBidi" w:eastAsia="SimSun" w:hAnsiTheme="majorBidi" w:cstheme="majorBidi"/>
          <w:sz w:val="24"/>
          <w:szCs w:val="24"/>
          <w:lang w:val="en-GB"/>
        </w:rPr>
        <w:t>Based on the above discussion and the results in table 3 and table 4, we therefore establish these conclusions to our research questions; (1) as the percentage of growth assets increases the level of risk goes up as measured by beta, that is the moderate option is a safer bet in terms of riskiness as compared to an aggressive option; (2) r</w:t>
      </w:r>
      <w:r w:rsidRPr="0028538F">
        <w:rPr>
          <w:rFonts w:asciiTheme="majorBidi" w:eastAsia="SimSun" w:hAnsiTheme="majorBidi" w:cstheme="majorBidi"/>
          <w:sz w:val="24"/>
          <w:szCs w:val="24"/>
          <w:lang w:val="en-GB"/>
        </w:rPr>
        <w:t xml:space="preserve">isk does not vary as we change the method of classification – hence as </w:t>
      </w:r>
      <w:r>
        <w:rPr>
          <w:rFonts w:asciiTheme="majorBidi" w:eastAsia="SimSun" w:hAnsiTheme="majorBidi" w:cstheme="majorBidi"/>
          <w:sz w:val="24"/>
          <w:szCs w:val="24"/>
          <w:lang w:val="en-GB"/>
        </w:rPr>
        <w:t xml:space="preserve">a </w:t>
      </w:r>
      <w:r w:rsidRPr="0028538F">
        <w:rPr>
          <w:rFonts w:asciiTheme="majorBidi" w:eastAsia="SimSun" w:hAnsiTheme="majorBidi" w:cstheme="majorBidi"/>
          <w:sz w:val="24"/>
          <w:szCs w:val="24"/>
          <w:lang w:val="en-GB"/>
        </w:rPr>
        <w:t>fund change the composition of the balance</w:t>
      </w:r>
      <w:r>
        <w:rPr>
          <w:rFonts w:asciiTheme="majorBidi" w:eastAsia="SimSun" w:hAnsiTheme="majorBidi" w:cstheme="majorBidi"/>
          <w:sz w:val="24"/>
          <w:szCs w:val="24"/>
          <w:lang w:val="en-GB"/>
        </w:rPr>
        <w:t>d</w:t>
      </w:r>
      <w:r w:rsidRPr="0028538F">
        <w:rPr>
          <w:rFonts w:asciiTheme="majorBidi" w:eastAsia="SimSun" w:hAnsiTheme="majorBidi" w:cstheme="majorBidi"/>
          <w:sz w:val="24"/>
          <w:szCs w:val="24"/>
          <w:lang w:val="en-GB"/>
        </w:rPr>
        <w:t xml:space="preserve"> funds</w:t>
      </w:r>
      <w:r>
        <w:rPr>
          <w:rFonts w:asciiTheme="majorBidi" w:eastAsia="SimSun" w:hAnsiTheme="majorBidi" w:cstheme="majorBidi"/>
          <w:sz w:val="24"/>
          <w:szCs w:val="24"/>
          <w:lang w:val="en-GB"/>
        </w:rPr>
        <w:t xml:space="preserve">, that is, a change from 41-60 %  to a  31-70 %  option, </w:t>
      </w:r>
      <w:r w:rsidRPr="0028538F">
        <w:rPr>
          <w:rFonts w:asciiTheme="majorBidi" w:eastAsia="SimSun" w:hAnsiTheme="majorBidi" w:cstheme="majorBidi"/>
          <w:sz w:val="24"/>
          <w:szCs w:val="24"/>
          <w:lang w:val="en-GB"/>
        </w:rPr>
        <w:t>the risk level to member</w:t>
      </w:r>
      <w:r>
        <w:rPr>
          <w:rFonts w:asciiTheme="majorBidi" w:eastAsia="SimSun" w:hAnsiTheme="majorBidi" w:cstheme="majorBidi"/>
          <w:sz w:val="24"/>
          <w:szCs w:val="24"/>
          <w:lang w:val="en-GB"/>
        </w:rPr>
        <w:t xml:space="preserve">s over the longer term does not vary; (3) the estimations of risk, that is the beta coefficient, </w:t>
      </w:r>
      <w:r w:rsidRPr="00876691">
        <w:rPr>
          <w:rFonts w:asciiTheme="majorBidi" w:hAnsiTheme="majorBidi" w:cstheme="majorBidi"/>
          <w:i/>
          <w:sz w:val="24"/>
          <w:szCs w:val="24"/>
        </w:rPr>
        <w:t>β</w:t>
      </w:r>
      <w:r w:rsidRPr="00876691">
        <w:rPr>
          <w:rFonts w:asciiTheme="majorBidi" w:hAnsiTheme="majorBidi" w:cstheme="majorBidi"/>
          <w:i/>
          <w:sz w:val="24"/>
          <w:szCs w:val="24"/>
          <w:vertAlign w:val="subscript"/>
        </w:rPr>
        <w:t>M</w:t>
      </w:r>
      <w:r>
        <w:rPr>
          <w:rFonts w:asciiTheme="majorBidi" w:hAnsiTheme="majorBidi" w:cstheme="majorBidi"/>
          <w:sz w:val="24"/>
          <w:szCs w:val="24"/>
          <w:vertAlign w:val="subscript"/>
        </w:rPr>
        <w:t xml:space="preserve">, </w:t>
      </w:r>
      <w:r>
        <w:rPr>
          <w:rFonts w:asciiTheme="majorBidi" w:eastAsia="SimSun" w:hAnsiTheme="majorBidi" w:cstheme="majorBidi"/>
          <w:sz w:val="24"/>
          <w:szCs w:val="24"/>
          <w:lang w:val="en-GB"/>
        </w:rPr>
        <w:t xml:space="preserve">is not model sensitive, that is it does not matter whether we use CAPM, FF three, four or five  factor for both non-crisis and crisis period, however the HML (value proxy) and CMA (investment proxy) coefficients seem to be different in between the non-crisis and crisis period. </w:t>
      </w:r>
    </w:p>
    <w:p w:rsidR="007F433F" w:rsidRPr="000C5830" w:rsidRDefault="007F433F" w:rsidP="007F433F">
      <w:pPr>
        <w:pStyle w:val="ListParagraph"/>
        <w:numPr>
          <w:ilvl w:val="1"/>
          <w:numId w:val="3"/>
        </w:numPr>
        <w:snapToGrid w:val="0"/>
        <w:spacing w:before="240" w:line="480" w:lineRule="auto"/>
        <w:jc w:val="both"/>
        <w:rPr>
          <w:rFonts w:asciiTheme="majorBidi" w:eastAsia="SimSun" w:hAnsiTheme="majorBidi" w:cstheme="majorBidi"/>
          <w:b/>
          <w:bCs/>
          <w:i/>
          <w:sz w:val="24"/>
          <w:szCs w:val="24"/>
          <w:lang w:val="en-GB"/>
        </w:rPr>
      </w:pPr>
      <w:r w:rsidRPr="000C5830">
        <w:rPr>
          <w:rFonts w:asciiTheme="majorBidi" w:eastAsia="SimSun" w:hAnsiTheme="majorBidi" w:cstheme="majorBidi"/>
          <w:b/>
          <w:bCs/>
          <w:i/>
          <w:sz w:val="24"/>
          <w:szCs w:val="24"/>
          <w:lang w:val="en-GB"/>
        </w:rPr>
        <w:t>Crisis Analysis: The Global Financial Crisis</w:t>
      </w:r>
      <w:r>
        <w:rPr>
          <w:rFonts w:asciiTheme="majorBidi" w:eastAsia="SimSun" w:hAnsiTheme="majorBidi" w:cstheme="majorBidi"/>
          <w:b/>
          <w:bCs/>
          <w:i/>
          <w:sz w:val="24"/>
          <w:szCs w:val="24"/>
          <w:lang w:val="en-GB"/>
        </w:rPr>
        <w:t xml:space="preserve"> </w:t>
      </w:r>
      <w:r w:rsidRPr="000C5830">
        <w:rPr>
          <w:rFonts w:asciiTheme="majorBidi" w:eastAsia="SimSun" w:hAnsiTheme="majorBidi" w:cstheme="majorBidi"/>
          <w:b/>
          <w:bCs/>
          <w:i/>
          <w:sz w:val="24"/>
          <w:szCs w:val="24"/>
          <w:lang w:val="en-GB"/>
        </w:rPr>
        <w:t>(GFC)</w:t>
      </w:r>
    </w:p>
    <w:p w:rsidR="007F433F" w:rsidRDefault="007F433F" w:rsidP="007F433F">
      <w:pPr>
        <w:snapToGrid w:val="0"/>
        <w:spacing w:after="0" w:line="480" w:lineRule="auto"/>
        <w:ind w:firstLine="567"/>
        <w:jc w:val="both"/>
        <w:rPr>
          <w:rFonts w:asciiTheme="majorBidi" w:eastAsia="SimSun" w:hAnsiTheme="majorBidi" w:cstheme="majorBidi"/>
          <w:sz w:val="24"/>
          <w:szCs w:val="24"/>
          <w:lang w:val="en-GB"/>
        </w:rPr>
      </w:pPr>
      <w:r w:rsidRPr="00C52FDB">
        <w:rPr>
          <w:rFonts w:asciiTheme="majorBidi" w:eastAsia="SimSun" w:hAnsiTheme="majorBidi" w:cstheme="majorBidi"/>
          <w:sz w:val="24"/>
          <w:szCs w:val="24"/>
          <w:lang w:val="en-GB"/>
        </w:rPr>
        <w:t>In the previous analysis, we consider three volatile period</w:t>
      </w:r>
      <w:r>
        <w:rPr>
          <w:rFonts w:asciiTheme="majorBidi" w:eastAsia="SimSun" w:hAnsiTheme="majorBidi" w:cstheme="majorBidi"/>
          <w:sz w:val="24"/>
          <w:szCs w:val="24"/>
          <w:lang w:val="en-GB"/>
        </w:rPr>
        <w:t>s</w:t>
      </w:r>
      <w:r w:rsidRPr="00C52FDB">
        <w:rPr>
          <w:rFonts w:asciiTheme="majorBidi" w:eastAsia="SimSun" w:hAnsiTheme="majorBidi" w:cstheme="majorBidi"/>
          <w:sz w:val="24"/>
          <w:szCs w:val="24"/>
          <w:lang w:val="en-GB"/>
        </w:rPr>
        <w:t xml:space="preserve"> in our sample, the 1997 Asian crisis, the 2001 Dot.com crisis and the 2007 GFC. Out of the three cris</w:t>
      </w:r>
      <w:r>
        <w:rPr>
          <w:rFonts w:asciiTheme="majorBidi" w:eastAsia="SimSun" w:hAnsiTheme="majorBidi" w:cstheme="majorBidi"/>
          <w:sz w:val="24"/>
          <w:szCs w:val="24"/>
          <w:lang w:val="en-GB"/>
        </w:rPr>
        <w:t>es</w:t>
      </w:r>
      <w:r w:rsidRPr="00C52FDB">
        <w:rPr>
          <w:rFonts w:asciiTheme="majorBidi" w:eastAsia="SimSun" w:hAnsiTheme="majorBidi" w:cstheme="majorBidi"/>
          <w:sz w:val="24"/>
          <w:szCs w:val="24"/>
          <w:lang w:val="en-GB"/>
        </w:rPr>
        <w:t>, we now focus the risk analysis on the most significant crisis that the industry was faced with</w:t>
      </w:r>
      <w:r>
        <w:rPr>
          <w:rFonts w:asciiTheme="majorBidi" w:eastAsia="SimSun" w:hAnsiTheme="majorBidi" w:cstheme="majorBidi"/>
          <w:sz w:val="24"/>
          <w:szCs w:val="24"/>
          <w:lang w:val="en-GB"/>
        </w:rPr>
        <w:t>,</w:t>
      </w:r>
      <w:r w:rsidRPr="00C52FDB">
        <w:rPr>
          <w:rFonts w:asciiTheme="majorBidi" w:eastAsia="SimSun" w:hAnsiTheme="majorBidi" w:cstheme="majorBidi"/>
          <w:sz w:val="24"/>
          <w:szCs w:val="24"/>
          <w:lang w:val="en-GB"/>
        </w:rPr>
        <w:t xml:space="preserve"> that is the 2007 GFC. </w:t>
      </w:r>
      <w:r>
        <w:rPr>
          <w:rFonts w:asciiTheme="majorBidi" w:eastAsia="SimSun" w:hAnsiTheme="majorBidi" w:cstheme="majorBidi"/>
          <w:sz w:val="24"/>
          <w:szCs w:val="24"/>
          <w:lang w:val="en-GB"/>
        </w:rPr>
        <w:t xml:space="preserve">Because </w:t>
      </w:r>
      <w:r w:rsidRPr="00C52FDB">
        <w:rPr>
          <w:rFonts w:asciiTheme="majorBidi" w:eastAsia="SimSun" w:hAnsiTheme="majorBidi" w:cstheme="majorBidi"/>
          <w:sz w:val="24"/>
          <w:szCs w:val="24"/>
          <w:lang w:val="en-GB"/>
        </w:rPr>
        <w:t xml:space="preserve">Australian </w:t>
      </w:r>
      <w:r>
        <w:rPr>
          <w:rFonts w:asciiTheme="majorBidi" w:eastAsia="SimSun" w:hAnsiTheme="majorBidi" w:cstheme="majorBidi"/>
          <w:sz w:val="24"/>
          <w:szCs w:val="24"/>
          <w:lang w:val="en-GB"/>
        </w:rPr>
        <w:t>s</w:t>
      </w:r>
      <w:r w:rsidRPr="00C52FDB">
        <w:rPr>
          <w:rFonts w:asciiTheme="majorBidi" w:eastAsia="SimSun" w:hAnsiTheme="majorBidi" w:cstheme="majorBidi"/>
          <w:sz w:val="24"/>
          <w:szCs w:val="24"/>
          <w:lang w:val="en-GB"/>
        </w:rPr>
        <w:t>uper</w:t>
      </w:r>
      <w:r>
        <w:rPr>
          <w:rFonts w:asciiTheme="majorBidi" w:eastAsia="SimSun" w:hAnsiTheme="majorBidi" w:cstheme="majorBidi"/>
          <w:sz w:val="24"/>
          <w:szCs w:val="24"/>
          <w:lang w:val="en-GB"/>
        </w:rPr>
        <w:t xml:space="preserve">annuation </w:t>
      </w:r>
      <w:r w:rsidRPr="00C52FDB">
        <w:rPr>
          <w:rFonts w:asciiTheme="majorBidi" w:eastAsia="SimSun" w:hAnsiTheme="majorBidi" w:cstheme="majorBidi"/>
          <w:sz w:val="24"/>
          <w:szCs w:val="24"/>
          <w:lang w:val="en-GB"/>
        </w:rPr>
        <w:t>funds tend to invest in growth assets as compared to the rest of the world, it has been clearly established that when the GFC hit in 2007, the Australia</w:t>
      </w:r>
      <w:r>
        <w:rPr>
          <w:rFonts w:asciiTheme="majorBidi" w:eastAsia="SimSun" w:hAnsiTheme="majorBidi" w:cstheme="majorBidi"/>
          <w:sz w:val="24"/>
          <w:szCs w:val="24"/>
          <w:lang w:val="en-GB"/>
        </w:rPr>
        <w:t>n</w:t>
      </w:r>
      <w:r w:rsidRPr="00C52FDB">
        <w:rPr>
          <w:rFonts w:asciiTheme="majorBidi" w:eastAsia="SimSun" w:hAnsiTheme="majorBidi" w:cstheme="majorBidi"/>
          <w:sz w:val="24"/>
          <w:szCs w:val="24"/>
          <w:lang w:val="en-GB"/>
        </w:rPr>
        <w:t xml:space="preserve"> superannuation industry suffered huge losses as compared to the rest of </w:t>
      </w:r>
      <w:r>
        <w:rPr>
          <w:rFonts w:asciiTheme="majorBidi" w:eastAsia="SimSun" w:hAnsiTheme="majorBidi" w:cstheme="majorBidi"/>
          <w:sz w:val="24"/>
          <w:szCs w:val="24"/>
          <w:lang w:val="en-GB"/>
        </w:rPr>
        <w:t>the</w:t>
      </w:r>
      <w:r w:rsidRPr="00C52FDB">
        <w:rPr>
          <w:rFonts w:asciiTheme="majorBidi" w:eastAsia="SimSun" w:hAnsiTheme="majorBidi" w:cstheme="majorBidi"/>
          <w:sz w:val="24"/>
          <w:szCs w:val="24"/>
          <w:lang w:val="en-GB"/>
        </w:rPr>
        <w:t xml:space="preserve"> world</w:t>
      </w:r>
      <w:r>
        <w:rPr>
          <w:rFonts w:asciiTheme="majorBidi" w:eastAsia="SimSun" w:hAnsiTheme="majorBidi" w:cstheme="majorBidi"/>
          <w:sz w:val="24"/>
          <w:szCs w:val="24"/>
          <w:lang w:val="en-GB"/>
        </w:rPr>
        <w:t>.</w:t>
      </w:r>
      <w:r w:rsidRPr="00C52FDB">
        <w:rPr>
          <w:rFonts w:asciiTheme="majorBidi" w:eastAsia="SimSun" w:hAnsiTheme="majorBidi" w:cstheme="majorBidi"/>
          <w:sz w:val="24"/>
          <w:szCs w:val="24"/>
          <w:lang w:val="en-GB"/>
        </w:rPr>
        <w:t xml:space="preserve"> </w:t>
      </w:r>
      <w:r w:rsidRPr="00145E27">
        <w:rPr>
          <w:rFonts w:ascii="Times New Roman" w:hAnsi="Times New Roman"/>
          <w:bCs/>
          <w:sz w:val="24"/>
          <w:lang w:eastAsia="en-US"/>
        </w:rPr>
        <w:t xml:space="preserve">From the end of 2007 to mid-2012, Australia's superannuation funds </w:t>
      </w:r>
      <w:r>
        <w:rPr>
          <w:rFonts w:ascii="Times New Roman" w:hAnsi="Times New Roman"/>
          <w:bCs/>
          <w:sz w:val="24"/>
          <w:lang w:eastAsia="en-US"/>
        </w:rPr>
        <w:t>lost</w:t>
      </w:r>
      <w:r w:rsidRPr="00145E27">
        <w:rPr>
          <w:rFonts w:ascii="Times New Roman" w:hAnsi="Times New Roman"/>
          <w:bCs/>
          <w:sz w:val="24"/>
          <w:lang w:eastAsia="en-US"/>
        </w:rPr>
        <w:t xml:space="preserve"> an average of 4.5 per </w:t>
      </w:r>
      <w:r w:rsidRPr="00145E27">
        <w:rPr>
          <w:rFonts w:ascii="Times New Roman" w:hAnsi="Times New Roman"/>
          <w:bCs/>
          <w:sz w:val="24"/>
          <w:lang w:eastAsia="en-US"/>
        </w:rPr>
        <w:lastRenderedPageBreak/>
        <w:t>cent a year, much worse than the advanced countries average of 1.6 per cent</w:t>
      </w:r>
      <w:r>
        <w:rPr>
          <w:rStyle w:val="FootnoteReference"/>
          <w:rFonts w:ascii="Times New Roman" w:hAnsi="Times New Roman"/>
          <w:bCs/>
          <w:sz w:val="24"/>
          <w:lang w:eastAsia="en-US"/>
        </w:rPr>
        <w:footnoteReference w:id="13"/>
      </w:r>
      <w:r>
        <w:rPr>
          <w:rFonts w:ascii="Times New Roman" w:hAnsi="Times New Roman"/>
          <w:bCs/>
          <w:sz w:val="24"/>
          <w:lang w:eastAsia="en-US"/>
        </w:rPr>
        <w:t xml:space="preserve">. </w:t>
      </w:r>
      <w:proofErr w:type="spellStart"/>
      <w:r w:rsidRPr="002D3143">
        <w:rPr>
          <w:rFonts w:asciiTheme="majorBidi" w:eastAsia="SimSun" w:hAnsiTheme="majorBidi" w:cstheme="majorBidi"/>
          <w:sz w:val="24"/>
          <w:szCs w:val="24"/>
          <w:lang w:val="en-GB"/>
        </w:rPr>
        <w:t>Gerrans</w:t>
      </w:r>
      <w:proofErr w:type="spellEnd"/>
      <w:r w:rsidRPr="002D3143">
        <w:rPr>
          <w:rFonts w:asciiTheme="majorBidi" w:eastAsia="SimSun" w:hAnsiTheme="majorBidi" w:cstheme="majorBidi"/>
          <w:sz w:val="24"/>
          <w:szCs w:val="24"/>
          <w:lang w:val="en-GB"/>
        </w:rPr>
        <w:t xml:space="preserve">, Faff, and Hartnett (2015) tested the individual financial risk tolerance during the crisis using a risk tolerance survey. The results show that the crisis had an impact on the investors, however, the results </w:t>
      </w:r>
      <w:r>
        <w:rPr>
          <w:rFonts w:asciiTheme="majorBidi" w:eastAsia="SimSun" w:hAnsiTheme="majorBidi" w:cstheme="majorBidi"/>
          <w:sz w:val="24"/>
          <w:szCs w:val="24"/>
          <w:lang w:val="en-GB"/>
        </w:rPr>
        <w:t>are</w:t>
      </w:r>
      <w:r w:rsidRPr="002D3143">
        <w:rPr>
          <w:rFonts w:asciiTheme="majorBidi" w:eastAsia="SimSun" w:hAnsiTheme="majorBidi" w:cstheme="majorBidi"/>
          <w:sz w:val="24"/>
          <w:szCs w:val="24"/>
          <w:lang w:val="en-GB"/>
        </w:rPr>
        <w:t xml:space="preserve"> inconclusive in terms of how the crisis ha</w:t>
      </w:r>
      <w:r>
        <w:rPr>
          <w:rFonts w:asciiTheme="majorBidi" w:eastAsia="SimSun" w:hAnsiTheme="majorBidi" w:cstheme="majorBidi"/>
          <w:sz w:val="24"/>
          <w:szCs w:val="24"/>
          <w:lang w:val="en-GB"/>
        </w:rPr>
        <w:t>d</w:t>
      </w:r>
      <w:r w:rsidRPr="002D3143">
        <w:rPr>
          <w:rFonts w:asciiTheme="majorBidi" w:eastAsia="SimSun" w:hAnsiTheme="majorBidi" w:cstheme="majorBidi"/>
          <w:sz w:val="24"/>
          <w:szCs w:val="24"/>
          <w:lang w:val="en-GB"/>
        </w:rPr>
        <w:t xml:space="preserve"> an impact on asset allocation decisions.</w:t>
      </w:r>
      <w:r>
        <w:rPr>
          <w:rFonts w:asciiTheme="majorBidi" w:eastAsia="SimSun" w:hAnsiTheme="majorBidi" w:cstheme="majorBidi"/>
          <w:sz w:val="24"/>
          <w:szCs w:val="24"/>
          <w:lang w:val="en-GB"/>
        </w:rPr>
        <w:t xml:space="preserve"> As such, in our study, we focus on how the risk varies across the investment options as defined using the two methods of classification and report the results in table 5 (classification as per </w:t>
      </w:r>
      <w:proofErr w:type="spellStart"/>
      <w:r>
        <w:rPr>
          <w:rFonts w:asciiTheme="majorBidi" w:eastAsia="SimSun" w:hAnsiTheme="majorBidi" w:cstheme="majorBidi"/>
          <w:sz w:val="24"/>
          <w:szCs w:val="24"/>
          <w:lang w:val="en-GB"/>
        </w:rPr>
        <w:t>Canstar</w:t>
      </w:r>
      <w:proofErr w:type="spellEnd"/>
      <w:r>
        <w:rPr>
          <w:rFonts w:asciiTheme="majorBidi" w:eastAsia="SimSun" w:hAnsiTheme="majorBidi" w:cstheme="majorBidi"/>
          <w:sz w:val="24"/>
          <w:szCs w:val="24"/>
          <w:lang w:val="en-GB"/>
        </w:rPr>
        <w:t xml:space="preserve">) and table 6 (classification as per ASIC). Similar to the previous analysis, we have a non-crisis analysis and a crisis analysis, however the definition of non-crisis and crisis here is different. The non-crisis period in table 5 and table 6 is the </w:t>
      </w:r>
      <w:r w:rsidRPr="006A7469">
        <w:rPr>
          <w:rFonts w:asciiTheme="majorBidi" w:eastAsia="SimSun" w:hAnsiTheme="majorBidi" w:cstheme="majorBidi"/>
          <w:sz w:val="24"/>
          <w:szCs w:val="24"/>
          <w:lang w:val="en-GB"/>
        </w:rPr>
        <w:t>6-month period prior to GFC and 6-month period post GFC</w:t>
      </w:r>
      <w:r>
        <w:rPr>
          <w:rFonts w:asciiTheme="majorBidi" w:eastAsia="SimSun" w:hAnsiTheme="majorBidi" w:cstheme="majorBidi"/>
          <w:sz w:val="24"/>
          <w:szCs w:val="24"/>
          <w:lang w:val="en-GB"/>
        </w:rPr>
        <w:t xml:space="preserve">. The crisis analysis for both tables here is the period of the GFC only which is January 2007-September 2009. Analysis of table 3 confirms our initial observation that beta increases as the investment changes from moderate to aggressive options. For both non-crisis periods, holding investment in the higher risk (CAPM beta of 0.9143 for aggressive option) will lead to a higher expected return (CAPM beta of 0.3562 for moderate option). The CAPM model in table 6 which classifies the investment options slightly differently using the ASIC definitions of investment options shows similar results with the moderate option in table 6 non-crisis analysis, has a beta of 0.3143 and the aggressive option a beta of 0.9249. However, a significant observation is the difference we obtain in the results when we compare the non-crisis and crisis period, in contrast to the results in table 3 and table 4, is that, in the </w:t>
      </w:r>
      <w:r w:rsidRPr="008C5364">
        <w:rPr>
          <w:rFonts w:asciiTheme="majorBidi" w:eastAsia="SimSun" w:hAnsiTheme="majorBidi" w:cstheme="majorBidi"/>
          <w:sz w:val="24"/>
          <w:szCs w:val="24"/>
          <w:lang w:val="en-GB"/>
        </w:rPr>
        <w:t>GFC analysis</w:t>
      </w:r>
      <w:r>
        <w:rPr>
          <w:rFonts w:asciiTheme="majorBidi" w:eastAsia="SimSun" w:hAnsiTheme="majorBidi" w:cstheme="majorBidi"/>
          <w:sz w:val="24"/>
          <w:szCs w:val="24"/>
          <w:lang w:val="en-GB"/>
        </w:rPr>
        <w:t xml:space="preserve">, risk estimates seem to be model sensitive for this sample. It seems that only the </w:t>
      </w:r>
      <w:r w:rsidRPr="008C5364">
        <w:rPr>
          <w:rFonts w:asciiTheme="majorBidi" w:eastAsia="SimSun" w:hAnsiTheme="majorBidi" w:cstheme="majorBidi"/>
          <w:sz w:val="24"/>
          <w:szCs w:val="24"/>
          <w:lang w:val="en-GB"/>
        </w:rPr>
        <w:t>FF</w:t>
      </w:r>
      <w:r>
        <w:rPr>
          <w:rFonts w:asciiTheme="majorBidi" w:eastAsia="SimSun" w:hAnsiTheme="majorBidi" w:cstheme="majorBidi"/>
          <w:sz w:val="24"/>
          <w:szCs w:val="24"/>
          <w:lang w:val="en-GB"/>
        </w:rPr>
        <w:t xml:space="preserve"> </w:t>
      </w:r>
      <w:r w:rsidRPr="008C5364">
        <w:rPr>
          <w:rFonts w:asciiTheme="majorBidi" w:eastAsia="SimSun" w:hAnsiTheme="majorBidi" w:cstheme="majorBidi"/>
          <w:sz w:val="24"/>
          <w:szCs w:val="24"/>
          <w:lang w:val="en-GB"/>
        </w:rPr>
        <w:t>five factor</w:t>
      </w:r>
      <w:r>
        <w:rPr>
          <w:rFonts w:asciiTheme="majorBidi" w:eastAsia="SimSun" w:hAnsiTheme="majorBidi" w:cstheme="majorBidi"/>
          <w:sz w:val="24"/>
          <w:szCs w:val="24"/>
          <w:lang w:val="en-GB"/>
        </w:rPr>
        <w:t xml:space="preserve"> model </w:t>
      </w:r>
      <w:r w:rsidRPr="008C5364">
        <w:rPr>
          <w:rFonts w:asciiTheme="majorBidi" w:eastAsia="SimSun" w:hAnsiTheme="majorBidi" w:cstheme="majorBidi"/>
          <w:sz w:val="24"/>
          <w:szCs w:val="24"/>
          <w:lang w:val="en-GB"/>
        </w:rPr>
        <w:t>favours the higher risk higher return theory that is the beta of the GFC period is higher than non-crisis period only in the FF five factor estimate</w:t>
      </w:r>
      <w:r>
        <w:rPr>
          <w:rFonts w:asciiTheme="majorBidi" w:eastAsia="SimSun" w:hAnsiTheme="majorBidi" w:cstheme="majorBidi"/>
          <w:sz w:val="24"/>
          <w:szCs w:val="24"/>
          <w:lang w:val="en-GB"/>
        </w:rPr>
        <w:t xml:space="preserve">. The estimation using </w:t>
      </w:r>
      <w:r w:rsidRPr="008C5364">
        <w:rPr>
          <w:rFonts w:asciiTheme="majorBidi" w:eastAsia="SimSun" w:hAnsiTheme="majorBidi" w:cstheme="majorBidi"/>
          <w:sz w:val="24"/>
          <w:szCs w:val="24"/>
          <w:lang w:val="en-GB"/>
        </w:rPr>
        <w:t>CAPM</w:t>
      </w:r>
      <w:r>
        <w:rPr>
          <w:rFonts w:asciiTheme="majorBidi" w:eastAsia="SimSun" w:hAnsiTheme="majorBidi" w:cstheme="majorBidi"/>
          <w:sz w:val="24"/>
          <w:szCs w:val="24"/>
          <w:lang w:val="en-GB"/>
        </w:rPr>
        <w:t>, FF three factors and FF four</w:t>
      </w:r>
      <w:r w:rsidRPr="008C5364">
        <w:rPr>
          <w:rFonts w:asciiTheme="majorBidi" w:eastAsia="SimSun" w:hAnsiTheme="majorBidi" w:cstheme="majorBidi"/>
          <w:sz w:val="24"/>
          <w:szCs w:val="24"/>
          <w:lang w:val="en-GB"/>
        </w:rPr>
        <w:t xml:space="preserve"> factor</w:t>
      </w:r>
      <w:r>
        <w:rPr>
          <w:rFonts w:asciiTheme="majorBidi" w:eastAsia="SimSun" w:hAnsiTheme="majorBidi" w:cstheme="majorBidi"/>
          <w:sz w:val="24"/>
          <w:szCs w:val="24"/>
          <w:lang w:val="en-GB"/>
        </w:rPr>
        <w:t>s</w:t>
      </w:r>
      <w:r w:rsidRPr="008C5364">
        <w:rPr>
          <w:rFonts w:asciiTheme="majorBidi" w:eastAsia="SimSun" w:hAnsiTheme="majorBidi" w:cstheme="majorBidi"/>
          <w:sz w:val="24"/>
          <w:szCs w:val="24"/>
          <w:lang w:val="en-GB"/>
        </w:rPr>
        <w:t xml:space="preserve"> shows the </w:t>
      </w:r>
      <w:proofErr w:type="gramStart"/>
      <w:r w:rsidRPr="008C5364">
        <w:rPr>
          <w:rFonts w:asciiTheme="majorBidi" w:eastAsia="SimSun" w:hAnsiTheme="majorBidi" w:cstheme="majorBidi"/>
          <w:sz w:val="24"/>
          <w:szCs w:val="24"/>
          <w:lang w:val="en-GB"/>
        </w:rPr>
        <w:t>contrary</w:t>
      </w:r>
      <w:r>
        <w:rPr>
          <w:rFonts w:asciiTheme="majorBidi" w:eastAsia="SimSun" w:hAnsiTheme="majorBidi" w:cstheme="majorBidi"/>
          <w:sz w:val="24"/>
          <w:szCs w:val="24"/>
          <w:lang w:val="en-GB"/>
        </w:rPr>
        <w:t xml:space="preserve">, </w:t>
      </w:r>
      <w:r w:rsidRPr="008C5364">
        <w:rPr>
          <w:rFonts w:asciiTheme="majorBidi" w:eastAsia="SimSun" w:hAnsiTheme="majorBidi" w:cstheme="majorBidi"/>
          <w:sz w:val="24"/>
          <w:szCs w:val="24"/>
          <w:lang w:val="en-GB"/>
        </w:rPr>
        <w:t>that</w:t>
      </w:r>
      <w:proofErr w:type="gramEnd"/>
      <w:r w:rsidRPr="008C5364">
        <w:rPr>
          <w:rFonts w:asciiTheme="majorBidi" w:eastAsia="SimSun" w:hAnsiTheme="majorBidi" w:cstheme="majorBidi"/>
          <w:sz w:val="24"/>
          <w:szCs w:val="24"/>
          <w:lang w:val="en-GB"/>
        </w:rPr>
        <w:t xml:space="preserve"> is a higher beta for non-crisis </w:t>
      </w:r>
      <w:r w:rsidRPr="008C5364">
        <w:rPr>
          <w:rFonts w:asciiTheme="majorBidi" w:eastAsia="SimSun" w:hAnsiTheme="majorBidi" w:cstheme="majorBidi"/>
          <w:sz w:val="24"/>
          <w:szCs w:val="24"/>
          <w:lang w:val="en-GB"/>
        </w:rPr>
        <w:lastRenderedPageBreak/>
        <w:t xml:space="preserve">period than crisis period irrespective of the method to classify investment options.  </w:t>
      </w:r>
      <w:r>
        <w:rPr>
          <w:rFonts w:asciiTheme="majorBidi" w:eastAsia="SimSun" w:hAnsiTheme="majorBidi" w:cstheme="majorBidi"/>
          <w:sz w:val="24"/>
          <w:szCs w:val="24"/>
          <w:lang w:val="en-GB"/>
        </w:rPr>
        <w:t xml:space="preserve">The non-crisis beta estimate using the FF five factor for moderate in the non–crisis period is 0.3064 (crisis beta is 0.3940) and for the aggressive option under the non-crisis period the beta estimate is 0.7580 (versus the crisis period beta of 0.9485). We have similar results in table 6, the non-crisis beta for moderate option is 0.2701 and aggressive is 0.7751 and the crisis beta for moderate option is 0.3661 and for the aggressive option it is 0.9612. Further, the SMB coefficient is different as compared to table 3 and table 4. We have a positive SMB coefficient that is, the portfolio of equity investment is predominantly small cap stock. The HML coefficient is mostly positive for the non-crisis analysis that is value stocks are dominant and the crisis period we have a shift to negative HML coefficient in a crisis period that is predominantly growth stock. The profitability coefficient (RMW coefficient) is similar to the previous analysis that is the higher the profitability the higher the expected return. However, the CMA coefficient is all positive across both table 5 and table 6 (except for the aggressive option in the non-crisis analysis for table 5), that is, the higher the amount reinvested, the higher the expected return. Hence, by applying the FF five factor model to the Australian investment options, we show support for the FF five factors in the risk estimation of Australian superannuation funds. Our results on the empirical modelling using FF five factors support the results the of </w:t>
      </w:r>
      <w:proofErr w:type="spellStart"/>
      <w:r>
        <w:rPr>
          <w:rFonts w:asciiTheme="majorBidi" w:eastAsia="SimSun" w:hAnsiTheme="majorBidi" w:cstheme="majorBidi"/>
          <w:sz w:val="24"/>
          <w:szCs w:val="24"/>
          <w:lang w:val="en-GB"/>
        </w:rPr>
        <w:t>Chiah</w:t>
      </w:r>
      <w:proofErr w:type="spellEnd"/>
      <w:r>
        <w:rPr>
          <w:rFonts w:asciiTheme="majorBidi" w:eastAsia="SimSun" w:hAnsiTheme="majorBidi" w:cstheme="majorBidi"/>
          <w:sz w:val="24"/>
          <w:szCs w:val="24"/>
          <w:lang w:val="en-GB"/>
        </w:rPr>
        <w:t xml:space="preserve">, Chia and </w:t>
      </w:r>
      <w:proofErr w:type="spellStart"/>
      <w:r>
        <w:rPr>
          <w:rFonts w:asciiTheme="majorBidi" w:eastAsia="SimSun" w:hAnsiTheme="majorBidi" w:cstheme="majorBidi"/>
          <w:sz w:val="24"/>
          <w:szCs w:val="24"/>
          <w:lang w:val="en-GB"/>
        </w:rPr>
        <w:t>Zhong</w:t>
      </w:r>
      <w:proofErr w:type="spellEnd"/>
      <w:r>
        <w:rPr>
          <w:rFonts w:asciiTheme="majorBidi" w:eastAsia="SimSun" w:hAnsiTheme="majorBidi" w:cstheme="majorBidi"/>
          <w:sz w:val="24"/>
          <w:szCs w:val="24"/>
          <w:lang w:val="en-GB"/>
        </w:rPr>
        <w:t xml:space="preserve"> (2016), highlighting in the Australian market, that the FF </w:t>
      </w:r>
      <w:r w:rsidRPr="00AB04B8">
        <w:rPr>
          <w:rFonts w:asciiTheme="majorBidi" w:eastAsia="SimSun" w:hAnsiTheme="majorBidi" w:cstheme="majorBidi"/>
          <w:sz w:val="24"/>
          <w:szCs w:val="24"/>
          <w:lang w:val="en-GB"/>
        </w:rPr>
        <w:t>five-factor model is able to</w:t>
      </w:r>
      <w:r>
        <w:rPr>
          <w:rFonts w:asciiTheme="majorBidi" w:eastAsia="SimSun" w:hAnsiTheme="majorBidi" w:cstheme="majorBidi"/>
          <w:sz w:val="24"/>
          <w:szCs w:val="24"/>
          <w:lang w:val="en-GB"/>
        </w:rPr>
        <w:t xml:space="preserve"> </w:t>
      </w:r>
      <w:r w:rsidRPr="00AB04B8">
        <w:rPr>
          <w:rFonts w:asciiTheme="majorBidi" w:eastAsia="SimSun" w:hAnsiTheme="majorBidi" w:cstheme="majorBidi"/>
          <w:sz w:val="24"/>
          <w:szCs w:val="24"/>
          <w:lang w:val="en-GB"/>
        </w:rPr>
        <w:t>explain more asset-pricing anomal</w:t>
      </w:r>
      <w:r>
        <w:rPr>
          <w:rFonts w:asciiTheme="majorBidi" w:eastAsia="SimSun" w:hAnsiTheme="majorBidi" w:cstheme="majorBidi"/>
          <w:sz w:val="24"/>
          <w:szCs w:val="24"/>
          <w:lang w:val="en-GB"/>
        </w:rPr>
        <w:t xml:space="preserve">ies than the three-factor model and in our study the five factor model is better than the CAPM and the FF four factor model as well and this is irrespective of the method we use to classify investment options. </w:t>
      </w:r>
    </w:p>
    <w:p w:rsidR="007F433F" w:rsidRPr="00AB04B8" w:rsidRDefault="007F433F" w:rsidP="007F433F">
      <w:pPr>
        <w:pStyle w:val="ListParagraph"/>
        <w:numPr>
          <w:ilvl w:val="0"/>
          <w:numId w:val="3"/>
        </w:numPr>
        <w:snapToGrid w:val="0"/>
        <w:spacing w:after="0" w:line="480" w:lineRule="auto"/>
        <w:rPr>
          <w:rFonts w:asciiTheme="majorBidi" w:eastAsia="SimSun" w:hAnsiTheme="majorBidi" w:cstheme="majorBidi"/>
          <w:b/>
          <w:bCs/>
          <w:sz w:val="24"/>
          <w:szCs w:val="24"/>
          <w:lang w:val="en-GB"/>
        </w:rPr>
      </w:pPr>
      <w:r w:rsidRPr="00AB04B8">
        <w:rPr>
          <w:rFonts w:asciiTheme="majorBidi" w:eastAsia="SimSun" w:hAnsiTheme="majorBidi" w:cstheme="majorBidi"/>
          <w:b/>
          <w:bCs/>
          <w:sz w:val="24"/>
          <w:szCs w:val="24"/>
          <w:lang w:val="en-GB"/>
        </w:rPr>
        <w:t>Conclusion</w:t>
      </w:r>
    </w:p>
    <w:p w:rsidR="007F433F" w:rsidRDefault="007F433F" w:rsidP="007F433F">
      <w:pPr>
        <w:snapToGrid w:val="0"/>
        <w:spacing w:after="0" w:line="480" w:lineRule="auto"/>
        <w:ind w:firstLine="720"/>
        <w:jc w:val="both"/>
        <w:rPr>
          <w:rFonts w:asciiTheme="majorBidi" w:eastAsia="SimSun" w:hAnsiTheme="majorBidi" w:cstheme="majorBidi"/>
          <w:sz w:val="24"/>
          <w:szCs w:val="24"/>
          <w:lang w:val="en-GB"/>
        </w:rPr>
      </w:pPr>
      <w:r>
        <w:rPr>
          <w:rFonts w:asciiTheme="majorBidi" w:eastAsia="SimSun" w:hAnsiTheme="majorBidi" w:cstheme="majorBidi"/>
          <w:sz w:val="24"/>
          <w:szCs w:val="24"/>
          <w:lang w:val="en-GB"/>
        </w:rPr>
        <w:t xml:space="preserve">We provide a comprehensive and more consistent method of analysing the risk of investment options of Australian superannuation funds which allows a better comparison of the risk profile. Our research has implications from both a practical and empirical perspective. </w:t>
      </w:r>
      <w:r>
        <w:rPr>
          <w:rFonts w:asciiTheme="majorBidi" w:eastAsia="SimSun" w:hAnsiTheme="majorBidi" w:cstheme="majorBidi"/>
          <w:sz w:val="24"/>
          <w:szCs w:val="24"/>
          <w:lang w:val="en-GB"/>
        </w:rPr>
        <w:lastRenderedPageBreak/>
        <w:t xml:space="preserve">We address some key challenges that the Australian superannuation fund industry is faced with, in particular: (1) is there a consistent method of classifying the growth assets which allows comparison of the risk associated with the portfolios of the superfunds and (2) does the varying percentages that Australian superannuation funds use to define the investment option for example, does a 41-60 % in growth assets definition for a balanced fund as compared to a 31-70% impact on the risk assessment over the long term. From an empirical perspective, our modelling captures the movement in the asset classes over time as the superannuation fund change their asset allocations. We equally use alternative methods of estimation including the CAPM, FF three factor, </w:t>
      </w:r>
      <w:proofErr w:type="gramStart"/>
      <w:r>
        <w:rPr>
          <w:rFonts w:asciiTheme="majorBidi" w:eastAsia="SimSun" w:hAnsiTheme="majorBidi" w:cstheme="majorBidi"/>
          <w:sz w:val="24"/>
          <w:szCs w:val="24"/>
          <w:lang w:val="en-GB"/>
        </w:rPr>
        <w:t>FF</w:t>
      </w:r>
      <w:proofErr w:type="gramEnd"/>
      <w:r>
        <w:rPr>
          <w:rFonts w:asciiTheme="majorBidi" w:eastAsia="SimSun" w:hAnsiTheme="majorBidi" w:cstheme="majorBidi"/>
          <w:sz w:val="24"/>
          <w:szCs w:val="24"/>
          <w:lang w:val="en-GB"/>
        </w:rPr>
        <w:t xml:space="preserve"> four factor and FF five factor model. </w:t>
      </w:r>
    </w:p>
    <w:p w:rsidR="007F433F" w:rsidRDefault="007F433F" w:rsidP="007F433F">
      <w:pPr>
        <w:pStyle w:val="BodyText"/>
        <w:spacing w:after="0" w:line="480" w:lineRule="auto"/>
        <w:ind w:firstLine="720"/>
        <w:jc w:val="both"/>
        <w:rPr>
          <w:rFonts w:asciiTheme="majorBidi" w:eastAsia="Arial" w:hAnsiTheme="majorBidi" w:cstheme="majorBidi"/>
          <w:color w:val="000000"/>
          <w:w w:val="105"/>
          <w:sz w:val="24"/>
          <w:szCs w:val="24"/>
          <w:lang w:val="en-US" w:eastAsia="en-US"/>
        </w:rPr>
      </w:pPr>
      <w:r w:rsidRPr="007062AE">
        <w:rPr>
          <w:rFonts w:asciiTheme="majorBidi" w:eastAsia="Arial" w:hAnsiTheme="majorBidi" w:cstheme="majorBidi"/>
          <w:color w:val="000000"/>
          <w:w w:val="105"/>
          <w:sz w:val="24"/>
          <w:szCs w:val="24"/>
          <w:lang w:val="en-GB" w:eastAsia="en-US"/>
        </w:rPr>
        <w:t>In summary</w:t>
      </w:r>
      <w:r>
        <w:rPr>
          <w:rFonts w:asciiTheme="majorBidi" w:eastAsia="Arial" w:hAnsiTheme="majorBidi" w:cstheme="majorBidi"/>
          <w:color w:val="000000"/>
          <w:w w:val="105"/>
          <w:sz w:val="24"/>
          <w:szCs w:val="24"/>
          <w:lang w:val="en-GB" w:eastAsia="en-US"/>
        </w:rPr>
        <w:t>,</w:t>
      </w:r>
      <w:r w:rsidRPr="007062AE">
        <w:rPr>
          <w:rFonts w:asciiTheme="majorBidi" w:eastAsia="Arial" w:hAnsiTheme="majorBidi" w:cstheme="majorBidi"/>
          <w:color w:val="000000"/>
          <w:w w:val="105"/>
          <w:sz w:val="24"/>
          <w:szCs w:val="24"/>
          <w:lang w:val="en-GB" w:eastAsia="en-US"/>
        </w:rPr>
        <w:t xml:space="preserve"> the key research question</w:t>
      </w:r>
      <w:r>
        <w:rPr>
          <w:rFonts w:asciiTheme="majorBidi" w:eastAsia="Arial" w:hAnsiTheme="majorBidi" w:cstheme="majorBidi"/>
          <w:color w:val="000000"/>
          <w:w w:val="105"/>
          <w:sz w:val="24"/>
          <w:szCs w:val="24"/>
          <w:lang w:val="en-GB" w:eastAsia="en-US"/>
        </w:rPr>
        <w:t>s</w:t>
      </w:r>
      <w:r w:rsidRPr="007062AE">
        <w:rPr>
          <w:rFonts w:asciiTheme="majorBidi" w:eastAsia="Arial" w:hAnsiTheme="majorBidi" w:cstheme="majorBidi"/>
          <w:color w:val="000000"/>
          <w:w w:val="105"/>
          <w:sz w:val="24"/>
          <w:szCs w:val="24"/>
          <w:lang w:val="en-GB" w:eastAsia="en-US"/>
        </w:rPr>
        <w:t xml:space="preserve"> that we consider are as follows</w:t>
      </w:r>
      <w:r>
        <w:rPr>
          <w:rFonts w:asciiTheme="majorBidi" w:eastAsia="Arial" w:hAnsiTheme="majorBidi" w:cstheme="majorBidi"/>
          <w:color w:val="000000"/>
          <w:w w:val="105"/>
          <w:sz w:val="24"/>
          <w:szCs w:val="24"/>
          <w:lang w:val="en-GB" w:eastAsia="en-US"/>
        </w:rPr>
        <w:t>:</w:t>
      </w:r>
      <w:r w:rsidRPr="007062AE">
        <w:rPr>
          <w:rFonts w:asciiTheme="majorBidi" w:eastAsia="Arial" w:hAnsiTheme="majorBidi" w:cstheme="majorBidi"/>
          <w:color w:val="000000"/>
          <w:w w:val="105"/>
          <w:sz w:val="24"/>
          <w:szCs w:val="24"/>
          <w:lang w:val="en-GB" w:eastAsia="en-US"/>
        </w:rPr>
        <w:t xml:space="preserve"> (1) d</w:t>
      </w:r>
      <w:proofErr w:type="spellStart"/>
      <w:r w:rsidRPr="00553E0C">
        <w:rPr>
          <w:rFonts w:asciiTheme="majorBidi" w:eastAsia="Arial" w:hAnsiTheme="majorBidi" w:cstheme="majorBidi"/>
          <w:color w:val="000000"/>
          <w:w w:val="105"/>
          <w:sz w:val="24"/>
          <w:szCs w:val="24"/>
          <w:lang w:val="en-US" w:eastAsia="en-US"/>
        </w:rPr>
        <w:t>oes</w:t>
      </w:r>
      <w:proofErr w:type="spellEnd"/>
      <w:r>
        <w:rPr>
          <w:rFonts w:asciiTheme="majorBidi" w:eastAsia="Arial" w:hAnsiTheme="majorBidi" w:cstheme="majorBidi"/>
          <w:color w:val="000000"/>
          <w:w w:val="105"/>
          <w:sz w:val="24"/>
          <w:szCs w:val="24"/>
          <w:lang w:val="en-US" w:eastAsia="en-US"/>
        </w:rPr>
        <w:t xml:space="preserve"> </w:t>
      </w:r>
      <w:r w:rsidRPr="007062AE">
        <w:rPr>
          <w:rFonts w:asciiTheme="majorBidi" w:eastAsia="Arial" w:hAnsiTheme="majorBidi" w:cstheme="majorBidi"/>
          <w:color w:val="000000"/>
          <w:w w:val="105"/>
          <w:sz w:val="24"/>
          <w:szCs w:val="24"/>
          <w:lang w:val="en-US" w:eastAsia="en-US"/>
        </w:rPr>
        <w:t>the level of risk, as measured by beta</w:t>
      </w:r>
      <w:r>
        <w:rPr>
          <w:rFonts w:asciiTheme="majorBidi" w:eastAsia="Arial" w:hAnsiTheme="majorBidi" w:cstheme="majorBidi"/>
          <w:color w:val="000000"/>
          <w:w w:val="105"/>
          <w:sz w:val="24"/>
          <w:szCs w:val="24"/>
          <w:lang w:val="en-US" w:eastAsia="en-US"/>
        </w:rPr>
        <w:t>,</w:t>
      </w:r>
      <w:r w:rsidRPr="00553E0C">
        <w:rPr>
          <w:rFonts w:asciiTheme="majorBidi" w:eastAsia="Arial" w:hAnsiTheme="majorBidi" w:cstheme="majorBidi"/>
          <w:color w:val="000000"/>
          <w:w w:val="105"/>
          <w:sz w:val="24"/>
          <w:szCs w:val="24"/>
          <w:lang w:val="en-US" w:eastAsia="en-US"/>
        </w:rPr>
        <w:t xml:space="preserve"> vary by investment type</w:t>
      </w:r>
      <w:r>
        <w:rPr>
          <w:rFonts w:asciiTheme="majorBidi" w:eastAsia="Arial" w:hAnsiTheme="majorBidi" w:cstheme="majorBidi"/>
          <w:color w:val="000000"/>
          <w:w w:val="105"/>
          <w:sz w:val="24"/>
          <w:szCs w:val="24"/>
          <w:lang w:val="en-US" w:eastAsia="en-US"/>
        </w:rPr>
        <w:t>s</w:t>
      </w:r>
      <w:r w:rsidRPr="00553E0C">
        <w:rPr>
          <w:rFonts w:asciiTheme="majorBidi" w:eastAsia="Arial" w:hAnsiTheme="majorBidi" w:cstheme="majorBidi"/>
          <w:color w:val="000000"/>
          <w:w w:val="105"/>
          <w:sz w:val="24"/>
          <w:szCs w:val="24"/>
          <w:lang w:val="en-US" w:eastAsia="en-US"/>
        </w:rPr>
        <w:t xml:space="preserve"> that is from moderate to aggressive options</w:t>
      </w:r>
      <w:r w:rsidRPr="007062AE">
        <w:rPr>
          <w:rFonts w:asciiTheme="majorBidi" w:eastAsia="Arial" w:hAnsiTheme="majorBidi" w:cstheme="majorBidi"/>
          <w:color w:val="000000"/>
          <w:w w:val="105"/>
          <w:sz w:val="24"/>
          <w:szCs w:val="24"/>
          <w:lang w:val="en-US" w:eastAsia="en-US"/>
        </w:rPr>
        <w:t xml:space="preserve">; (2) does </w:t>
      </w:r>
      <w:r>
        <w:rPr>
          <w:rFonts w:asciiTheme="majorBidi" w:eastAsia="Arial" w:hAnsiTheme="majorBidi" w:cstheme="majorBidi"/>
          <w:color w:val="000000"/>
          <w:w w:val="105"/>
          <w:sz w:val="24"/>
          <w:szCs w:val="24"/>
          <w:lang w:val="en-US" w:eastAsia="en-US"/>
        </w:rPr>
        <w:t xml:space="preserve">the </w:t>
      </w:r>
      <w:r w:rsidRPr="007062AE">
        <w:rPr>
          <w:rFonts w:asciiTheme="majorBidi" w:eastAsia="Arial" w:hAnsiTheme="majorBidi" w:cstheme="majorBidi"/>
          <w:color w:val="000000"/>
          <w:w w:val="105"/>
          <w:sz w:val="24"/>
          <w:szCs w:val="24"/>
          <w:lang w:val="en-US" w:eastAsia="en-US"/>
        </w:rPr>
        <w:t>varying percentage</w:t>
      </w:r>
      <w:r>
        <w:rPr>
          <w:rFonts w:asciiTheme="majorBidi" w:eastAsia="Arial" w:hAnsiTheme="majorBidi" w:cstheme="majorBidi"/>
          <w:color w:val="000000"/>
          <w:w w:val="105"/>
          <w:sz w:val="24"/>
          <w:szCs w:val="24"/>
          <w:lang w:val="en-US" w:eastAsia="en-US"/>
        </w:rPr>
        <w:t>s</w:t>
      </w:r>
      <w:r w:rsidRPr="007062AE">
        <w:rPr>
          <w:rFonts w:asciiTheme="majorBidi" w:eastAsia="Arial" w:hAnsiTheme="majorBidi" w:cstheme="majorBidi"/>
          <w:color w:val="000000"/>
          <w:w w:val="105"/>
          <w:sz w:val="24"/>
          <w:szCs w:val="24"/>
          <w:lang w:val="en-US" w:eastAsia="en-US"/>
        </w:rPr>
        <w:t xml:space="preserve"> used to define an investment option, in </w:t>
      </w:r>
      <w:r>
        <w:rPr>
          <w:rFonts w:asciiTheme="majorBidi" w:eastAsia="Arial" w:hAnsiTheme="majorBidi" w:cstheme="majorBidi"/>
          <w:color w:val="000000"/>
          <w:w w:val="105"/>
          <w:sz w:val="24"/>
          <w:szCs w:val="24"/>
          <w:lang w:val="en-US" w:eastAsia="en-US"/>
        </w:rPr>
        <w:t>particular,</w:t>
      </w:r>
      <w:r w:rsidRPr="007062AE">
        <w:rPr>
          <w:rFonts w:asciiTheme="majorBidi" w:eastAsia="Arial" w:hAnsiTheme="majorBidi" w:cstheme="majorBidi"/>
          <w:color w:val="000000"/>
          <w:w w:val="105"/>
          <w:sz w:val="24"/>
          <w:szCs w:val="24"/>
          <w:lang w:val="en-US" w:eastAsia="en-US"/>
        </w:rPr>
        <w:t xml:space="preserve"> we consider for instance a balance</w:t>
      </w:r>
      <w:r>
        <w:rPr>
          <w:rFonts w:asciiTheme="majorBidi" w:eastAsia="Arial" w:hAnsiTheme="majorBidi" w:cstheme="majorBidi"/>
          <w:color w:val="000000"/>
          <w:w w:val="105"/>
          <w:sz w:val="24"/>
          <w:szCs w:val="24"/>
          <w:lang w:val="en-US" w:eastAsia="en-US"/>
        </w:rPr>
        <w:t>d</w:t>
      </w:r>
      <w:r w:rsidRPr="007062AE">
        <w:rPr>
          <w:rFonts w:asciiTheme="majorBidi" w:eastAsia="Arial" w:hAnsiTheme="majorBidi" w:cstheme="majorBidi"/>
          <w:color w:val="000000"/>
          <w:w w:val="105"/>
          <w:sz w:val="24"/>
          <w:szCs w:val="24"/>
          <w:lang w:val="en-US" w:eastAsia="en-US"/>
        </w:rPr>
        <w:t xml:space="preserve"> option of 41-60 or 31-70 </w:t>
      </w:r>
      <w:r>
        <w:rPr>
          <w:rFonts w:asciiTheme="majorBidi" w:eastAsia="Arial" w:hAnsiTheme="majorBidi" w:cstheme="majorBidi"/>
          <w:color w:val="000000"/>
          <w:w w:val="105"/>
          <w:sz w:val="24"/>
          <w:szCs w:val="24"/>
          <w:lang w:val="en-US" w:eastAsia="en-US"/>
        </w:rPr>
        <w:t xml:space="preserve">in growth assets </w:t>
      </w:r>
      <w:r w:rsidRPr="007062AE">
        <w:rPr>
          <w:rFonts w:asciiTheme="majorBidi" w:eastAsia="Arial" w:hAnsiTheme="majorBidi" w:cstheme="majorBidi"/>
          <w:color w:val="000000"/>
          <w:w w:val="105"/>
          <w:sz w:val="24"/>
          <w:szCs w:val="24"/>
          <w:lang w:val="en-US" w:eastAsia="en-US"/>
        </w:rPr>
        <w:t>ha</w:t>
      </w:r>
      <w:r>
        <w:rPr>
          <w:rFonts w:asciiTheme="majorBidi" w:eastAsia="Arial" w:hAnsiTheme="majorBidi" w:cstheme="majorBidi"/>
          <w:color w:val="000000"/>
          <w:w w:val="105"/>
          <w:sz w:val="24"/>
          <w:szCs w:val="24"/>
          <w:lang w:val="en-US" w:eastAsia="en-US"/>
        </w:rPr>
        <w:t>ve</w:t>
      </w:r>
      <w:r w:rsidRPr="007062AE">
        <w:rPr>
          <w:rFonts w:asciiTheme="majorBidi" w:eastAsia="Arial" w:hAnsiTheme="majorBidi" w:cstheme="majorBidi"/>
          <w:color w:val="000000"/>
          <w:w w:val="105"/>
          <w:sz w:val="24"/>
          <w:szCs w:val="24"/>
          <w:lang w:val="en-US" w:eastAsia="en-US"/>
        </w:rPr>
        <w:t xml:space="preserve"> different </w:t>
      </w:r>
      <w:r>
        <w:rPr>
          <w:rFonts w:asciiTheme="majorBidi" w:eastAsia="Arial" w:hAnsiTheme="majorBidi" w:cstheme="majorBidi"/>
          <w:color w:val="000000"/>
          <w:w w:val="105"/>
          <w:sz w:val="24"/>
          <w:szCs w:val="24"/>
          <w:lang w:val="en-US" w:eastAsia="en-US"/>
        </w:rPr>
        <w:t>level</w:t>
      </w:r>
      <w:r w:rsidRPr="007062AE">
        <w:rPr>
          <w:rFonts w:asciiTheme="majorBidi" w:eastAsia="Arial" w:hAnsiTheme="majorBidi" w:cstheme="majorBidi"/>
          <w:color w:val="000000"/>
          <w:w w:val="105"/>
          <w:sz w:val="24"/>
          <w:szCs w:val="24"/>
          <w:lang w:val="en-US" w:eastAsia="en-US"/>
        </w:rPr>
        <w:t xml:space="preserve"> of risk over</w:t>
      </w:r>
      <w:r>
        <w:rPr>
          <w:rFonts w:asciiTheme="majorBidi" w:eastAsia="Arial" w:hAnsiTheme="majorBidi" w:cstheme="majorBidi"/>
          <w:color w:val="000000"/>
          <w:w w:val="105"/>
          <w:sz w:val="24"/>
          <w:szCs w:val="24"/>
          <w:lang w:val="en-US" w:eastAsia="en-US"/>
        </w:rPr>
        <w:t xml:space="preserve"> the</w:t>
      </w:r>
      <w:r w:rsidRPr="007062AE">
        <w:rPr>
          <w:rFonts w:asciiTheme="majorBidi" w:eastAsia="Arial" w:hAnsiTheme="majorBidi" w:cstheme="majorBidi"/>
          <w:color w:val="000000"/>
          <w:w w:val="105"/>
          <w:sz w:val="24"/>
          <w:szCs w:val="24"/>
          <w:lang w:val="en-US" w:eastAsia="en-US"/>
        </w:rPr>
        <w:t xml:space="preserve"> longer term; (3) </w:t>
      </w:r>
      <w:r>
        <w:rPr>
          <w:rFonts w:asciiTheme="majorBidi" w:eastAsia="Arial" w:hAnsiTheme="majorBidi" w:cstheme="majorBidi"/>
          <w:color w:val="000000"/>
          <w:w w:val="105"/>
          <w:sz w:val="24"/>
          <w:szCs w:val="24"/>
          <w:lang w:val="en-US" w:eastAsia="en-US"/>
        </w:rPr>
        <w:t>is beta sensitive across</w:t>
      </w:r>
      <w:r w:rsidRPr="007062AE">
        <w:rPr>
          <w:rFonts w:asciiTheme="majorBidi" w:eastAsia="Arial" w:hAnsiTheme="majorBidi" w:cstheme="majorBidi"/>
          <w:color w:val="000000"/>
          <w:w w:val="105"/>
          <w:sz w:val="24"/>
          <w:szCs w:val="24"/>
          <w:lang w:val="en-US" w:eastAsia="en-US"/>
        </w:rPr>
        <w:t xml:space="preserve"> </w:t>
      </w:r>
      <w:r>
        <w:rPr>
          <w:rFonts w:asciiTheme="majorBidi" w:eastAsia="Arial" w:hAnsiTheme="majorBidi" w:cstheme="majorBidi"/>
          <w:color w:val="000000"/>
          <w:w w:val="105"/>
          <w:sz w:val="24"/>
          <w:szCs w:val="24"/>
          <w:lang w:val="en-US" w:eastAsia="en-US"/>
        </w:rPr>
        <w:t>different risk model specifications</w:t>
      </w:r>
      <w:r w:rsidRPr="007062AE">
        <w:rPr>
          <w:rFonts w:asciiTheme="majorBidi" w:eastAsia="Arial" w:hAnsiTheme="majorBidi" w:cstheme="majorBidi"/>
          <w:color w:val="000000"/>
          <w:w w:val="105"/>
          <w:sz w:val="24"/>
          <w:szCs w:val="24"/>
          <w:lang w:val="en-US" w:eastAsia="en-US"/>
        </w:rPr>
        <w:t>; and lastly</w:t>
      </w:r>
      <w:r>
        <w:rPr>
          <w:rFonts w:asciiTheme="majorBidi" w:eastAsia="Arial" w:hAnsiTheme="majorBidi" w:cstheme="majorBidi"/>
          <w:color w:val="000000"/>
          <w:w w:val="105"/>
          <w:sz w:val="24"/>
          <w:szCs w:val="24"/>
          <w:lang w:val="en-US" w:eastAsia="en-US"/>
        </w:rPr>
        <w:t>,</w:t>
      </w:r>
      <w:r w:rsidRPr="007062AE">
        <w:rPr>
          <w:rFonts w:asciiTheme="majorBidi" w:eastAsia="Arial" w:hAnsiTheme="majorBidi" w:cstheme="majorBidi"/>
          <w:color w:val="000000"/>
          <w:w w:val="105"/>
          <w:sz w:val="24"/>
          <w:szCs w:val="24"/>
          <w:lang w:val="en-US" w:eastAsia="en-US"/>
        </w:rPr>
        <w:t xml:space="preserve"> (4) we assess if the GFC</w:t>
      </w:r>
      <w:r>
        <w:rPr>
          <w:rFonts w:asciiTheme="majorBidi" w:eastAsia="Arial" w:hAnsiTheme="majorBidi" w:cstheme="majorBidi"/>
          <w:color w:val="000000"/>
          <w:w w:val="105"/>
          <w:sz w:val="24"/>
          <w:szCs w:val="24"/>
          <w:lang w:val="en-US" w:eastAsia="en-US"/>
        </w:rPr>
        <w:t>,</w:t>
      </w:r>
      <w:r w:rsidRPr="007062AE">
        <w:rPr>
          <w:rFonts w:asciiTheme="majorBidi" w:eastAsia="Arial" w:hAnsiTheme="majorBidi" w:cstheme="majorBidi"/>
          <w:color w:val="000000"/>
          <w:w w:val="105"/>
          <w:sz w:val="24"/>
          <w:szCs w:val="24"/>
          <w:lang w:val="en-US" w:eastAsia="en-US"/>
        </w:rPr>
        <w:t xml:space="preserve"> in particular</w:t>
      </w:r>
      <w:r>
        <w:rPr>
          <w:rFonts w:asciiTheme="majorBidi" w:eastAsia="Arial" w:hAnsiTheme="majorBidi" w:cstheme="majorBidi"/>
          <w:color w:val="000000"/>
          <w:w w:val="105"/>
          <w:sz w:val="24"/>
          <w:szCs w:val="24"/>
          <w:lang w:val="en-US" w:eastAsia="en-US"/>
        </w:rPr>
        <w:t>,</w:t>
      </w:r>
      <w:r w:rsidRPr="007062AE">
        <w:rPr>
          <w:rFonts w:asciiTheme="majorBidi" w:eastAsia="Arial" w:hAnsiTheme="majorBidi" w:cstheme="majorBidi"/>
          <w:color w:val="000000"/>
          <w:w w:val="105"/>
          <w:sz w:val="24"/>
          <w:szCs w:val="24"/>
          <w:lang w:val="en-US" w:eastAsia="en-US"/>
        </w:rPr>
        <w:t xml:space="preserve"> has a</w:t>
      </w:r>
      <w:r>
        <w:rPr>
          <w:rFonts w:asciiTheme="majorBidi" w:eastAsia="Arial" w:hAnsiTheme="majorBidi" w:cstheme="majorBidi"/>
          <w:color w:val="000000"/>
          <w:w w:val="105"/>
          <w:sz w:val="24"/>
          <w:szCs w:val="24"/>
          <w:lang w:val="en-US" w:eastAsia="en-US"/>
        </w:rPr>
        <w:t>n</w:t>
      </w:r>
      <w:r w:rsidRPr="007062AE">
        <w:rPr>
          <w:rFonts w:asciiTheme="majorBidi" w:eastAsia="Arial" w:hAnsiTheme="majorBidi" w:cstheme="majorBidi"/>
          <w:color w:val="000000"/>
          <w:w w:val="105"/>
          <w:sz w:val="24"/>
          <w:szCs w:val="24"/>
          <w:lang w:val="en-US" w:eastAsia="en-US"/>
        </w:rPr>
        <w:t xml:space="preserve"> impact on the risk level of investment options. </w:t>
      </w:r>
      <w:r>
        <w:rPr>
          <w:rFonts w:asciiTheme="majorBidi" w:hAnsiTheme="majorBidi" w:cstheme="majorBidi"/>
          <w:bCs/>
          <w:sz w:val="24"/>
          <w:szCs w:val="24"/>
          <w:lang w:eastAsia="en-US"/>
        </w:rPr>
        <w:t xml:space="preserve">The key results of our analysis can be summarised as follows: (1) </w:t>
      </w:r>
      <w:r>
        <w:rPr>
          <w:rFonts w:asciiTheme="majorBidi" w:eastAsia="Arial" w:hAnsiTheme="majorBidi" w:cstheme="majorBidi"/>
          <w:color w:val="000000"/>
          <w:w w:val="105"/>
          <w:sz w:val="24"/>
          <w:szCs w:val="24"/>
          <w:lang w:val="en-US" w:eastAsia="en-US"/>
        </w:rPr>
        <w:t xml:space="preserve">risk </w:t>
      </w:r>
      <w:r w:rsidRPr="00AB2629">
        <w:rPr>
          <w:rFonts w:asciiTheme="majorBidi" w:eastAsia="Arial" w:hAnsiTheme="majorBidi" w:cstheme="majorBidi"/>
          <w:color w:val="000000"/>
          <w:w w:val="105"/>
          <w:sz w:val="24"/>
          <w:szCs w:val="24"/>
          <w:lang w:val="en-US" w:eastAsia="en-US"/>
        </w:rPr>
        <w:t xml:space="preserve">increases from moderate to </w:t>
      </w:r>
      <w:r>
        <w:rPr>
          <w:rFonts w:asciiTheme="majorBidi" w:eastAsia="Arial" w:hAnsiTheme="majorBidi" w:cstheme="majorBidi"/>
          <w:color w:val="000000"/>
          <w:w w:val="105"/>
          <w:sz w:val="24"/>
          <w:szCs w:val="24"/>
          <w:lang w:val="en-US" w:eastAsia="en-US"/>
        </w:rPr>
        <w:t>aggressive options as expected given the aggressive options include a higher percentage of growth assets; (2) risk does not vary across the different definitions of the investment options used, that is a definition of a balanced option of 41-60% or 31-70% in growth assets does not impact on the risk level over the longer term; (3) the</w:t>
      </w:r>
      <w:r w:rsidRPr="00AB2629">
        <w:rPr>
          <w:rFonts w:asciiTheme="majorBidi" w:eastAsia="Arial" w:hAnsiTheme="majorBidi" w:cstheme="majorBidi"/>
          <w:color w:val="000000"/>
          <w:w w:val="105"/>
          <w:sz w:val="24"/>
          <w:szCs w:val="24"/>
          <w:lang w:val="en-US" w:eastAsia="en-US"/>
        </w:rPr>
        <w:t xml:space="preserve"> results </w:t>
      </w:r>
      <w:r>
        <w:rPr>
          <w:rFonts w:asciiTheme="majorBidi" w:eastAsia="Arial" w:hAnsiTheme="majorBidi" w:cstheme="majorBidi"/>
          <w:color w:val="000000"/>
          <w:w w:val="105"/>
          <w:sz w:val="24"/>
          <w:szCs w:val="24"/>
          <w:lang w:val="en-US" w:eastAsia="en-US"/>
        </w:rPr>
        <w:t>do not seem to support the sensitivity of beta across modelling frameworks used in the non-crisis period, that is, the beta coefficients are consistent across the estimation techniques including CAPM, FF three factor, FF four factor and FF five factor model. H</w:t>
      </w:r>
      <w:r w:rsidRPr="00AB2629">
        <w:rPr>
          <w:rFonts w:asciiTheme="majorBidi" w:eastAsia="Arial" w:hAnsiTheme="majorBidi" w:cstheme="majorBidi"/>
          <w:color w:val="000000"/>
          <w:w w:val="105"/>
          <w:sz w:val="24"/>
          <w:szCs w:val="24"/>
          <w:lang w:val="en-US" w:eastAsia="en-US"/>
        </w:rPr>
        <w:t>owever</w:t>
      </w:r>
      <w:r>
        <w:rPr>
          <w:rFonts w:asciiTheme="majorBidi" w:eastAsia="Arial" w:hAnsiTheme="majorBidi" w:cstheme="majorBidi"/>
          <w:color w:val="000000"/>
          <w:w w:val="105"/>
          <w:sz w:val="24"/>
          <w:szCs w:val="24"/>
          <w:lang w:val="en-US" w:eastAsia="en-US"/>
        </w:rPr>
        <w:t>,</w:t>
      </w:r>
      <w:r w:rsidRPr="00AB2629">
        <w:rPr>
          <w:rFonts w:asciiTheme="majorBidi" w:eastAsia="Arial" w:hAnsiTheme="majorBidi" w:cstheme="majorBidi"/>
          <w:color w:val="000000"/>
          <w:w w:val="105"/>
          <w:sz w:val="24"/>
          <w:szCs w:val="24"/>
          <w:lang w:val="en-US" w:eastAsia="en-US"/>
        </w:rPr>
        <w:t xml:space="preserve"> the beta estimates in the GFC seem </w:t>
      </w:r>
      <w:r>
        <w:rPr>
          <w:rFonts w:asciiTheme="majorBidi" w:eastAsia="Arial" w:hAnsiTheme="majorBidi" w:cstheme="majorBidi"/>
          <w:color w:val="000000"/>
          <w:w w:val="105"/>
          <w:sz w:val="24"/>
          <w:szCs w:val="24"/>
          <w:lang w:val="en-US" w:eastAsia="en-US"/>
        </w:rPr>
        <w:t>to be sensitive to the model specifications.</w:t>
      </w:r>
    </w:p>
    <w:p w:rsidR="007F433F" w:rsidRPr="00F03741" w:rsidRDefault="007F433F" w:rsidP="007F433F">
      <w:pPr>
        <w:rPr>
          <w:rFonts w:asciiTheme="majorBidi" w:eastAsia="SimSun" w:hAnsiTheme="majorBidi" w:cstheme="majorBidi"/>
          <w:b/>
          <w:bCs/>
          <w:sz w:val="24"/>
          <w:szCs w:val="24"/>
          <w:lang w:val="en-GB"/>
        </w:rPr>
      </w:pPr>
      <w:r>
        <w:rPr>
          <w:rFonts w:asciiTheme="majorBidi" w:eastAsia="SimSun" w:hAnsiTheme="majorBidi" w:cstheme="majorBidi"/>
          <w:sz w:val="24"/>
          <w:szCs w:val="24"/>
          <w:lang w:val="en-US"/>
        </w:rPr>
        <w:br w:type="page"/>
      </w:r>
      <w:r w:rsidRPr="00F03741">
        <w:rPr>
          <w:rFonts w:asciiTheme="majorBidi" w:eastAsia="SimSun" w:hAnsiTheme="majorBidi" w:cstheme="majorBidi"/>
          <w:b/>
          <w:bCs/>
          <w:sz w:val="24"/>
          <w:szCs w:val="24"/>
          <w:lang w:val="en-GB"/>
        </w:rPr>
        <w:lastRenderedPageBreak/>
        <w:t>References</w:t>
      </w:r>
    </w:p>
    <w:p w:rsidR="007F433F" w:rsidRPr="00A12EC3" w:rsidRDefault="007F433F" w:rsidP="007F433F">
      <w:pPr>
        <w:pStyle w:val="BodyText"/>
        <w:spacing w:line="240" w:lineRule="auto"/>
        <w:ind w:left="426" w:hanging="426"/>
        <w:jc w:val="both"/>
        <w:rPr>
          <w:rFonts w:ascii="Times New Roman" w:hAnsi="Times New Roman" w:cs="Times New Roman"/>
          <w:sz w:val="24"/>
          <w:szCs w:val="24"/>
        </w:rPr>
      </w:pPr>
      <w:r w:rsidRPr="00A12EC3">
        <w:rPr>
          <w:rFonts w:ascii="Times New Roman" w:hAnsi="Times New Roman" w:cs="Times New Roman"/>
          <w:sz w:val="24"/>
          <w:szCs w:val="24"/>
        </w:rPr>
        <w:t>Aitchison, J. and Aitken, C.G.G.</w:t>
      </w:r>
      <w:proofErr w:type="gramStart"/>
      <w:r w:rsidRPr="00A12EC3">
        <w:rPr>
          <w:rFonts w:ascii="Times New Roman" w:hAnsi="Times New Roman" w:cs="Times New Roman"/>
          <w:sz w:val="24"/>
          <w:szCs w:val="24"/>
        </w:rPr>
        <w:t>,1976</w:t>
      </w:r>
      <w:proofErr w:type="gramEnd"/>
      <w:r w:rsidRPr="00A12EC3">
        <w:rPr>
          <w:rFonts w:ascii="Times New Roman" w:hAnsi="Times New Roman" w:cs="Times New Roman"/>
          <w:sz w:val="24"/>
          <w:szCs w:val="24"/>
        </w:rPr>
        <w:t>. Multivariate binary discrimination by the kernel method</w:t>
      </w:r>
      <w:r>
        <w:rPr>
          <w:rFonts w:ascii="Times New Roman" w:hAnsi="Times New Roman" w:cs="Times New Roman"/>
          <w:sz w:val="24"/>
          <w:szCs w:val="24"/>
        </w:rPr>
        <w:t>.</w:t>
      </w:r>
      <w:r w:rsidRPr="00A12EC3">
        <w:rPr>
          <w:rFonts w:ascii="Times New Roman" w:hAnsi="Times New Roman" w:cs="Times New Roman"/>
          <w:sz w:val="24"/>
          <w:szCs w:val="24"/>
        </w:rPr>
        <w:t xml:space="preserve"> </w:t>
      </w:r>
      <w:proofErr w:type="spellStart"/>
      <w:r w:rsidRPr="00524550">
        <w:rPr>
          <w:rFonts w:ascii="Times New Roman" w:hAnsi="Times New Roman" w:cs="Times New Roman"/>
          <w:i/>
          <w:sz w:val="24"/>
          <w:szCs w:val="24"/>
        </w:rPr>
        <w:t>Biometrika</w:t>
      </w:r>
      <w:proofErr w:type="spellEnd"/>
      <w:r w:rsidRPr="00A12EC3">
        <w:rPr>
          <w:rFonts w:ascii="Times New Roman" w:hAnsi="Times New Roman" w:cs="Times New Roman"/>
          <w:sz w:val="24"/>
          <w:szCs w:val="24"/>
        </w:rPr>
        <w:t>, 63, pp. 413-420</w:t>
      </w:r>
      <w:r>
        <w:rPr>
          <w:rFonts w:ascii="Times New Roman" w:hAnsi="Times New Roman" w:cs="Times New Roman"/>
          <w:sz w:val="24"/>
          <w:szCs w:val="24"/>
        </w:rPr>
        <w:t>.</w:t>
      </w:r>
    </w:p>
    <w:p w:rsidR="007F433F" w:rsidRPr="00A12EC3" w:rsidRDefault="007F433F" w:rsidP="007F433F">
      <w:pPr>
        <w:ind w:left="426" w:hanging="426"/>
        <w:jc w:val="both"/>
        <w:rPr>
          <w:rFonts w:ascii="Times New Roman" w:hAnsi="Times New Roman" w:cs="Times New Roman"/>
          <w:sz w:val="24"/>
          <w:szCs w:val="24"/>
        </w:rPr>
      </w:pPr>
      <w:r w:rsidRPr="00A12EC3">
        <w:rPr>
          <w:rFonts w:ascii="Times New Roman" w:hAnsi="Times New Roman" w:cs="Times New Roman"/>
          <w:sz w:val="24"/>
          <w:szCs w:val="24"/>
        </w:rPr>
        <w:t xml:space="preserve">ASIC- Super investment Options; </w:t>
      </w:r>
      <w:hyperlink r:id="rId7" w:history="1">
        <w:r w:rsidRPr="00A12EC3">
          <w:rPr>
            <w:rStyle w:val="Hyperlink"/>
            <w:rFonts w:ascii="Times New Roman" w:hAnsi="Times New Roman" w:cs="Times New Roman"/>
            <w:sz w:val="24"/>
            <w:szCs w:val="24"/>
          </w:rPr>
          <w:t>https://www.moneysmart.gov.au/superannuation-and-retirement/how-super-works/super-investment-options</w:t>
        </w:r>
      </w:hyperlink>
    </w:p>
    <w:p w:rsidR="007F433F" w:rsidRPr="00A12EC3" w:rsidRDefault="007F433F" w:rsidP="007F433F">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proofErr w:type="spellStart"/>
      <w:r w:rsidRPr="00A12EC3">
        <w:rPr>
          <w:rFonts w:ascii="Times New Roman" w:eastAsia="Times New Roman" w:hAnsi="Times New Roman" w:cs="Times New Roman"/>
          <w:sz w:val="24"/>
          <w:szCs w:val="24"/>
        </w:rPr>
        <w:t>Banz</w:t>
      </w:r>
      <w:proofErr w:type="spellEnd"/>
      <w:r w:rsidRPr="00A12EC3">
        <w:rPr>
          <w:rFonts w:ascii="Times New Roman" w:eastAsia="Times New Roman" w:hAnsi="Times New Roman" w:cs="Times New Roman"/>
          <w:sz w:val="24"/>
          <w:szCs w:val="24"/>
        </w:rPr>
        <w:t xml:space="preserve">, R.W., 1981. The Relationship between Return and Market Value of Common Stocks, </w:t>
      </w:r>
      <w:r w:rsidRPr="00524550">
        <w:rPr>
          <w:rFonts w:ascii="Times New Roman" w:eastAsia="Times New Roman" w:hAnsi="Times New Roman" w:cs="Times New Roman"/>
          <w:i/>
          <w:iCs/>
          <w:sz w:val="24"/>
          <w:szCs w:val="24"/>
        </w:rPr>
        <w:t>Journal of Financial Economics</w:t>
      </w:r>
      <w:r w:rsidRPr="00A12EC3">
        <w:rPr>
          <w:rFonts w:ascii="Times New Roman" w:eastAsia="Times New Roman" w:hAnsi="Times New Roman" w:cs="Times New Roman"/>
          <w:iCs/>
          <w:sz w:val="24"/>
          <w:szCs w:val="24"/>
        </w:rPr>
        <w:t>.</w:t>
      </w:r>
      <w:r w:rsidRPr="00A12EC3">
        <w:rPr>
          <w:rFonts w:ascii="Times New Roman" w:eastAsia="Times New Roman" w:hAnsi="Times New Roman" w:cs="Times New Roman"/>
          <w:i/>
          <w:iCs/>
          <w:sz w:val="24"/>
          <w:szCs w:val="24"/>
        </w:rPr>
        <w:t xml:space="preserve"> </w:t>
      </w:r>
      <w:r w:rsidRPr="00A12EC3">
        <w:rPr>
          <w:rFonts w:ascii="Times New Roman" w:eastAsia="Times New Roman" w:hAnsi="Times New Roman" w:cs="Times New Roman"/>
          <w:sz w:val="24"/>
          <w:szCs w:val="24"/>
        </w:rPr>
        <w:t>9, pp. 3-18.</w:t>
      </w:r>
    </w:p>
    <w:p w:rsidR="007F433F" w:rsidRPr="00A12EC3" w:rsidRDefault="007F433F" w:rsidP="007F433F">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p>
    <w:p w:rsidR="007F433F" w:rsidRPr="00A12EC3" w:rsidRDefault="007F433F" w:rsidP="007F433F">
      <w:pPr>
        <w:snapToGrid w:val="0"/>
        <w:spacing w:after="0" w:line="240" w:lineRule="auto"/>
        <w:ind w:left="426" w:hanging="426"/>
        <w:jc w:val="both"/>
        <w:rPr>
          <w:rFonts w:ascii="Times New Roman" w:eastAsia="SimSun" w:hAnsi="Times New Roman" w:cs="Times New Roman"/>
          <w:sz w:val="24"/>
          <w:szCs w:val="24"/>
        </w:rPr>
      </w:pPr>
      <w:proofErr w:type="spellStart"/>
      <w:proofErr w:type="gramStart"/>
      <w:r w:rsidRPr="00A12EC3">
        <w:rPr>
          <w:rFonts w:ascii="Times New Roman" w:eastAsia="SimSun" w:hAnsi="Times New Roman" w:cs="Times New Roman"/>
          <w:sz w:val="24"/>
          <w:szCs w:val="24"/>
        </w:rPr>
        <w:t>Cai</w:t>
      </w:r>
      <w:proofErr w:type="spellEnd"/>
      <w:proofErr w:type="gramEnd"/>
      <w:r w:rsidRPr="00A12EC3">
        <w:rPr>
          <w:rFonts w:ascii="Times New Roman" w:eastAsia="SimSun" w:hAnsi="Times New Roman" w:cs="Times New Roman"/>
          <w:sz w:val="24"/>
          <w:szCs w:val="24"/>
        </w:rPr>
        <w:t>, Z and Li, Q, 2008. Non-parametric estimation of varying coefficient panel data models</w:t>
      </w:r>
      <w:r>
        <w:rPr>
          <w:rFonts w:ascii="Times New Roman" w:eastAsia="SimSun" w:hAnsi="Times New Roman" w:cs="Times New Roman"/>
          <w:sz w:val="24"/>
          <w:szCs w:val="24"/>
        </w:rPr>
        <w:t>.</w:t>
      </w:r>
      <w:r w:rsidRPr="00A12EC3">
        <w:rPr>
          <w:rFonts w:ascii="Times New Roman" w:eastAsia="SimSun" w:hAnsi="Times New Roman" w:cs="Times New Roman"/>
          <w:sz w:val="24"/>
          <w:szCs w:val="24"/>
        </w:rPr>
        <w:t xml:space="preserve"> </w:t>
      </w:r>
      <w:r w:rsidRPr="00524550">
        <w:rPr>
          <w:rFonts w:ascii="Times New Roman" w:eastAsia="SimSun" w:hAnsi="Times New Roman" w:cs="Times New Roman"/>
          <w:i/>
          <w:sz w:val="24"/>
          <w:szCs w:val="24"/>
        </w:rPr>
        <w:t>Econometric Theory</w:t>
      </w:r>
      <w:r w:rsidRPr="00A12EC3">
        <w:rPr>
          <w:rFonts w:ascii="Times New Roman" w:eastAsia="SimSun" w:hAnsi="Times New Roman" w:cs="Times New Roman"/>
          <w:sz w:val="24"/>
          <w:szCs w:val="24"/>
        </w:rPr>
        <w:t>, 24, pp. 1321-1342</w:t>
      </w:r>
      <w:r>
        <w:rPr>
          <w:rFonts w:ascii="Times New Roman" w:eastAsia="SimSun" w:hAnsi="Times New Roman" w:cs="Times New Roman"/>
          <w:sz w:val="24"/>
          <w:szCs w:val="24"/>
        </w:rPr>
        <w:t>.</w:t>
      </w:r>
    </w:p>
    <w:p w:rsidR="007F433F" w:rsidRPr="00A12EC3" w:rsidRDefault="007F433F" w:rsidP="007F433F">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p>
    <w:p w:rsidR="007F433F" w:rsidRPr="00A12EC3" w:rsidRDefault="007F433F" w:rsidP="007F433F">
      <w:pPr>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AU"/>
        </w:rPr>
      </w:pPr>
      <w:proofErr w:type="spellStart"/>
      <w:r w:rsidRPr="00A12EC3">
        <w:rPr>
          <w:rFonts w:ascii="Times New Roman" w:eastAsia="Calibri" w:hAnsi="Times New Roman" w:cs="Times New Roman"/>
          <w:sz w:val="24"/>
          <w:szCs w:val="24"/>
          <w:lang w:eastAsia="en-AU"/>
        </w:rPr>
        <w:t>Carhart</w:t>
      </w:r>
      <w:proofErr w:type="spellEnd"/>
      <w:r w:rsidRPr="00A12EC3">
        <w:rPr>
          <w:rFonts w:ascii="Times New Roman" w:eastAsia="Calibri" w:hAnsi="Times New Roman" w:cs="Times New Roman"/>
          <w:sz w:val="24"/>
          <w:szCs w:val="24"/>
          <w:lang w:eastAsia="en-AU"/>
        </w:rPr>
        <w:t>, M., 1997. On persistence of mutual fund performance.</w:t>
      </w:r>
      <w:r w:rsidRPr="005334C9">
        <w:rPr>
          <w:rFonts w:ascii="Times New Roman" w:eastAsia="Calibri" w:hAnsi="Times New Roman" w:cs="Times New Roman"/>
          <w:i/>
          <w:sz w:val="24"/>
          <w:szCs w:val="24"/>
          <w:lang w:eastAsia="en-AU"/>
        </w:rPr>
        <w:t xml:space="preserve"> Journal of Finance</w:t>
      </w:r>
      <w:r w:rsidRPr="00A12EC3">
        <w:rPr>
          <w:rFonts w:ascii="Times New Roman" w:eastAsia="Calibri" w:hAnsi="Times New Roman" w:cs="Times New Roman"/>
          <w:sz w:val="24"/>
          <w:szCs w:val="24"/>
          <w:lang w:eastAsia="en-AU"/>
        </w:rPr>
        <w:t>, 52,</w:t>
      </w:r>
      <w:r>
        <w:rPr>
          <w:rFonts w:ascii="Times New Roman" w:eastAsia="Calibri" w:hAnsi="Times New Roman" w:cs="Times New Roman"/>
          <w:sz w:val="24"/>
          <w:szCs w:val="24"/>
          <w:lang w:eastAsia="en-AU"/>
        </w:rPr>
        <w:t xml:space="preserve"> pp.</w:t>
      </w:r>
      <w:r w:rsidRPr="00A12EC3">
        <w:rPr>
          <w:rFonts w:ascii="Times New Roman" w:eastAsia="Calibri" w:hAnsi="Times New Roman" w:cs="Times New Roman"/>
          <w:sz w:val="24"/>
          <w:szCs w:val="24"/>
          <w:lang w:eastAsia="en-AU"/>
        </w:rPr>
        <w:t xml:space="preserve"> 57-82.</w:t>
      </w:r>
    </w:p>
    <w:p w:rsidR="007F433F" w:rsidRPr="00A12EC3" w:rsidRDefault="007F433F" w:rsidP="007F433F">
      <w:pPr>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AU"/>
        </w:rPr>
      </w:pPr>
    </w:p>
    <w:p w:rsidR="007F433F" w:rsidRPr="00A12EC3" w:rsidRDefault="007F433F" w:rsidP="007F433F">
      <w:pPr>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AU"/>
        </w:rPr>
      </w:pPr>
      <w:proofErr w:type="spellStart"/>
      <w:r w:rsidRPr="00A12EC3">
        <w:rPr>
          <w:rFonts w:ascii="Times New Roman" w:eastAsia="Calibri" w:hAnsi="Times New Roman" w:cs="Times New Roman"/>
          <w:sz w:val="24"/>
          <w:szCs w:val="24"/>
          <w:lang w:eastAsia="en-AU"/>
        </w:rPr>
        <w:t>Fama</w:t>
      </w:r>
      <w:proofErr w:type="spellEnd"/>
      <w:r w:rsidRPr="00A12EC3">
        <w:rPr>
          <w:rFonts w:ascii="Times New Roman" w:eastAsia="Calibri" w:hAnsi="Times New Roman" w:cs="Times New Roman"/>
          <w:sz w:val="24"/>
          <w:szCs w:val="24"/>
          <w:lang w:eastAsia="en-AU"/>
        </w:rPr>
        <w:t xml:space="preserve">, E.F. and French K.R., 1992. The Cross-Section of Expected Stock Returns. </w:t>
      </w:r>
      <w:r w:rsidRPr="005334C9">
        <w:rPr>
          <w:rFonts w:ascii="Times New Roman" w:eastAsia="Calibri" w:hAnsi="Times New Roman" w:cs="Times New Roman"/>
          <w:i/>
          <w:sz w:val="24"/>
          <w:szCs w:val="24"/>
          <w:lang w:eastAsia="en-AU"/>
        </w:rPr>
        <w:t>Journal of Finance</w:t>
      </w:r>
      <w:r w:rsidRPr="00A12EC3">
        <w:rPr>
          <w:rFonts w:ascii="Times New Roman" w:eastAsia="Calibri" w:hAnsi="Times New Roman" w:cs="Times New Roman"/>
          <w:sz w:val="24"/>
          <w:szCs w:val="24"/>
          <w:lang w:eastAsia="en-AU"/>
        </w:rPr>
        <w:t>, 47,</w:t>
      </w:r>
      <w:r>
        <w:rPr>
          <w:rFonts w:ascii="Times New Roman" w:eastAsia="Calibri" w:hAnsi="Times New Roman" w:cs="Times New Roman"/>
          <w:sz w:val="24"/>
          <w:szCs w:val="24"/>
          <w:lang w:eastAsia="en-AU"/>
        </w:rPr>
        <w:t xml:space="preserve"> </w:t>
      </w:r>
      <w:r w:rsidRPr="00A12EC3">
        <w:rPr>
          <w:rFonts w:ascii="Times New Roman" w:eastAsia="Calibri" w:hAnsi="Times New Roman" w:cs="Times New Roman"/>
          <w:sz w:val="24"/>
          <w:szCs w:val="24"/>
          <w:lang w:eastAsia="en-AU"/>
        </w:rPr>
        <w:t>pp. 27–65.</w:t>
      </w:r>
    </w:p>
    <w:p w:rsidR="007F433F" w:rsidRPr="00A12EC3" w:rsidRDefault="007F433F" w:rsidP="007F433F">
      <w:pPr>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AU"/>
        </w:rPr>
      </w:pPr>
    </w:p>
    <w:p w:rsidR="007F433F" w:rsidRPr="00A12EC3" w:rsidRDefault="007F433F" w:rsidP="007F433F">
      <w:pPr>
        <w:kinsoku w:val="0"/>
        <w:overflowPunct w:val="0"/>
        <w:autoSpaceDE w:val="0"/>
        <w:autoSpaceDN w:val="0"/>
        <w:adjustRightInd w:val="0"/>
        <w:spacing w:after="0" w:line="225" w:lineRule="exact"/>
        <w:ind w:left="426" w:hanging="426"/>
        <w:jc w:val="both"/>
        <w:rPr>
          <w:rFonts w:ascii="Times New Roman" w:hAnsi="Times New Roman" w:cs="Times New Roman"/>
          <w:sz w:val="24"/>
          <w:szCs w:val="24"/>
        </w:rPr>
      </w:pPr>
      <w:r w:rsidRPr="00A12EC3">
        <w:rPr>
          <w:rFonts w:ascii="Times New Roman" w:hAnsi="Times New Roman" w:cs="Times New Roman"/>
          <w:spacing w:val="-1"/>
          <w:sz w:val="24"/>
          <w:szCs w:val="24"/>
        </w:rPr>
        <w:t>C</w:t>
      </w:r>
      <w:r w:rsidRPr="00A12EC3">
        <w:rPr>
          <w:rFonts w:ascii="Times New Roman" w:hAnsi="Times New Roman" w:cs="Times New Roman"/>
          <w:sz w:val="24"/>
          <w:szCs w:val="24"/>
        </w:rPr>
        <w:t xml:space="preserve">han, </w:t>
      </w:r>
      <w:r w:rsidRPr="00A12EC3">
        <w:rPr>
          <w:rFonts w:ascii="Times New Roman" w:hAnsi="Times New Roman" w:cs="Times New Roman"/>
          <w:spacing w:val="-1"/>
          <w:sz w:val="24"/>
          <w:szCs w:val="24"/>
        </w:rPr>
        <w:t>H.,</w:t>
      </w:r>
      <w:r w:rsidRPr="00A12EC3">
        <w:rPr>
          <w:rFonts w:ascii="Times New Roman" w:hAnsi="Times New Roman" w:cs="Times New Roman"/>
          <w:sz w:val="24"/>
          <w:szCs w:val="24"/>
        </w:rPr>
        <w:t xml:space="preserve"> </w:t>
      </w:r>
      <w:r w:rsidRPr="00A12EC3">
        <w:rPr>
          <w:rFonts w:ascii="Times New Roman" w:hAnsi="Times New Roman" w:cs="Times New Roman"/>
          <w:spacing w:val="-1"/>
          <w:sz w:val="24"/>
          <w:szCs w:val="24"/>
        </w:rPr>
        <w:t>F</w:t>
      </w:r>
      <w:r w:rsidRPr="00A12EC3">
        <w:rPr>
          <w:rFonts w:ascii="Times New Roman" w:hAnsi="Times New Roman" w:cs="Times New Roman"/>
          <w:sz w:val="24"/>
          <w:szCs w:val="24"/>
        </w:rPr>
        <w:t>a</w:t>
      </w:r>
      <w:r w:rsidRPr="00A12EC3">
        <w:rPr>
          <w:rFonts w:ascii="Times New Roman" w:hAnsi="Times New Roman" w:cs="Times New Roman"/>
          <w:spacing w:val="-2"/>
          <w:sz w:val="24"/>
          <w:szCs w:val="24"/>
        </w:rPr>
        <w:t>f</w:t>
      </w:r>
      <w:r w:rsidRPr="00A12EC3">
        <w:rPr>
          <w:rFonts w:ascii="Times New Roman" w:hAnsi="Times New Roman" w:cs="Times New Roman"/>
          <w:spacing w:val="1"/>
          <w:sz w:val="24"/>
          <w:szCs w:val="24"/>
        </w:rPr>
        <w:t>f</w:t>
      </w:r>
      <w:r w:rsidRPr="00A12EC3">
        <w:rPr>
          <w:rFonts w:ascii="Times New Roman" w:hAnsi="Times New Roman" w:cs="Times New Roman"/>
          <w:sz w:val="24"/>
          <w:szCs w:val="24"/>
        </w:rPr>
        <w:t>;</w:t>
      </w:r>
      <w:r w:rsidRPr="00A12EC3">
        <w:rPr>
          <w:rFonts w:ascii="Times New Roman" w:hAnsi="Times New Roman" w:cs="Times New Roman"/>
          <w:spacing w:val="-1"/>
          <w:sz w:val="24"/>
          <w:szCs w:val="24"/>
        </w:rPr>
        <w:t xml:space="preserve"> R.,</w:t>
      </w:r>
      <w:r w:rsidRPr="00A12EC3">
        <w:rPr>
          <w:rFonts w:ascii="Times New Roman" w:hAnsi="Times New Roman" w:cs="Times New Roman"/>
          <w:spacing w:val="1"/>
          <w:sz w:val="24"/>
          <w:szCs w:val="24"/>
        </w:rPr>
        <w:t xml:space="preserve"> </w:t>
      </w:r>
      <w:r w:rsidRPr="00A12EC3">
        <w:rPr>
          <w:rFonts w:ascii="Times New Roman" w:hAnsi="Times New Roman" w:cs="Times New Roman"/>
          <w:spacing w:val="-1"/>
          <w:sz w:val="24"/>
          <w:szCs w:val="24"/>
        </w:rPr>
        <w:t>G</w:t>
      </w:r>
      <w:r w:rsidRPr="00A12EC3">
        <w:rPr>
          <w:rFonts w:ascii="Times New Roman" w:hAnsi="Times New Roman" w:cs="Times New Roman"/>
          <w:sz w:val="24"/>
          <w:szCs w:val="24"/>
        </w:rPr>
        <w:t>a</w:t>
      </w:r>
      <w:r w:rsidRPr="00A12EC3">
        <w:rPr>
          <w:rFonts w:ascii="Times New Roman" w:hAnsi="Times New Roman" w:cs="Times New Roman"/>
          <w:spacing w:val="-2"/>
          <w:sz w:val="24"/>
          <w:szCs w:val="24"/>
        </w:rPr>
        <w:t>l</w:t>
      </w:r>
      <w:r w:rsidRPr="00A12EC3">
        <w:rPr>
          <w:rFonts w:ascii="Times New Roman" w:hAnsi="Times New Roman" w:cs="Times New Roman"/>
          <w:spacing w:val="1"/>
          <w:sz w:val="24"/>
          <w:szCs w:val="24"/>
        </w:rPr>
        <w:t>l</w:t>
      </w:r>
      <w:r w:rsidRPr="00A12EC3">
        <w:rPr>
          <w:rFonts w:ascii="Times New Roman" w:hAnsi="Times New Roman" w:cs="Times New Roman"/>
          <w:sz w:val="24"/>
          <w:szCs w:val="24"/>
        </w:rPr>
        <w:t>a</w:t>
      </w:r>
      <w:r w:rsidRPr="00A12EC3">
        <w:rPr>
          <w:rFonts w:ascii="Times New Roman" w:hAnsi="Times New Roman" w:cs="Times New Roman"/>
          <w:spacing w:val="-3"/>
          <w:sz w:val="24"/>
          <w:szCs w:val="24"/>
        </w:rPr>
        <w:t>g</w:t>
      </w:r>
      <w:r w:rsidRPr="00A12EC3">
        <w:rPr>
          <w:rFonts w:ascii="Times New Roman" w:hAnsi="Times New Roman" w:cs="Times New Roman"/>
          <w:sz w:val="24"/>
          <w:szCs w:val="24"/>
        </w:rPr>
        <w:t>he</w:t>
      </w:r>
      <w:r w:rsidRPr="00A12EC3">
        <w:rPr>
          <w:rFonts w:ascii="Times New Roman" w:hAnsi="Times New Roman" w:cs="Times New Roman"/>
          <w:spacing w:val="1"/>
          <w:sz w:val="24"/>
          <w:szCs w:val="24"/>
        </w:rPr>
        <w:t>r</w:t>
      </w:r>
      <w:r w:rsidRPr="00A12EC3">
        <w:rPr>
          <w:rFonts w:ascii="Times New Roman" w:hAnsi="Times New Roman" w:cs="Times New Roman"/>
          <w:sz w:val="24"/>
          <w:szCs w:val="24"/>
        </w:rPr>
        <w:t>,</w:t>
      </w:r>
      <w:r w:rsidRPr="00A12EC3">
        <w:rPr>
          <w:rFonts w:ascii="Times New Roman" w:hAnsi="Times New Roman" w:cs="Times New Roman"/>
          <w:spacing w:val="-3"/>
          <w:sz w:val="24"/>
          <w:szCs w:val="24"/>
        </w:rPr>
        <w:t xml:space="preserve"> </w:t>
      </w:r>
      <w:r w:rsidRPr="00A12EC3">
        <w:rPr>
          <w:rFonts w:ascii="Times New Roman" w:hAnsi="Times New Roman" w:cs="Times New Roman"/>
          <w:spacing w:val="-1"/>
          <w:sz w:val="24"/>
          <w:szCs w:val="24"/>
        </w:rPr>
        <w:t xml:space="preserve">D.R. </w:t>
      </w:r>
      <w:r w:rsidRPr="00A12EC3">
        <w:rPr>
          <w:rFonts w:ascii="Times New Roman" w:hAnsi="Times New Roman" w:cs="Times New Roman"/>
          <w:sz w:val="24"/>
          <w:szCs w:val="24"/>
        </w:rPr>
        <w:t xml:space="preserve">and </w:t>
      </w:r>
      <w:proofErr w:type="spellStart"/>
      <w:r w:rsidRPr="00A12EC3">
        <w:rPr>
          <w:rFonts w:ascii="Times New Roman" w:hAnsi="Times New Roman" w:cs="Times New Roman"/>
          <w:spacing w:val="-1"/>
          <w:sz w:val="24"/>
          <w:szCs w:val="24"/>
        </w:rPr>
        <w:t>L</w:t>
      </w:r>
      <w:r w:rsidRPr="00A12EC3">
        <w:rPr>
          <w:rFonts w:ascii="Times New Roman" w:hAnsi="Times New Roman" w:cs="Times New Roman"/>
          <w:sz w:val="24"/>
          <w:szCs w:val="24"/>
        </w:rPr>
        <w:t>o</w:t>
      </w:r>
      <w:r w:rsidRPr="00A12EC3">
        <w:rPr>
          <w:rFonts w:ascii="Times New Roman" w:hAnsi="Times New Roman" w:cs="Times New Roman"/>
          <w:spacing w:val="-3"/>
          <w:sz w:val="24"/>
          <w:szCs w:val="24"/>
        </w:rPr>
        <w:t>o</w:t>
      </w:r>
      <w:r w:rsidRPr="00A12EC3">
        <w:rPr>
          <w:rFonts w:ascii="Times New Roman" w:hAnsi="Times New Roman" w:cs="Times New Roman"/>
          <w:spacing w:val="1"/>
          <w:sz w:val="24"/>
          <w:szCs w:val="24"/>
        </w:rPr>
        <w:t>i</w:t>
      </w:r>
      <w:proofErr w:type="spellEnd"/>
      <w:r w:rsidRPr="00A12EC3">
        <w:rPr>
          <w:rFonts w:ascii="Times New Roman" w:hAnsi="Times New Roman" w:cs="Times New Roman"/>
          <w:sz w:val="24"/>
          <w:szCs w:val="24"/>
        </w:rPr>
        <w:t xml:space="preserve">, </w:t>
      </w:r>
      <w:r w:rsidRPr="00A12EC3">
        <w:rPr>
          <w:rFonts w:ascii="Times New Roman" w:hAnsi="Times New Roman" w:cs="Times New Roman"/>
          <w:spacing w:val="-1"/>
          <w:sz w:val="24"/>
          <w:szCs w:val="24"/>
        </w:rPr>
        <w:t>A.,</w:t>
      </w:r>
      <w:r w:rsidRPr="00A12EC3">
        <w:rPr>
          <w:rFonts w:ascii="Times New Roman" w:hAnsi="Times New Roman" w:cs="Times New Roman"/>
          <w:sz w:val="24"/>
          <w:szCs w:val="24"/>
        </w:rPr>
        <w:t xml:space="preserve"> 2009. </w:t>
      </w:r>
      <w:r w:rsidRPr="00A12EC3">
        <w:rPr>
          <w:rFonts w:ascii="Times New Roman" w:hAnsi="Times New Roman" w:cs="Times New Roman"/>
          <w:spacing w:val="-1"/>
          <w:sz w:val="24"/>
          <w:szCs w:val="24"/>
        </w:rPr>
        <w:t>F</w:t>
      </w:r>
      <w:r w:rsidRPr="00A12EC3">
        <w:rPr>
          <w:rFonts w:ascii="Times New Roman" w:hAnsi="Times New Roman" w:cs="Times New Roman"/>
          <w:sz w:val="24"/>
          <w:szCs w:val="24"/>
        </w:rPr>
        <w:t>und</w:t>
      </w:r>
      <w:r w:rsidRPr="00A12EC3">
        <w:rPr>
          <w:rFonts w:ascii="Times New Roman" w:hAnsi="Times New Roman" w:cs="Times New Roman"/>
          <w:spacing w:val="-2"/>
          <w:sz w:val="24"/>
          <w:szCs w:val="24"/>
        </w:rPr>
        <w:t xml:space="preserve"> </w:t>
      </w:r>
      <w:r w:rsidRPr="00A12EC3">
        <w:rPr>
          <w:rFonts w:ascii="Times New Roman" w:hAnsi="Times New Roman" w:cs="Times New Roman"/>
          <w:sz w:val="24"/>
          <w:szCs w:val="24"/>
        </w:rPr>
        <w:t>s</w:t>
      </w:r>
      <w:r w:rsidRPr="00A12EC3">
        <w:rPr>
          <w:rFonts w:ascii="Times New Roman" w:hAnsi="Times New Roman" w:cs="Times New Roman"/>
          <w:spacing w:val="1"/>
          <w:sz w:val="24"/>
          <w:szCs w:val="24"/>
        </w:rPr>
        <w:t>i</w:t>
      </w:r>
      <w:r w:rsidRPr="00A12EC3">
        <w:rPr>
          <w:rFonts w:ascii="Times New Roman" w:hAnsi="Times New Roman" w:cs="Times New Roman"/>
          <w:spacing w:val="-2"/>
          <w:sz w:val="24"/>
          <w:szCs w:val="24"/>
        </w:rPr>
        <w:t>z</w:t>
      </w:r>
      <w:r w:rsidRPr="00A12EC3">
        <w:rPr>
          <w:rFonts w:ascii="Times New Roman" w:hAnsi="Times New Roman" w:cs="Times New Roman"/>
          <w:sz w:val="24"/>
          <w:szCs w:val="24"/>
        </w:rPr>
        <w:t xml:space="preserve">e, </w:t>
      </w:r>
      <w:r w:rsidRPr="00A12EC3">
        <w:rPr>
          <w:rFonts w:ascii="Times New Roman" w:hAnsi="Times New Roman" w:cs="Times New Roman"/>
          <w:spacing w:val="1"/>
          <w:sz w:val="24"/>
          <w:szCs w:val="24"/>
        </w:rPr>
        <w:t>tr</w:t>
      </w:r>
      <w:r w:rsidRPr="00A12EC3">
        <w:rPr>
          <w:rFonts w:ascii="Times New Roman" w:hAnsi="Times New Roman" w:cs="Times New Roman"/>
          <w:sz w:val="24"/>
          <w:szCs w:val="24"/>
        </w:rPr>
        <w:t>a</w:t>
      </w:r>
      <w:r w:rsidRPr="00A12EC3">
        <w:rPr>
          <w:rFonts w:ascii="Times New Roman" w:hAnsi="Times New Roman" w:cs="Times New Roman"/>
          <w:spacing w:val="-3"/>
          <w:sz w:val="24"/>
          <w:szCs w:val="24"/>
        </w:rPr>
        <w:t>n</w:t>
      </w:r>
      <w:r w:rsidRPr="00A12EC3">
        <w:rPr>
          <w:rFonts w:ascii="Times New Roman" w:hAnsi="Times New Roman" w:cs="Times New Roman"/>
          <w:sz w:val="24"/>
          <w:szCs w:val="24"/>
        </w:rPr>
        <w:t>sa</w:t>
      </w:r>
      <w:r w:rsidRPr="00A12EC3">
        <w:rPr>
          <w:rFonts w:ascii="Times New Roman" w:hAnsi="Times New Roman" w:cs="Times New Roman"/>
          <w:spacing w:val="-2"/>
          <w:sz w:val="24"/>
          <w:szCs w:val="24"/>
        </w:rPr>
        <w:t>c</w:t>
      </w:r>
      <w:r w:rsidRPr="00A12EC3">
        <w:rPr>
          <w:rFonts w:ascii="Times New Roman" w:hAnsi="Times New Roman" w:cs="Times New Roman"/>
          <w:spacing w:val="1"/>
          <w:sz w:val="24"/>
          <w:szCs w:val="24"/>
        </w:rPr>
        <w:t>t</w:t>
      </w:r>
      <w:r w:rsidRPr="00A12EC3">
        <w:rPr>
          <w:rFonts w:ascii="Times New Roman" w:hAnsi="Times New Roman" w:cs="Times New Roman"/>
          <w:spacing w:val="-2"/>
          <w:sz w:val="24"/>
          <w:szCs w:val="24"/>
        </w:rPr>
        <w:t>i</w:t>
      </w:r>
      <w:r w:rsidRPr="00A12EC3">
        <w:rPr>
          <w:rFonts w:ascii="Times New Roman" w:hAnsi="Times New Roman" w:cs="Times New Roman"/>
          <w:sz w:val="24"/>
          <w:szCs w:val="24"/>
        </w:rPr>
        <w:t>on c</w:t>
      </w:r>
      <w:r w:rsidRPr="00A12EC3">
        <w:rPr>
          <w:rFonts w:ascii="Times New Roman" w:hAnsi="Times New Roman" w:cs="Times New Roman"/>
          <w:spacing w:val="-3"/>
          <w:sz w:val="24"/>
          <w:szCs w:val="24"/>
        </w:rPr>
        <w:t>o</w:t>
      </w:r>
      <w:r w:rsidRPr="00A12EC3">
        <w:rPr>
          <w:rFonts w:ascii="Times New Roman" w:hAnsi="Times New Roman" w:cs="Times New Roman"/>
          <w:sz w:val="24"/>
          <w:szCs w:val="24"/>
        </w:rPr>
        <w:t>s</w:t>
      </w:r>
      <w:r w:rsidRPr="00A12EC3">
        <w:rPr>
          <w:rFonts w:ascii="Times New Roman" w:hAnsi="Times New Roman" w:cs="Times New Roman"/>
          <w:spacing w:val="-2"/>
          <w:sz w:val="24"/>
          <w:szCs w:val="24"/>
        </w:rPr>
        <w:t>t</w:t>
      </w:r>
      <w:r w:rsidRPr="00A12EC3">
        <w:rPr>
          <w:rFonts w:ascii="Times New Roman" w:hAnsi="Times New Roman" w:cs="Times New Roman"/>
          <w:sz w:val="24"/>
          <w:szCs w:val="24"/>
        </w:rPr>
        <w:t>s and</w:t>
      </w:r>
      <w:r w:rsidRPr="00A12EC3">
        <w:rPr>
          <w:rFonts w:ascii="Times New Roman" w:hAnsi="Times New Roman" w:cs="Times New Roman"/>
          <w:spacing w:val="-3"/>
          <w:sz w:val="24"/>
          <w:szCs w:val="24"/>
        </w:rPr>
        <w:t xml:space="preserve"> </w:t>
      </w:r>
      <w:r w:rsidRPr="00A12EC3">
        <w:rPr>
          <w:rFonts w:ascii="Times New Roman" w:hAnsi="Times New Roman" w:cs="Times New Roman"/>
          <w:sz w:val="24"/>
          <w:szCs w:val="24"/>
        </w:rPr>
        <w:t>pe</w:t>
      </w:r>
      <w:r w:rsidRPr="00A12EC3">
        <w:rPr>
          <w:rFonts w:ascii="Times New Roman" w:hAnsi="Times New Roman" w:cs="Times New Roman"/>
          <w:spacing w:val="-2"/>
          <w:sz w:val="24"/>
          <w:szCs w:val="24"/>
        </w:rPr>
        <w:t>r</w:t>
      </w:r>
      <w:r w:rsidRPr="00A12EC3">
        <w:rPr>
          <w:rFonts w:ascii="Times New Roman" w:hAnsi="Times New Roman" w:cs="Times New Roman"/>
          <w:spacing w:val="1"/>
          <w:sz w:val="24"/>
          <w:szCs w:val="24"/>
        </w:rPr>
        <w:t>f</w:t>
      </w:r>
      <w:r w:rsidRPr="00A12EC3">
        <w:rPr>
          <w:rFonts w:ascii="Times New Roman" w:hAnsi="Times New Roman" w:cs="Times New Roman"/>
          <w:sz w:val="24"/>
          <w:szCs w:val="24"/>
        </w:rPr>
        <w:t>o</w:t>
      </w:r>
      <w:r w:rsidRPr="00A12EC3">
        <w:rPr>
          <w:rFonts w:ascii="Times New Roman" w:hAnsi="Times New Roman" w:cs="Times New Roman"/>
          <w:spacing w:val="-2"/>
          <w:sz w:val="24"/>
          <w:szCs w:val="24"/>
        </w:rPr>
        <w:t>r</w:t>
      </w:r>
      <w:r w:rsidRPr="00A12EC3">
        <w:rPr>
          <w:rFonts w:ascii="Times New Roman" w:hAnsi="Times New Roman" w:cs="Times New Roman"/>
          <w:spacing w:val="-4"/>
          <w:sz w:val="24"/>
          <w:szCs w:val="24"/>
        </w:rPr>
        <w:t>m</w:t>
      </w:r>
      <w:r w:rsidRPr="00A12EC3">
        <w:rPr>
          <w:rFonts w:ascii="Times New Roman" w:hAnsi="Times New Roman" w:cs="Times New Roman"/>
          <w:sz w:val="24"/>
          <w:szCs w:val="24"/>
        </w:rPr>
        <w:t>ance:</w:t>
      </w:r>
      <w:r w:rsidRPr="00A12EC3">
        <w:rPr>
          <w:rFonts w:ascii="Times New Roman" w:hAnsi="Times New Roman" w:cs="Times New Roman"/>
          <w:spacing w:val="1"/>
          <w:sz w:val="24"/>
          <w:szCs w:val="24"/>
        </w:rPr>
        <w:t xml:space="preserve"> </w:t>
      </w:r>
      <w:r w:rsidRPr="00A12EC3">
        <w:rPr>
          <w:rFonts w:ascii="Times New Roman" w:hAnsi="Times New Roman" w:cs="Times New Roman"/>
          <w:sz w:val="24"/>
          <w:szCs w:val="24"/>
        </w:rPr>
        <w:t>s</w:t>
      </w:r>
      <w:r w:rsidRPr="00A12EC3">
        <w:rPr>
          <w:rFonts w:ascii="Times New Roman" w:hAnsi="Times New Roman" w:cs="Times New Roman"/>
          <w:spacing w:val="1"/>
          <w:sz w:val="24"/>
          <w:szCs w:val="24"/>
        </w:rPr>
        <w:t>i</w:t>
      </w:r>
      <w:r w:rsidRPr="00A12EC3">
        <w:rPr>
          <w:rFonts w:ascii="Times New Roman" w:hAnsi="Times New Roman" w:cs="Times New Roman"/>
          <w:spacing w:val="-2"/>
          <w:sz w:val="24"/>
          <w:szCs w:val="24"/>
        </w:rPr>
        <w:t>z</w:t>
      </w:r>
      <w:r w:rsidRPr="00A12EC3">
        <w:rPr>
          <w:rFonts w:ascii="Times New Roman" w:hAnsi="Times New Roman" w:cs="Times New Roman"/>
          <w:sz w:val="24"/>
          <w:szCs w:val="24"/>
        </w:rPr>
        <w:t xml:space="preserve">e </w:t>
      </w:r>
      <w:r w:rsidRPr="00A12EC3">
        <w:rPr>
          <w:rFonts w:ascii="Times New Roman" w:hAnsi="Times New Roman" w:cs="Times New Roman"/>
          <w:spacing w:val="-4"/>
          <w:sz w:val="24"/>
          <w:szCs w:val="24"/>
        </w:rPr>
        <w:t>m</w:t>
      </w:r>
      <w:r w:rsidRPr="00A12EC3">
        <w:rPr>
          <w:rFonts w:ascii="Times New Roman" w:hAnsi="Times New Roman" w:cs="Times New Roman"/>
          <w:sz w:val="24"/>
          <w:szCs w:val="24"/>
        </w:rPr>
        <w:t>a</w:t>
      </w:r>
      <w:r w:rsidRPr="00A12EC3">
        <w:rPr>
          <w:rFonts w:ascii="Times New Roman" w:hAnsi="Times New Roman" w:cs="Times New Roman"/>
          <w:spacing w:val="1"/>
          <w:sz w:val="24"/>
          <w:szCs w:val="24"/>
        </w:rPr>
        <w:t>tt</w:t>
      </w:r>
      <w:r w:rsidRPr="00A12EC3">
        <w:rPr>
          <w:rFonts w:ascii="Times New Roman" w:hAnsi="Times New Roman" w:cs="Times New Roman"/>
          <w:spacing w:val="-2"/>
          <w:sz w:val="24"/>
          <w:szCs w:val="24"/>
        </w:rPr>
        <w:t>e</w:t>
      </w:r>
      <w:r w:rsidRPr="00A12EC3">
        <w:rPr>
          <w:rFonts w:ascii="Times New Roman" w:hAnsi="Times New Roman" w:cs="Times New Roman"/>
          <w:spacing w:val="1"/>
          <w:sz w:val="24"/>
          <w:szCs w:val="24"/>
        </w:rPr>
        <w:t>r</w:t>
      </w:r>
      <w:r w:rsidRPr="00A12EC3">
        <w:rPr>
          <w:rFonts w:ascii="Times New Roman" w:hAnsi="Times New Roman" w:cs="Times New Roman"/>
          <w:sz w:val="24"/>
          <w:szCs w:val="24"/>
        </w:rPr>
        <w:t xml:space="preserve">s. </w:t>
      </w:r>
      <w:r w:rsidRPr="005334C9">
        <w:rPr>
          <w:rFonts w:ascii="Times New Roman" w:hAnsi="Times New Roman" w:cs="Times New Roman"/>
          <w:i/>
          <w:spacing w:val="-1"/>
          <w:sz w:val="24"/>
          <w:szCs w:val="24"/>
        </w:rPr>
        <w:t>Australian</w:t>
      </w:r>
      <w:r w:rsidRPr="005334C9">
        <w:rPr>
          <w:rFonts w:ascii="Times New Roman" w:hAnsi="Times New Roman" w:cs="Times New Roman"/>
          <w:i/>
          <w:spacing w:val="-3"/>
          <w:sz w:val="24"/>
          <w:szCs w:val="24"/>
        </w:rPr>
        <w:t xml:space="preserve"> </w:t>
      </w:r>
      <w:r w:rsidRPr="005334C9">
        <w:rPr>
          <w:rFonts w:ascii="Times New Roman" w:hAnsi="Times New Roman" w:cs="Times New Roman"/>
          <w:i/>
          <w:sz w:val="24"/>
          <w:szCs w:val="24"/>
        </w:rPr>
        <w:t>Jou</w:t>
      </w:r>
      <w:r w:rsidRPr="005334C9">
        <w:rPr>
          <w:rFonts w:ascii="Times New Roman" w:hAnsi="Times New Roman" w:cs="Times New Roman"/>
          <w:i/>
          <w:spacing w:val="-2"/>
          <w:sz w:val="24"/>
          <w:szCs w:val="24"/>
        </w:rPr>
        <w:t>r</w:t>
      </w:r>
      <w:r w:rsidRPr="005334C9">
        <w:rPr>
          <w:rFonts w:ascii="Times New Roman" w:hAnsi="Times New Roman" w:cs="Times New Roman"/>
          <w:i/>
          <w:sz w:val="24"/>
          <w:szCs w:val="24"/>
        </w:rPr>
        <w:t>nal</w:t>
      </w:r>
      <w:r w:rsidRPr="005334C9">
        <w:rPr>
          <w:rFonts w:ascii="Times New Roman" w:hAnsi="Times New Roman" w:cs="Times New Roman"/>
          <w:i/>
          <w:spacing w:val="-1"/>
          <w:sz w:val="24"/>
          <w:szCs w:val="24"/>
        </w:rPr>
        <w:t xml:space="preserve"> </w:t>
      </w:r>
      <w:r w:rsidRPr="005334C9">
        <w:rPr>
          <w:rFonts w:ascii="Times New Roman" w:hAnsi="Times New Roman" w:cs="Times New Roman"/>
          <w:i/>
          <w:sz w:val="24"/>
          <w:szCs w:val="24"/>
        </w:rPr>
        <w:t>of</w:t>
      </w:r>
      <w:r w:rsidRPr="005334C9">
        <w:rPr>
          <w:rFonts w:ascii="Times New Roman" w:hAnsi="Times New Roman" w:cs="Times New Roman"/>
          <w:i/>
          <w:spacing w:val="-1"/>
          <w:sz w:val="24"/>
          <w:szCs w:val="24"/>
        </w:rPr>
        <w:t xml:space="preserve"> </w:t>
      </w:r>
      <w:r w:rsidRPr="005334C9">
        <w:rPr>
          <w:rFonts w:ascii="Times New Roman" w:hAnsi="Times New Roman" w:cs="Times New Roman"/>
          <w:i/>
          <w:spacing w:val="1"/>
          <w:sz w:val="24"/>
          <w:szCs w:val="24"/>
        </w:rPr>
        <w:t>M</w:t>
      </w:r>
      <w:r w:rsidRPr="005334C9">
        <w:rPr>
          <w:rFonts w:ascii="Times New Roman" w:hAnsi="Times New Roman" w:cs="Times New Roman"/>
          <w:i/>
          <w:sz w:val="24"/>
          <w:szCs w:val="24"/>
        </w:rPr>
        <w:t>ana</w:t>
      </w:r>
      <w:r w:rsidRPr="005334C9">
        <w:rPr>
          <w:rFonts w:ascii="Times New Roman" w:hAnsi="Times New Roman" w:cs="Times New Roman"/>
          <w:i/>
          <w:spacing w:val="-3"/>
          <w:sz w:val="24"/>
          <w:szCs w:val="24"/>
        </w:rPr>
        <w:t>g</w:t>
      </w:r>
      <w:r w:rsidRPr="005334C9">
        <w:rPr>
          <w:rFonts w:ascii="Times New Roman" w:hAnsi="Times New Roman" w:cs="Times New Roman"/>
          <w:i/>
          <w:sz w:val="24"/>
          <w:szCs w:val="24"/>
        </w:rPr>
        <w:t>e</w:t>
      </w:r>
      <w:r w:rsidRPr="005334C9">
        <w:rPr>
          <w:rFonts w:ascii="Times New Roman" w:hAnsi="Times New Roman" w:cs="Times New Roman"/>
          <w:i/>
          <w:spacing w:val="-1"/>
          <w:sz w:val="24"/>
          <w:szCs w:val="24"/>
        </w:rPr>
        <w:t>m</w:t>
      </w:r>
      <w:r w:rsidRPr="005334C9">
        <w:rPr>
          <w:rFonts w:ascii="Times New Roman" w:hAnsi="Times New Roman" w:cs="Times New Roman"/>
          <w:i/>
          <w:sz w:val="24"/>
          <w:szCs w:val="24"/>
        </w:rPr>
        <w:t>e</w:t>
      </w:r>
      <w:r w:rsidRPr="005334C9">
        <w:rPr>
          <w:rFonts w:ascii="Times New Roman" w:hAnsi="Times New Roman" w:cs="Times New Roman"/>
          <w:i/>
          <w:spacing w:val="-3"/>
          <w:sz w:val="24"/>
          <w:szCs w:val="24"/>
        </w:rPr>
        <w:t>n</w:t>
      </w:r>
      <w:r w:rsidRPr="005334C9">
        <w:rPr>
          <w:rFonts w:ascii="Times New Roman" w:hAnsi="Times New Roman" w:cs="Times New Roman"/>
          <w:i/>
          <w:sz w:val="24"/>
          <w:szCs w:val="24"/>
        </w:rPr>
        <w:t>t</w:t>
      </w:r>
      <w:r w:rsidRPr="00A12EC3">
        <w:rPr>
          <w:rFonts w:ascii="Times New Roman" w:hAnsi="Times New Roman" w:cs="Times New Roman"/>
          <w:sz w:val="24"/>
          <w:szCs w:val="24"/>
        </w:rPr>
        <w:t>,</w:t>
      </w:r>
      <w:r w:rsidRPr="00A12EC3">
        <w:rPr>
          <w:rFonts w:ascii="Times New Roman" w:hAnsi="Times New Roman" w:cs="Times New Roman"/>
          <w:spacing w:val="1"/>
          <w:sz w:val="24"/>
          <w:szCs w:val="24"/>
        </w:rPr>
        <w:t xml:space="preserve"> </w:t>
      </w:r>
      <w:r w:rsidRPr="00A12EC3">
        <w:rPr>
          <w:rFonts w:ascii="Times New Roman" w:hAnsi="Times New Roman" w:cs="Times New Roman"/>
          <w:sz w:val="24"/>
          <w:szCs w:val="24"/>
        </w:rPr>
        <w:t>34, pp.73</w:t>
      </w:r>
      <w:r w:rsidRPr="00A12EC3">
        <w:rPr>
          <w:rFonts w:ascii="Times New Roman" w:hAnsi="Times New Roman" w:cs="Times New Roman"/>
          <w:spacing w:val="-4"/>
          <w:sz w:val="24"/>
          <w:szCs w:val="24"/>
        </w:rPr>
        <w:t>-</w:t>
      </w:r>
      <w:r w:rsidRPr="00A12EC3">
        <w:rPr>
          <w:rFonts w:ascii="Times New Roman" w:hAnsi="Times New Roman" w:cs="Times New Roman"/>
          <w:sz w:val="24"/>
          <w:szCs w:val="24"/>
        </w:rPr>
        <w:t>96.</w:t>
      </w:r>
    </w:p>
    <w:p w:rsidR="007F433F" w:rsidRPr="00A12EC3" w:rsidRDefault="007F433F" w:rsidP="007F433F">
      <w:pPr>
        <w:kinsoku w:val="0"/>
        <w:overflowPunct w:val="0"/>
        <w:autoSpaceDE w:val="0"/>
        <w:autoSpaceDN w:val="0"/>
        <w:adjustRightInd w:val="0"/>
        <w:spacing w:after="0" w:line="246" w:lineRule="exact"/>
        <w:ind w:left="426" w:hanging="426"/>
        <w:jc w:val="both"/>
        <w:rPr>
          <w:rFonts w:ascii="Times New Roman" w:hAnsi="Times New Roman" w:cs="Times New Roman"/>
          <w:sz w:val="24"/>
          <w:szCs w:val="24"/>
        </w:rPr>
      </w:pPr>
    </w:p>
    <w:p w:rsidR="007F433F" w:rsidRPr="00A12EC3" w:rsidRDefault="007F433F" w:rsidP="007F433F">
      <w:pPr>
        <w:snapToGrid w:val="0"/>
        <w:spacing w:after="0" w:line="240" w:lineRule="auto"/>
        <w:ind w:left="426" w:hanging="426"/>
        <w:jc w:val="both"/>
        <w:rPr>
          <w:rFonts w:ascii="Times New Roman" w:hAnsi="Times New Roman" w:cs="Times New Roman"/>
          <w:sz w:val="24"/>
          <w:szCs w:val="24"/>
        </w:rPr>
      </w:pPr>
      <w:r w:rsidRPr="00A12EC3">
        <w:rPr>
          <w:rFonts w:ascii="Times New Roman" w:hAnsi="Times New Roman" w:cs="Times New Roman"/>
          <w:sz w:val="24"/>
          <w:szCs w:val="24"/>
        </w:rPr>
        <w:t>Chen, H. and Bassett. G., 2014. What does β</w:t>
      </w:r>
      <w:r w:rsidRPr="00A12EC3">
        <w:rPr>
          <w:rFonts w:ascii="Times New Roman" w:hAnsi="Times New Roman" w:cs="Times New Roman"/>
          <w:sz w:val="24"/>
          <w:szCs w:val="24"/>
          <w:vertAlign w:val="subscript"/>
        </w:rPr>
        <w:t xml:space="preserve">SMB </w:t>
      </w:r>
      <w:r w:rsidRPr="00A12EC3">
        <w:rPr>
          <w:rFonts w:ascii="Times New Roman" w:hAnsi="Times New Roman" w:cs="Times New Roman"/>
          <w:sz w:val="24"/>
          <w:szCs w:val="24"/>
        </w:rPr>
        <w:t>&gt;0 really mean</w:t>
      </w:r>
      <w:proofErr w:type="gramStart"/>
      <w:r w:rsidRPr="00A12EC3">
        <w:rPr>
          <w:rFonts w:ascii="Times New Roman" w:hAnsi="Times New Roman" w:cs="Times New Roman"/>
          <w:sz w:val="24"/>
          <w:szCs w:val="24"/>
        </w:rPr>
        <w:t>?,</w:t>
      </w:r>
      <w:proofErr w:type="gramEnd"/>
      <w:r w:rsidRPr="00A12EC3">
        <w:rPr>
          <w:rFonts w:ascii="Times New Roman" w:hAnsi="Times New Roman" w:cs="Times New Roman"/>
          <w:sz w:val="24"/>
          <w:szCs w:val="24"/>
        </w:rPr>
        <w:t xml:space="preserve"> </w:t>
      </w:r>
      <w:r w:rsidRPr="005334C9">
        <w:rPr>
          <w:rFonts w:ascii="Times New Roman" w:hAnsi="Times New Roman" w:cs="Times New Roman"/>
          <w:i/>
          <w:sz w:val="24"/>
          <w:szCs w:val="24"/>
        </w:rPr>
        <w:t>Journal of Financial Research</w:t>
      </w:r>
      <w:r w:rsidRPr="00A12EC3">
        <w:rPr>
          <w:rFonts w:ascii="Times New Roman" w:hAnsi="Times New Roman" w:cs="Times New Roman"/>
          <w:sz w:val="24"/>
          <w:szCs w:val="24"/>
        </w:rPr>
        <w:t xml:space="preserve">, 34,  pp. 543-551. </w:t>
      </w:r>
    </w:p>
    <w:p w:rsidR="007F433F" w:rsidRPr="00A12EC3" w:rsidRDefault="007F433F" w:rsidP="007F433F">
      <w:pPr>
        <w:snapToGrid w:val="0"/>
        <w:spacing w:after="0" w:line="240" w:lineRule="auto"/>
        <w:ind w:left="426" w:hanging="426"/>
        <w:jc w:val="both"/>
        <w:rPr>
          <w:rFonts w:ascii="Times New Roman" w:hAnsi="Times New Roman" w:cs="Times New Roman"/>
          <w:sz w:val="24"/>
          <w:szCs w:val="24"/>
        </w:rPr>
      </w:pPr>
    </w:p>
    <w:p w:rsidR="007F433F" w:rsidRPr="00A12EC3" w:rsidRDefault="007F433F" w:rsidP="007F433F">
      <w:pPr>
        <w:snapToGrid w:val="0"/>
        <w:spacing w:line="240" w:lineRule="auto"/>
        <w:ind w:left="426" w:hanging="426"/>
        <w:jc w:val="both"/>
        <w:rPr>
          <w:rFonts w:ascii="Times New Roman" w:hAnsi="Times New Roman" w:cs="Times New Roman"/>
          <w:sz w:val="24"/>
          <w:szCs w:val="24"/>
        </w:rPr>
      </w:pPr>
      <w:proofErr w:type="spellStart"/>
      <w:r w:rsidRPr="00A12EC3">
        <w:rPr>
          <w:rFonts w:ascii="Times New Roman" w:hAnsi="Times New Roman" w:cs="Times New Roman"/>
          <w:sz w:val="24"/>
          <w:szCs w:val="24"/>
        </w:rPr>
        <w:t>Chiah</w:t>
      </w:r>
      <w:proofErr w:type="spellEnd"/>
      <w:r w:rsidRPr="00A12EC3">
        <w:rPr>
          <w:rFonts w:ascii="Times New Roman" w:hAnsi="Times New Roman" w:cs="Times New Roman"/>
          <w:sz w:val="24"/>
          <w:szCs w:val="24"/>
        </w:rPr>
        <w:t xml:space="preserve">, M., Chai, D., </w:t>
      </w:r>
      <w:proofErr w:type="spellStart"/>
      <w:r w:rsidRPr="00A12EC3">
        <w:rPr>
          <w:rFonts w:ascii="Times New Roman" w:hAnsi="Times New Roman" w:cs="Times New Roman"/>
          <w:sz w:val="24"/>
          <w:szCs w:val="24"/>
        </w:rPr>
        <w:t>Zhong</w:t>
      </w:r>
      <w:proofErr w:type="spellEnd"/>
      <w:r w:rsidRPr="00A12EC3">
        <w:rPr>
          <w:rFonts w:ascii="Times New Roman" w:hAnsi="Times New Roman" w:cs="Times New Roman"/>
          <w:sz w:val="24"/>
          <w:szCs w:val="24"/>
        </w:rPr>
        <w:t xml:space="preserve">, A., 2016. A Better Model? An Empirical Investigation of the </w:t>
      </w:r>
      <w:proofErr w:type="spellStart"/>
      <w:r w:rsidRPr="00A12EC3">
        <w:rPr>
          <w:rFonts w:ascii="Times New Roman" w:hAnsi="Times New Roman" w:cs="Times New Roman"/>
          <w:sz w:val="24"/>
          <w:szCs w:val="24"/>
        </w:rPr>
        <w:t>Fama</w:t>
      </w:r>
      <w:proofErr w:type="spellEnd"/>
      <w:r w:rsidRPr="00A12EC3">
        <w:rPr>
          <w:rFonts w:ascii="Times New Roman" w:hAnsi="Times New Roman" w:cs="Times New Roman"/>
          <w:sz w:val="24"/>
          <w:szCs w:val="24"/>
        </w:rPr>
        <w:t>–French Five‐factor Model in Australia.</w:t>
      </w:r>
      <w:r w:rsidRPr="005334C9">
        <w:rPr>
          <w:rFonts w:ascii="Times New Roman" w:hAnsi="Times New Roman" w:cs="Times New Roman"/>
          <w:i/>
          <w:sz w:val="24"/>
          <w:szCs w:val="24"/>
        </w:rPr>
        <w:t xml:space="preserve"> International Review of Finance</w:t>
      </w:r>
      <w:r w:rsidRPr="00A12EC3">
        <w:rPr>
          <w:rFonts w:ascii="Times New Roman" w:hAnsi="Times New Roman" w:cs="Times New Roman"/>
          <w:sz w:val="24"/>
          <w:szCs w:val="24"/>
        </w:rPr>
        <w:t>, 16, pp. 595-638.</w:t>
      </w:r>
    </w:p>
    <w:p w:rsidR="007F433F" w:rsidRPr="00A12EC3" w:rsidRDefault="007F433F" w:rsidP="007F433F">
      <w:pPr>
        <w:ind w:left="426" w:hanging="426"/>
        <w:jc w:val="both"/>
        <w:rPr>
          <w:rFonts w:ascii="Times New Roman" w:hAnsi="Times New Roman" w:cs="Times New Roman"/>
          <w:sz w:val="24"/>
          <w:szCs w:val="24"/>
        </w:rPr>
      </w:pPr>
      <w:r w:rsidRPr="00A12EC3">
        <w:rPr>
          <w:rFonts w:ascii="Times New Roman" w:hAnsi="Times New Roman" w:cs="Times New Roman"/>
          <w:sz w:val="24"/>
          <w:szCs w:val="24"/>
        </w:rPr>
        <w:t>Clare, R., and Connor, D. 1999. The Superannuation Industry in Australia. Sydney: ASFA Research Centre.</w:t>
      </w:r>
    </w:p>
    <w:p w:rsidR="007F433F" w:rsidRPr="00A12EC3" w:rsidRDefault="007F433F" w:rsidP="007F433F">
      <w:pPr>
        <w:snapToGrid w:val="0"/>
        <w:spacing w:line="240" w:lineRule="auto"/>
        <w:ind w:left="426" w:hanging="426"/>
        <w:jc w:val="both"/>
        <w:rPr>
          <w:rFonts w:ascii="Times New Roman" w:hAnsi="Times New Roman" w:cs="Times New Roman"/>
          <w:sz w:val="24"/>
          <w:szCs w:val="24"/>
        </w:rPr>
      </w:pPr>
      <w:r w:rsidRPr="00A12EC3">
        <w:rPr>
          <w:rFonts w:ascii="Times New Roman" w:hAnsi="Times New Roman" w:cs="Times New Roman"/>
          <w:sz w:val="24"/>
          <w:szCs w:val="24"/>
        </w:rPr>
        <w:t xml:space="preserve">Elton, E.J. Grubber, M.J., and Blake, C.R. 2011.  Holdings data, security returns and the selection of superior mutual funds. </w:t>
      </w:r>
      <w:r w:rsidRPr="005334C9">
        <w:rPr>
          <w:rFonts w:ascii="Times New Roman" w:hAnsi="Times New Roman" w:cs="Times New Roman"/>
          <w:i/>
          <w:sz w:val="24"/>
          <w:szCs w:val="24"/>
        </w:rPr>
        <w:t>Journal of Financial and Quantitative Analysis</w:t>
      </w:r>
      <w:r w:rsidRPr="00A12EC3">
        <w:rPr>
          <w:rFonts w:ascii="Times New Roman" w:hAnsi="Times New Roman" w:cs="Times New Roman"/>
          <w:sz w:val="24"/>
          <w:szCs w:val="24"/>
        </w:rPr>
        <w:t>, 46, pp.341-367.</w:t>
      </w:r>
    </w:p>
    <w:p w:rsidR="007F433F" w:rsidRPr="00A12EC3" w:rsidRDefault="007F433F" w:rsidP="007F433F">
      <w:pPr>
        <w:ind w:left="426" w:hanging="426"/>
        <w:jc w:val="both"/>
        <w:rPr>
          <w:rFonts w:ascii="Times New Roman" w:hAnsi="Times New Roman" w:cs="Times New Roman"/>
          <w:sz w:val="24"/>
          <w:szCs w:val="24"/>
        </w:rPr>
      </w:pPr>
      <w:r w:rsidRPr="00A12EC3">
        <w:rPr>
          <w:rFonts w:ascii="Times New Roman" w:hAnsi="Times New Roman" w:cs="Times New Roman"/>
          <w:sz w:val="24"/>
          <w:szCs w:val="24"/>
        </w:rPr>
        <w:t xml:space="preserve">Estrada, J. 2016. Buffett’s Asset Allocation Advice: Take it with a Twist. </w:t>
      </w:r>
      <w:r w:rsidRPr="005334C9">
        <w:rPr>
          <w:rFonts w:ascii="Times New Roman" w:hAnsi="Times New Roman" w:cs="Times New Roman"/>
          <w:i/>
          <w:sz w:val="24"/>
          <w:szCs w:val="24"/>
        </w:rPr>
        <w:t>The Journal of Wealth Management</w:t>
      </w:r>
      <w:r w:rsidRPr="00A12EC3">
        <w:rPr>
          <w:rFonts w:ascii="Times New Roman" w:hAnsi="Times New Roman" w:cs="Times New Roman"/>
          <w:sz w:val="24"/>
          <w:szCs w:val="24"/>
        </w:rPr>
        <w:t>, 18, pp. 59-64.</w:t>
      </w:r>
    </w:p>
    <w:p w:rsidR="007F433F" w:rsidRPr="00A12EC3" w:rsidRDefault="007F433F" w:rsidP="007F433F">
      <w:pPr>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AU"/>
        </w:rPr>
      </w:pPr>
      <w:proofErr w:type="spellStart"/>
      <w:r w:rsidRPr="00A12EC3">
        <w:rPr>
          <w:rFonts w:ascii="Times New Roman" w:eastAsia="Calibri" w:hAnsi="Times New Roman" w:cs="Times New Roman"/>
          <w:sz w:val="24"/>
          <w:szCs w:val="24"/>
          <w:lang w:eastAsia="en-AU"/>
        </w:rPr>
        <w:t>Fama</w:t>
      </w:r>
      <w:proofErr w:type="spellEnd"/>
      <w:r w:rsidRPr="00A12EC3">
        <w:rPr>
          <w:rFonts w:ascii="Times New Roman" w:eastAsia="Calibri" w:hAnsi="Times New Roman" w:cs="Times New Roman"/>
          <w:sz w:val="24"/>
          <w:szCs w:val="24"/>
          <w:lang w:eastAsia="en-AU"/>
        </w:rPr>
        <w:t xml:space="preserve">, E.F. and French, K.R., 1993. Common Risk Factors in the Returns on Stocks and Bonds. </w:t>
      </w:r>
      <w:r w:rsidRPr="005334C9">
        <w:rPr>
          <w:rFonts w:ascii="Times New Roman" w:eastAsia="Calibri" w:hAnsi="Times New Roman" w:cs="Times New Roman"/>
          <w:i/>
          <w:sz w:val="24"/>
          <w:szCs w:val="24"/>
          <w:lang w:eastAsia="en-AU"/>
        </w:rPr>
        <w:t>Journal of Financial Economics</w:t>
      </w:r>
      <w:r w:rsidRPr="00A12EC3">
        <w:rPr>
          <w:rFonts w:ascii="Times New Roman" w:eastAsia="Calibri" w:hAnsi="Times New Roman" w:cs="Times New Roman"/>
          <w:sz w:val="24"/>
          <w:szCs w:val="24"/>
          <w:lang w:eastAsia="en-AU"/>
        </w:rPr>
        <w:t>, 33, pp.3–56.</w:t>
      </w:r>
    </w:p>
    <w:p w:rsidR="007F433F" w:rsidRPr="00A12EC3" w:rsidRDefault="007F433F" w:rsidP="007F433F">
      <w:pPr>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AU"/>
        </w:rPr>
      </w:pPr>
    </w:p>
    <w:p w:rsidR="007F433F" w:rsidRPr="00A12EC3" w:rsidRDefault="007F433F" w:rsidP="007F433F">
      <w:pPr>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AU"/>
        </w:rPr>
      </w:pPr>
      <w:proofErr w:type="spellStart"/>
      <w:r w:rsidRPr="00A12EC3">
        <w:rPr>
          <w:rFonts w:ascii="Times New Roman" w:eastAsia="Calibri" w:hAnsi="Times New Roman" w:cs="Times New Roman"/>
          <w:sz w:val="24"/>
          <w:szCs w:val="24"/>
          <w:lang w:eastAsia="en-AU"/>
        </w:rPr>
        <w:t>Fama</w:t>
      </w:r>
      <w:proofErr w:type="spellEnd"/>
      <w:r w:rsidRPr="00A12EC3">
        <w:rPr>
          <w:rFonts w:ascii="Times New Roman" w:eastAsia="Calibri" w:hAnsi="Times New Roman" w:cs="Times New Roman"/>
          <w:sz w:val="24"/>
          <w:szCs w:val="24"/>
          <w:lang w:eastAsia="en-AU"/>
        </w:rPr>
        <w:t xml:space="preserve">, E.F. and French, K.R, 1996, Multifactor Explanations of Asset Pricing Anomalies. </w:t>
      </w:r>
      <w:r w:rsidRPr="005334C9">
        <w:rPr>
          <w:rFonts w:ascii="Times New Roman" w:eastAsia="Calibri" w:hAnsi="Times New Roman" w:cs="Times New Roman"/>
          <w:i/>
          <w:sz w:val="24"/>
          <w:szCs w:val="24"/>
          <w:lang w:eastAsia="en-AU"/>
        </w:rPr>
        <w:t>Journal of Finance</w:t>
      </w:r>
      <w:r w:rsidRPr="00A12EC3">
        <w:rPr>
          <w:rFonts w:ascii="Times New Roman" w:eastAsia="Calibri" w:hAnsi="Times New Roman" w:cs="Times New Roman"/>
          <w:sz w:val="24"/>
          <w:szCs w:val="24"/>
          <w:lang w:eastAsia="en-AU"/>
        </w:rPr>
        <w:t>, 51, pp.55–84.</w:t>
      </w:r>
    </w:p>
    <w:p w:rsidR="007F433F" w:rsidRPr="00A12EC3" w:rsidRDefault="007F433F" w:rsidP="007F433F">
      <w:pPr>
        <w:autoSpaceDE w:val="0"/>
        <w:autoSpaceDN w:val="0"/>
        <w:adjustRightInd w:val="0"/>
        <w:spacing w:after="0" w:line="240" w:lineRule="auto"/>
        <w:ind w:left="426" w:hanging="426"/>
        <w:contextualSpacing/>
        <w:jc w:val="both"/>
        <w:rPr>
          <w:rFonts w:ascii="Times New Roman" w:eastAsia="Calibri" w:hAnsi="Times New Roman" w:cs="Times New Roman"/>
          <w:sz w:val="24"/>
          <w:szCs w:val="24"/>
          <w:lang w:eastAsia="en-AU"/>
        </w:rPr>
      </w:pPr>
    </w:p>
    <w:p w:rsidR="007F433F" w:rsidRPr="00A12EC3" w:rsidRDefault="007F433F" w:rsidP="007F433F">
      <w:pPr>
        <w:ind w:left="426" w:hanging="426"/>
        <w:jc w:val="both"/>
        <w:rPr>
          <w:rFonts w:ascii="Times New Roman" w:hAnsi="Times New Roman" w:cs="Times New Roman"/>
          <w:sz w:val="24"/>
          <w:szCs w:val="24"/>
        </w:rPr>
      </w:pPr>
      <w:proofErr w:type="spellStart"/>
      <w:r w:rsidRPr="00A12EC3">
        <w:rPr>
          <w:rFonts w:ascii="Times New Roman" w:eastAsia="SimSun" w:hAnsi="Times New Roman" w:cs="Times New Roman"/>
          <w:sz w:val="24"/>
          <w:szCs w:val="24"/>
        </w:rPr>
        <w:t>Fama</w:t>
      </w:r>
      <w:proofErr w:type="spellEnd"/>
      <w:r w:rsidRPr="00A12EC3">
        <w:rPr>
          <w:rFonts w:ascii="Times New Roman" w:eastAsia="SimSun" w:hAnsi="Times New Roman" w:cs="Times New Roman"/>
          <w:sz w:val="24"/>
          <w:szCs w:val="24"/>
        </w:rPr>
        <w:t xml:space="preserve">, E. F. and French, K. R. 2015.A five-factor asset pricing model. </w:t>
      </w:r>
      <w:r w:rsidRPr="005334C9">
        <w:rPr>
          <w:rFonts w:ascii="Times New Roman" w:eastAsia="SimSun" w:hAnsi="Times New Roman" w:cs="Times New Roman"/>
          <w:i/>
          <w:sz w:val="24"/>
          <w:szCs w:val="24"/>
        </w:rPr>
        <w:t>Journal of Financial Economics</w:t>
      </w:r>
      <w:r w:rsidRPr="00A12EC3">
        <w:rPr>
          <w:rFonts w:ascii="Times New Roman" w:eastAsia="SimSun" w:hAnsi="Times New Roman" w:cs="Times New Roman"/>
          <w:sz w:val="24"/>
          <w:szCs w:val="24"/>
        </w:rPr>
        <w:t>, 116, pp.1-22.</w:t>
      </w:r>
    </w:p>
    <w:p w:rsidR="007F433F" w:rsidRPr="00A12EC3" w:rsidRDefault="007F433F" w:rsidP="007F433F">
      <w:pPr>
        <w:spacing w:after="0" w:line="240" w:lineRule="auto"/>
        <w:ind w:left="426" w:hanging="426"/>
        <w:contextualSpacing/>
        <w:jc w:val="both"/>
        <w:rPr>
          <w:rFonts w:ascii="Times New Roman" w:hAnsi="Times New Roman" w:cs="Times New Roman"/>
          <w:sz w:val="24"/>
          <w:szCs w:val="24"/>
        </w:rPr>
      </w:pPr>
      <w:r w:rsidRPr="00A12EC3">
        <w:rPr>
          <w:rFonts w:ascii="Times New Roman" w:hAnsi="Times New Roman" w:cs="Times New Roman"/>
          <w:sz w:val="24"/>
          <w:szCs w:val="24"/>
        </w:rPr>
        <w:t xml:space="preserve">Feng, G., </w:t>
      </w:r>
      <w:proofErr w:type="gramStart"/>
      <w:r w:rsidRPr="00A12EC3">
        <w:rPr>
          <w:rFonts w:ascii="Times New Roman" w:hAnsi="Times New Roman" w:cs="Times New Roman"/>
          <w:sz w:val="24"/>
          <w:szCs w:val="24"/>
        </w:rPr>
        <w:t>Gao</w:t>
      </w:r>
      <w:proofErr w:type="gramEnd"/>
      <w:r w:rsidRPr="00A12EC3">
        <w:rPr>
          <w:rFonts w:ascii="Times New Roman" w:hAnsi="Times New Roman" w:cs="Times New Roman"/>
          <w:sz w:val="24"/>
          <w:szCs w:val="24"/>
        </w:rPr>
        <w:t xml:space="preserve">, J., Peng, B., </w:t>
      </w:r>
      <w:r>
        <w:rPr>
          <w:rFonts w:ascii="Times New Roman" w:hAnsi="Times New Roman" w:cs="Times New Roman"/>
          <w:sz w:val="24"/>
          <w:szCs w:val="24"/>
        </w:rPr>
        <w:t>and</w:t>
      </w:r>
      <w:r w:rsidRPr="00A12EC3">
        <w:rPr>
          <w:rFonts w:ascii="Times New Roman" w:hAnsi="Times New Roman" w:cs="Times New Roman"/>
          <w:sz w:val="24"/>
          <w:szCs w:val="24"/>
        </w:rPr>
        <w:t xml:space="preserve"> Zhang, X., 2017. A varying-coefficient panel data model with fixed effects: theory and an application to US commercial banks. </w:t>
      </w:r>
      <w:r w:rsidRPr="005334C9">
        <w:rPr>
          <w:rFonts w:ascii="Times New Roman" w:hAnsi="Times New Roman" w:cs="Times New Roman"/>
          <w:i/>
          <w:sz w:val="24"/>
          <w:szCs w:val="24"/>
        </w:rPr>
        <w:t>Journal of Econometrics</w:t>
      </w:r>
      <w:r w:rsidRPr="00A12EC3">
        <w:rPr>
          <w:rFonts w:ascii="Times New Roman" w:hAnsi="Times New Roman" w:cs="Times New Roman"/>
          <w:sz w:val="24"/>
          <w:szCs w:val="24"/>
        </w:rPr>
        <w:t xml:space="preserve">, 196, pp. 68-82. </w:t>
      </w:r>
    </w:p>
    <w:p w:rsidR="007F433F" w:rsidRPr="00A12EC3" w:rsidRDefault="007F433F" w:rsidP="007F433F">
      <w:pPr>
        <w:spacing w:after="0" w:line="240" w:lineRule="auto"/>
        <w:ind w:left="426" w:hanging="426"/>
        <w:contextualSpacing/>
        <w:jc w:val="both"/>
        <w:rPr>
          <w:rFonts w:ascii="Times New Roman" w:hAnsi="Times New Roman" w:cs="Times New Roman"/>
          <w:sz w:val="24"/>
          <w:szCs w:val="24"/>
        </w:rPr>
      </w:pPr>
    </w:p>
    <w:p w:rsidR="007F433F" w:rsidRPr="00A12EC3" w:rsidRDefault="007F433F" w:rsidP="007F433F">
      <w:pPr>
        <w:spacing w:line="240" w:lineRule="auto"/>
        <w:ind w:left="426" w:hanging="426"/>
        <w:contextualSpacing/>
        <w:jc w:val="both"/>
        <w:rPr>
          <w:rFonts w:ascii="Times New Roman" w:hAnsi="Times New Roman" w:cs="Times New Roman"/>
          <w:sz w:val="24"/>
          <w:szCs w:val="24"/>
        </w:rPr>
      </w:pPr>
      <w:proofErr w:type="spellStart"/>
      <w:r w:rsidRPr="00A12EC3">
        <w:rPr>
          <w:rFonts w:ascii="Times New Roman" w:hAnsi="Times New Roman" w:cs="Times New Roman"/>
          <w:sz w:val="24"/>
          <w:szCs w:val="24"/>
        </w:rPr>
        <w:lastRenderedPageBreak/>
        <w:t>Gerrans</w:t>
      </w:r>
      <w:proofErr w:type="spellEnd"/>
      <w:r w:rsidRPr="00A12EC3">
        <w:rPr>
          <w:rFonts w:ascii="Times New Roman" w:hAnsi="Times New Roman" w:cs="Times New Roman"/>
          <w:sz w:val="24"/>
          <w:szCs w:val="24"/>
        </w:rPr>
        <w:t xml:space="preserve">, P., Clark-Murphy, M. and </w:t>
      </w:r>
      <w:proofErr w:type="spellStart"/>
      <w:r w:rsidRPr="00A12EC3">
        <w:rPr>
          <w:rFonts w:ascii="Times New Roman" w:hAnsi="Times New Roman" w:cs="Times New Roman"/>
          <w:sz w:val="24"/>
          <w:szCs w:val="24"/>
        </w:rPr>
        <w:t>Speelman</w:t>
      </w:r>
      <w:proofErr w:type="spellEnd"/>
      <w:r w:rsidRPr="00A12EC3">
        <w:rPr>
          <w:rFonts w:ascii="Times New Roman" w:hAnsi="Times New Roman" w:cs="Times New Roman"/>
          <w:sz w:val="24"/>
          <w:szCs w:val="24"/>
        </w:rPr>
        <w:t xml:space="preserve">, C.2010. Asset allocation and age effects in retirement savings choices. </w:t>
      </w:r>
      <w:r w:rsidRPr="005334C9">
        <w:rPr>
          <w:rFonts w:ascii="Times New Roman" w:hAnsi="Times New Roman" w:cs="Times New Roman"/>
          <w:i/>
          <w:sz w:val="24"/>
          <w:szCs w:val="24"/>
        </w:rPr>
        <w:t>Accounting and Finance</w:t>
      </w:r>
      <w:r w:rsidRPr="00A12EC3">
        <w:rPr>
          <w:rFonts w:ascii="Times New Roman" w:hAnsi="Times New Roman" w:cs="Times New Roman"/>
          <w:sz w:val="24"/>
          <w:szCs w:val="24"/>
        </w:rPr>
        <w:t>, 50,</w:t>
      </w:r>
      <w:r>
        <w:rPr>
          <w:rFonts w:ascii="Times New Roman" w:hAnsi="Times New Roman" w:cs="Times New Roman"/>
          <w:sz w:val="24"/>
          <w:szCs w:val="24"/>
        </w:rPr>
        <w:t xml:space="preserve"> </w:t>
      </w:r>
      <w:r w:rsidRPr="00A12EC3">
        <w:rPr>
          <w:rFonts w:ascii="Times New Roman" w:hAnsi="Times New Roman" w:cs="Times New Roman"/>
          <w:sz w:val="24"/>
          <w:szCs w:val="24"/>
        </w:rPr>
        <w:t>pp</w:t>
      </w:r>
      <w:r>
        <w:rPr>
          <w:rFonts w:ascii="Times New Roman" w:hAnsi="Times New Roman" w:cs="Times New Roman"/>
          <w:sz w:val="24"/>
          <w:szCs w:val="24"/>
        </w:rPr>
        <w:t>.</w:t>
      </w:r>
      <w:r w:rsidRPr="00A12EC3">
        <w:rPr>
          <w:rFonts w:ascii="Times New Roman" w:hAnsi="Times New Roman" w:cs="Times New Roman"/>
          <w:sz w:val="24"/>
          <w:szCs w:val="24"/>
        </w:rPr>
        <w:t xml:space="preserve"> 301-19.</w:t>
      </w:r>
    </w:p>
    <w:p w:rsidR="007F433F" w:rsidRPr="00A12EC3" w:rsidRDefault="007F433F" w:rsidP="007F433F">
      <w:pPr>
        <w:spacing w:line="240" w:lineRule="auto"/>
        <w:ind w:left="426" w:hanging="426"/>
        <w:contextualSpacing/>
        <w:jc w:val="both"/>
        <w:rPr>
          <w:rFonts w:ascii="Times New Roman" w:hAnsi="Times New Roman" w:cs="Times New Roman"/>
          <w:sz w:val="24"/>
          <w:szCs w:val="24"/>
        </w:rPr>
      </w:pPr>
    </w:p>
    <w:p w:rsidR="007F433F" w:rsidRPr="00A12EC3" w:rsidRDefault="007F433F" w:rsidP="007F433F">
      <w:pPr>
        <w:ind w:left="426" w:hanging="426"/>
        <w:jc w:val="both"/>
        <w:rPr>
          <w:rFonts w:ascii="Times New Roman" w:hAnsi="Times New Roman" w:cs="Times New Roman"/>
          <w:sz w:val="24"/>
          <w:szCs w:val="24"/>
        </w:rPr>
      </w:pPr>
      <w:proofErr w:type="spellStart"/>
      <w:r w:rsidRPr="00A12EC3">
        <w:rPr>
          <w:rFonts w:ascii="Times New Roman" w:hAnsi="Times New Roman" w:cs="Times New Roman"/>
          <w:sz w:val="24"/>
          <w:szCs w:val="24"/>
        </w:rPr>
        <w:t>Gerrans</w:t>
      </w:r>
      <w:proofErr w:type="spellEnd"/>
      <w:r w:rsidRPr="00A12EC3">
        <w:rPr>
          <w:rFonts w:ascii="Times New Roman" w:hAnsi="Times New Roman" w:cs="Times New Roman"/>
          <w:sz w:val="24"/>
          <w:szCs w:val="24"/>
        </w:rPr>
        <w:t xml:space="preserve">, P., Gardner, D., Clark-Murphy, M. and </w:t>
      </w:r>
      <w:proofErr w:type="spellStart"/>
      <w:r w:rsidRPr="00A12EC3">
        <w:rPr>
          <w:rFonts w:ascii="Times New Roman" w:hAnsi="Times New Roman" w:cs="Times New Roman"/>
          <w:sz w:val="24"/>
          <w:szCs w:val="24"/>
        </w:rPr>
        <w:t>Speelman</w:t>
      </w:r>
      <w:proofErr w:type="spellEnd"/>
      <w:r w:rsidRPr="00A12EC3">
        <w:rPr>
          <w:rFonts w:ascii="Times New Roman" w:hAnsi="Times New Roman" w:cs="Times New Roman"/>
          <w:sz w:val="24"/>
          <w:szCs w:val="24"/>
        </w:rPr>
        <w:t xml:space="preserve">, C. 2006. An investigation of home bias in superannuation investment choices. </w:t>
      </w:r>
      <w:r w:rsidRPr="005334C9">
        <w:rPr>
          <w:rFonts w:ascii="Times New Roman" w:hAnsi="Times New Roman" w:cs="Times New Roman"/>
          <w:i/>
          <w:sz w:val="24"/>
          <w:szCs w:val="24"/>
        </w:rPr>
        <w:t>Economic Papers</w:t>
      </w:r>
      <w:r w:rsidRPr="00A12EC3">
        <w:rPr>
          <w:rFonts w:ascii="Times New Roman" w:hAnsi="Times New Roman" w:cs="Times New Roman"/>
          <w:sz w:val="24"/>
          <w:szCs w:val="24"/>
        </w:rPr>
        <w:t>, 25, pp.17-31.</w:t>
      </w:r>
    </w:p>
    <w:p w:rsidR="007F433F" w:rsidRPr="00A12EC3" w:rsidRDefault="007F433F" w:rsidP="007F433F">
      <w:pPr>
        <w:tabs>
          <w:tab w:val="left" w:pos="1134"/>
          <w:tab w:val="right" w:pos="9072"/>
        </w:tabs>
        <w:overflowPunct w:val="0"/>
        <w:autoSpaceDE w:val="0"/>
        <w:autoSpaceDN w:val="0"/>
        <w:adjustRightInd w:val="0"/>
        <w:spacing w:before="120" w:after="120" w:line="240" w:lineRule="auto"/>
        <w:ind w:left="426" w:hanging="426"/>
        <w:jc w:val="both"/>
        <w:textAlignment w:val="baseline"/>
        <w:rPr>
          <w:rFonts w:ascii="Times New Roman" w:eastAsia="Times New Roman" w:hAnsi="Times New Roman" w:cs="Times New Roman"/>
          <w:sz w:val="24"/>
          <w:szCs w:val="24"/>
          <w:lang w:val="en-US" w:eastAsia="en-AU"/>
        </w:rPr>
      </w:pPr>
      <w:proofErr w:type="spellStart"/>
      <w:r w:rsidRPr="00A12EC3">
        <w:rPr>
          <w:rFonts w:ascii="Times New Roman" w:eastAsia="Times New Roman" w:hAnsi="Times New Roman" w:cs="Times New Roman"/>
          <w:sz w:val="24"/>
          <w:szCs w:val="24"/>
          <w:lang w:val="en-US" w:eastAsia="en-AU"/>
        </w:rPr>
        <w:t>Gerrans</w:t>
      </w:r>
      <w:proofErr w:type="spellEnd"/>
      <w:r w:rsidRPr="00A12EC3">
        <w:rPr>
          <w:rFonts w:ascii="Times New Roman" w:eastAsia="Times New Roman" w:hAnsi="Times New Roman" w:cs="Times New Roman"/>
          <w:sz w:val="24"/>
          <w:szCs w:val="24"/>
          <w:lang w:val="en-US" w:eastAsia="en-AU"/>
        </w:rPr>
        <w:t xml:space="preserve">, P., Faff, R., and Hartnett, N., 2015. Individual financial risk tolerance and the global financial crisis. </w:t>
      </w:r>
      <w:r w:rsidRPr="00A12EC3">
        <w:rPr>
          <w:rFonts w:ascii="Times New Roman" w:eastAsia="Times New Roman" w:hAnsi="Times New Roman" w:cs="Times New Roman"/>
          <w:iCs/>
          <w:sz w:val="24"/>
          <w:szCs w:val="24"/>
          <w:lang w:val="en-US" w:eastAsia="en-AU"/>
        </w:rPr>
        <w:t>Accounting and Finance</w:t>
      </w:r>
      <w:r w:rsidRPr="00A12EC3">
        <w:rPr>
          <w:rFonts w:ascii="Times New Roman" w:eastAsia="Times New Roman" w:hAnsi="Times New Roman" w:cs="Times New Roman"/>
          <w:sz w:val="24"/>
          <w:szCs w:val="24"/>
          <w:lang w:val="en-US" w:eastAsia="en-AU"/>
        </w:rPr>
        <w:t>, 55,</w:t>
      </w:r>
      <w:r>
        <w:rPr>
          <w:rFonts w:ascii="Times New Roman" w:eastAsia="Times New Roman" w:hAnsi="Times New Roman" w:cs="Times New Roman"/>
          <w:sz w:val="24"/>
          <w:szCs w:val="24"/>
          <w:lang w:val="en-US" w:eastAsia="en-AU"/>
        </w:rPr>
        <w:t xml:space="preserve"> pp.</w:t>
      </w:r>
      <w:r w:rsidRPr="00A12EC3">
        <w:rPr>
          <w:rFonts w:ascii="Times New Roman" w:eastAsia="Times New Roman" w:hAnsi="Times New Roman" w:cs="Times New Roman"/>
          <w:sz w:val="24"/>
          <w:szCs w:val="24"/>
          <w:lang w:val="en-US" w:eastAsia="en-AU"/>
        </w:rPr>
        <w:t xml:space="preserve"> 165-185. </w:t>
      </w:r>
    </w:p>
    <w:p w:rsidR="007F433F" w:rsidRPr="00A12EC3" w:rsidRDefault="007F433F" w:rsidP="007F433F">
      <w:pPr>
        <w:ind w:left="426" w:hanging="426"/>
        <w:jc w:val="both"/>
        <w:rPr>
          <w:rFonts w:ascii="Times New Roman" w:hAnsi="Times New Roman" w:cs="Times New Roman"/>
          <w:sz w:val="24"/>
          <w:szCs w:val="24"/>
        </w:rPr>
      </w:pPr>
      <w:r w:rsidRPr="00A12EC3">
        <w:rPr>
          <w:rFonts w:ascii="Times New Roman" w:hAnsi="Times New Roman" w:cs="Times New Roman"/>
          <w:sz w:val="24"/>
          <w:szCs w:val="24"/>
        </w:rPr>
        <w:t xml:space="preserve">McNaughton, T., </w:t>
      </w:r>
      <w:proofErr w:type="spellStart"/>
      <w:r w:rsidRPr="00A12EC3">
        <w:rPr>
          <w:rFonts w:ascii="Times New Roman" w:hAnsi="Times New Roman" w:cs="Times New Roman"/>
          <w:sz w:val="24"/>
          <w:szCs w:val="24"/>
        </w:rPr>
        <w:t>Piggot</w:t>
      </w:r>
      <w:proofErr w:type="spellEnd"/>
      <w:r w:rsidRPr="00A12EC3">
        <w:rPr>
          <w:rFonts w:ascii="Times New Roman" w:hAnsi="Times New Roman" w:cs="Times New Roman"/>
          <w:sz w:val="24"/>
          <w:szCs w:val="24"/>
        </w:rPr>
        <w:t xml:space="preserve">, J., and </w:t>
      </w:r>
      <w:proofErr w:type="spellStart"/>
      <w:r w:rsidRPr="00A12EC3">
        <w:rPr>
          <w:rFonts w:ascii="Times New Roman" w:hAnsi="Times New Roman" w:cs="Times New Roman"/>
          <w:sz w:val="24"/>
          <w:szCs w:val="24"/>
        </w:rPr>
        <w:t>Purcal</w:t>
      </w:r>
      <w:proofErr w:type="spellEnd"/>
      <w:r w:rsidRPr="00A12EC3">
        <w:rPr>
          <w:rFonts w:ascii="Times New Roman" w:hAnsi="Times New Roman" w:cs="Times New Roman"/>
          <w:sz w:val="24"/>
          <w:szCs w:val="24"/>
        </w:rPr>
        <w:t xml:space="preserve">, S. 1999. Growing Old Gracefully: Age Phasing, Targets and Saving Rules. </w:t>
      </w:r>
      <w:hyperlink r:id="rId8" w:history="1">
        <w:r w:rsidRPr="00A12EC3">
          <w:rPr>
            <w:rStyle w:val="Hyperlink"/>
            <w:rFonts w:ascii="Times New Roman" w:hAnsi="Times New Roman" w:cs="Times New Roman"/>
            <w:sz w:val="24"/>
            <w:szCs w:val="24"/>
          </w:rPr>
          <w:t>www.actuary.web.unsw.edu.au/files/Growoldjppm.pdf</w:t>
        </w:r>
      </w:hyperlink>
    </w:p>
    <w:p w:rsidR="007F433F" w:rsidRPr="00A12EC3" w:rsidRDefault="007F433F" w:rsidP="007F433F">
      <w:pPr>
        <w:snapToGrid w:val="0"/>
        <w:spacing w:line="240" w:lineRule="auto"/>
        <w:ind w:left="426" w:hanging="426"/>
        <w:jc w:val="both"/>
        <w:rPr>
          <w:rFonts w:ascii="Times New Roman" w:eastAsia="Times New Roman" w:hAnsi="Times New Roman" w:cs="Times New Roman"/>
          <w:sz w:val="24"/>
          <w:szCs w:val="24"/>
        </w:rPr>
      </w:pPr>
      <w:proofErr w:type="spellStart"/>
      <w:r w:rsidRPr="00A12EC3">
        <w:rPr>
          <w:rFonts w:ascii="Times New Roman" w:eastAsia="SimSun" w:hAnsi="Times New Roman" w:cs="Times New Roman"/>
          <w:sz w:val="24"/>
          <w:szCs w:val="24"/>
        </w:rPr>
        <w:t>Novy</w:t>
      </w:r>
      <w:proofErr w:type="spellEnd"/>
      <w:r w:rsidRPr="00A12EC3">
        <w:rPr>
          <w:rFonts w:ascii="Times New Roman" w:eastAsia="SimSun" w:hAnsi="Times New Roman" w:cs="Times New Roman"/>
          <w:sz w:val="24"/>
          <w:szCs w:val="24"/>
        </w:rPr>
        <w:t xml:space="preserve">-Marx, R. 2013. The other side of value: The gross profitability premium. </w:t>
      </w:r>
      <w:r w:rsidRPr="005334C9">
        <w:rPr>
          <w:rFonts w:ascii="Times New Roman" w:eastAsia="SimSun" w:hAnsi="Times New Roman" w:cs="Times New Roman"/>
          <w:i/>
          <w:sz w:val="24"/>
          <w:szCs w:val="24"/>
        </w:rPr>
        <w:t>Journal of Financial Economics</w:t>
      </w:r>
      <w:r w:rsidRPr="00A12EC3">
        <w:rPr>
          <w:rFonts w:ascii="Times New Roman" w:eastAsia="SimSun" w:hAnsi="Times New Roman" w:cs="Times New Roman"/>
          <w:sz w:val="24"/>
          <w:szCs w:val="24"/>
        </w:rPr>
        <w:t>, 108, pp 1 –28.</w:t>
      </w:r>
    </w:p>
    <w:p w:rsidR="007F433F" w:rsidRPr="00A12EC3" w:rsidRDefault="007F433F" w:rsidP="007F433F">
      <w:pPr>
        <w:autoSpaceDE w:val="0"/>
        <w:autoSpaceDN w:val="0"/>
        <w:adjustRightInd w:val="0"/>
        <w:spacing w:line="240" w:lineRule="auto"/>
        <w:ind w:left="426" w:hanging="426"/>
        <w:jc w:val="both"/>
        <w:rPr>
          <w:rFonts w:ascii="Times New Roman" w:hAnsi="Times New Roman" w:cs="Times New Roman"/>
          <w:sz w:val="24"/>
          <w:szCs w:val="24"/>
        </w:rPr>
      </w:pPr>
      <w:r w:rsidRPr="002D27FA">
        <w:rPr>
          <w:rFonts w:ascii="Times New Roman" w:eastAsia="Times New Roman" w:hAnsi="Times New Roman" w:cs="Times New Roman"/>
          <w:sz w:val="24"/>
          <w:szCs w:val="24"/>
        </w:rPr>
        <w:t xml:space="preserve">Rosenberg, B., Kenneth R., and </w:t>
      </w:r>
      <w:proofErr w:type="spellStart"/>
      <w:r w:rsidRPr="002D27FA">
        <w:rPr>
          <w:rFonts w:ascii="Times New Roman" w:eastAsia="Times New Roman" w:hAnsi="Times New Roman" w:cs="Times New Roman"/>
          <w:sz w:val="24"/>
          <w:szCs w:val="24"/>
        </w:rPr>
        <w:t>Lanstein</w:t>
      </w:r>
      <w:proofErr w:type="gramStart"/>
      <w:r w:rsidRPr="002D27FA">
        <w:rPr>
          <w:rFonts w:ascii="Times New Roman" w:eastAsia="Times New Roman" w:hAnsi="Times New Roman" w:cs="Times New Roman"/>
          <w:sz w:val="24"/>
          <w:szCs w:val="24"/>
        </w:rPr>
        <w:t>,R</w:t>
      </w:r>
      <w:proofErr w:type="spellEnd"/>
      <w:proofErr w:type="gramEnd"/>
      <w:r w:rsidRPr="002D27FA">
        <w:rPr>
          <w:rFonts w:ascii="Times New Roman" w:eastAsia="Times New Roman" w:hAnsi="Times New Roman" w:cs="Times New Roman"/>
          <w:sz w:val="24"/>
          <w:szCs w:val="24"/>
        </w:rPr>
        <w:t xml:space="preserve">., 1985. </w:t>
      </w:r>
      <w:r w:rsidRPr="00A12EC3">
        <w:rPr>
          <w:rFonts w:ascii="Times New Roman" w:eastAsia="Times New Roman" w:hAnsi="Times New Roman" w:cs="Times New Roman"/>
          <w:sz w:val="24"/>
          <w:szCs w:val="24"/>
        </w:rPr>
        <w:t xml:space="preserve">Pervasive Evidence of Market Inefficiency. </w:t>
      </w:r>
      <w:r w:rsidRPr="005334C9">
        <w:rPr>
          <w:rFonts w:ascii="Times New Roman" w:eastAsia="Times New Roman" w:hAnsi="Times New Roman" w:cs="Times New Roman"/>
          <w:i/>
          <w:iCs/>
          <w:sz w:val="24"/>
          <w:szCs w:val="24"/>
        </w:rPr>
        <w:t>Journal of Portfolio Management</w:t>
      </w:r>
      <w:r w:rsidRPr="00A12EC3">
        <w:rPr>
          <w:rFonts w:ascii="Times New Roman" w:eastAsia="Times New Roman" w:hAnsi="Times New Roman" w:cs="Times New Roman"/>
          <w:iCs/>
          <w:sz w:val="24"/>
          <w:szCs w:val="24"/>
        </w:rPr>
        <w:t xml:space="preserve">, </w:t>
      </w:r>
      <w:r w:rsidRPr="00A12EC3">
        <w:rPr>
          <w:rFonts w:ascii="Times New Roman" w:eastAsia="Times New Roman" w:hAnsi="Times New Roman" w:cs="Times New Roman"/>
          <w:sz w:val="24"/>
          <w:szCs w:val="24"/>
        </w:rPr>
        <w:t>9, pp.18-28.</w:t>
      </w:r>
    </w:p>
    <w:p w:rsidR="007F433F" w:rsidRPr="00A12EC3" w:rsidRDefault="007F433F" w:rsidP="007F433F">
      <w:pPr>
        <w:ind w:left="426" w:hanging="426"/>
        <w:jc w:val="both"/>
        <w:rPr>
          <w:rFonts w:ascii="Times New Roman" w:hAnsi="Times New Roman" w:cs="Times New Roman"/>
          <w:sz w:val="24"/>
          <w:szCs w:val="24"/>
        </w:rPr>
      </w:pPr>
      <w:r w:rsidRPr="00A12EC3">
        <w:rPr>
          <w:rFonts w:ascii="Times New Roman" w:hAnsi="Times New Roman" w:cs="Times New Roman"/>
          <w:sz w:val="24"/>
          <w:szCs w:val="24"/>
        </w:rPr>
        <w:t xml:space="preserve">Samuelson, P.A. 1969. Lifetime Portfolio Selection by Dynamic Stochastic Programming. </w:t>
      </w:r>
      <w:r w:rsidRPr="005334C9">
        <w:rPr>
          <w:rFonts w:ascii="Times New Roman" w:hAnsi="Times New Roman" w:cs="Times New Roman"/>
          <w:i/>
          <w:sz w:val="24"/>
          <w:szCs w:val="24"/>
        </w:rPr>
        <w:t>Review of Economic Statistics</w:t>
      </w:r>
      <w:r w:rsidRPr="00A12EC3">
        <w:rPr>
          <w:rFonts w:ascii="Times New Roman" w:hAnsi="Times New Roman" w:cs="Times New Roman"/>
          <w:sz w:val="24"/>
          <w:szCs w:val="24"/>
        </w:rPr>
        <w:t xml:space="preserve">, 51, pp.239-246. </w:t>
      </w:r>
    </w:p>
    <w:p w:rsidR="007F433F" w:rsidRPr="00A12EC3" w:rsidRDefault="007F433F" w:rsidP="007F433F">
      <w:pPr>
        <w:ind w:left="426" w:hanging="426"/>
        <w:jc w:val="both"/>
        <w:rPr>
          <w:rFonts w:ascii="Times New Roman" w:hAnsi="Times New Roman" w:cs="Times New Roman"/>
          <w:sz w:val="24"/>
          <w:szCs w:val="24"/>
        </w:rPr>
      </w:pPr>
      <w:r w:rsidRPr="00A12EC3">
        <w:rPr>
          <w:rFonts w:ascii="Times New Roman" w:hAnsi="Times New Roman" w:cs="Times New Roman"/>
          <w:sz w:val="24"/>
          <w:szCs w:val="24"/>
        </w:rPr>
        <w:t xml:space="preserve">Samuelson, P.A.1989. A case at last for age-phased reduction in equity. </w:t>
      </w:r>
      <w:r w:rsidRPr="005334C9">
        <w:rPr>
          <w:rFonts w:ascii="Times New Roman" w:hAnsi="Times New Roman" w:cs="Times New Roman"/>
          <w:i/>
          <w:sz w:val="24"/>
          <w:szCs w:val="24"/>
        </w:rPr>
        <w:t>Proceedings of the National Academy of Sciences</w:t>
      </w:r>
      <w:r w:rsidRPr="00A12EC3">
        <w:rPr>
          <w:rFonts w:ascii="Times New Roman" w:hAnsi="Times New Roman" w:cs="Times New Roman"/>
          <w:sz w:val="24"/>
          <w:szCs w:val="24"/>
        </w:rPr>
        <w:t xml:space="preserve"> 86, pp. 9048-9051.</w:t>
      </w:r>
    </w:p>
    <w:p w:rsidR="007F433F" w:rsidRPr="00A12EC3" w:rsidRDefault="007F433F" w:rsidP="007F433F">
      <w:pPr>
        <w:ind w:left="426" w:hanging="426"/>
        <w:jc w:val="both"/>
        <w:rPr>
          <w:rFonts w:ascii="Times New Roman" w:hAnsi="Times New Roman" w:cs="Times New Roman"/>
          <w:sz w:val="24"/>
          <w:szCs w:val="24"/>
        </w:rPr>
      </w:pPr>
      <w:r w:rsidRPr="00A12EC3">
        <w:rPr>
          <w:rFonts w:ascii="Times New Roman" w:hAnsi="Times New Roman" w:cs="Times New Roman"/>
          <w:sz w:val="24"/>
          <w:szCs w:val="24"/>
        </w:rPr>
        <w:t xml:space="preserve">Samuelson, P.A. 1991. Long-run risk tolerance when equity returns are mean regressing </w:t>
      </w:r>
      <w:proofErr w:type="spellStart"/>
      <w:r w:rsidRPr="00A12EC3">
        <w:rPr>
          <w:rFonts w:ascii="Times New Roman" w:hAnsi="Times New Roman" w:cs="Times New Roman"/>
          <w:sz w:val="24"/>
          <w:szCs w:val="24"/>
        </w:rPr>
        <w:t>pseudoparadoxes</w:t>
      </w:r>
      <w:proofErr w:type="spellEnd"/>
      <w:r w:rsidRPr="00A12EC3">
        <w:rPr>
          <w:rFonts w:ascii="Times New Roman" w:hAnsi="Times New Roman" w:cs="Times New Roman"/>
          <w:sz w:val="24"/>
          <w:szCs w:val="24"/>
        </w:rPr>
        <w:t xml:space="preserve"> and vindication of businessman’s risk. </w:t>
      </w:r>
      <w:r w:rsidRPr="005334C9">
        <w:rPr>
          <w:rFonts w:ascii="Times New Roman" w:hAnsi="Times New Roman" w:cs="Times New Roman"/>
          <w:i/>
          <w:sz w:val="24"/>
          <w:szCs w:val="24"/>
        </w:rPr>
        <w:t>Money, Macroeconomics and Economic Policy</w:t>
      </w:r>
      <w:r w:rsidRPr="00A12EC3">
        <w:rPr>
          <w:rFonts w:ascii="Times New Roman" w:hAnsi="Times New Roman" w:cs="Times New Roman"/>
          <w:sz w:val="24"/>
          <w:szCs w:val="24"/>
        </w:rPr>
        <w:t xml:space="preserve">, Editors </w:t>
      </w:r>
      <w:proofErr w:type="spellStart"/>
      <w:r w:rsidRPr="00A12EC3">
        <w:rPr>
          <w:rFonts w:ascii="Times New Roman" w:hAnsi="Times New Roman" w:cs="Times New Roman"/>
          <w:sz w:val="24"/>
          <w:szCs w:val="24"/>
        </w:rPr>
        <w:t>Brainard</w:t>
      </w:r>
      <w:proofErr w:type="spellEnd"/>
      <w:r w:rsidRPr="00A12EC3">
        <w:rPr>
          <w:rFonts w:ascii="Times New Roman" w:hAnsi="Times New Roman" w:cs="Times New Roman"/>
          <w:sz w:val="24"/>
          <w:szCs w:val="24"/>
        </w:rPr>
        <w:t xml:space="preserve">, W., Nordhaus, W. and Watts, H, MIT Press. </w:t>
      </w:r>
    </w:p>
    <w:p w:rsidR="007F433F" w:rsidRPr="00A12EC3" w:rsidRDefault="007F433F" w:rsidP="007F433F">
      <w:pPr>
        <w:ind w:left="426" w:hanging="426"/>
        <w:jc w:val="both"/>
        <w:rPr>
          <w:rFonts w:ascii="Times New Roman" w:hAnsi="Times New Roman" w:cs="Times New Roman"/>
          <w:sz w:val="24"/>
          <w:szCs w:val="24"/>
        </w:rPr>
      </w:pPr>
      <w:r w:rsidRPr="00A12EC3">
        <w:rPr>
          <w:rFonts w:ascii="Times New Roman" w:hAnsi="Times New Roman" w:cs="Times New Roman"/>
          <w:sz w:val="24"/>
          <w:szCs w:val="24"/>
        </w:rPr>
        <w:t xml:space="preserve">Samuelson, P.A. 1994. The long-term case for equities and how it can be oversold. </w:t>
      </w:r>
      <w:r w:rsidRPr="005334C9">
        <w:rPr>
          <w:rFonts w:ascii="Times New Roman" w:hAnsi="Times New Roman" w:cs="Times New Roman"/>
          <w:i/>
          <w:sz w:val="24"/>
          <w:szCs w:val="24"/>
        </w:rPr>
        <w:t>Journal of Portfolio Management</w:t>
      </w:r>
      <w:r w:rsidRPr="00A12EC3">
        <w:rPr>
          <w:rFonts w:ascii="Times New Roman" w:hAnsi="Times New Roman" w:cs="Times New Roman"/>
          <w:sz w:val="24"/>
          <w:szCs w:val="24"/>
        </w:rPr>
        <w:t>, 21, pp.15-24.</w:t>
      </w:r>
    </w:p>
    <w:p w:rsidR="007F433F" w:rsidRPr="00A12EC3" w:rsidRDefault="007F433F" w:rsidP="007F433F">
      <w:pPr>
        <w:shd w:val="clear" w:color="auto" w:fill="FFFFFF"/>
        <w:spacing w:before="100" w:beforeAutospacing="1" w:after="24" w:line="240" w:lineRule="auto"/>
        <w:ind w:left="426" w:hanging="426"/>
        <w:jc w:val="both"/>
        <w:rPr>
          <w:rFonts w:ascii="Times New Roman" w:hAnsi="Times New Roman" w:cs="Times New Roman"/>
          <w:color w:val="222222"/>
          <w:sz w:val="24"/>
          <w:szCs w:val="24"/>
          <w:shd w:val="clear" w:color="auto" w:fill="FFFFFF"/>
        </w:rPr>
      </w:pPr>
      <w:r w:rsidRPr="00A12EC3">
        <w:rPr>
          <w:rFonts w:ascii="Times New Roman" w:hAnsi="Times New Roman" w:cs="Times New Roman"/>
          <w:color w:val="222222"/>
          <w:sz w:val="24"/>
          <w:szCs w:val="24"/>
          <w:shd w:val="clear" w:color="auto" w:fill="FFFFFF"/>
        </w:rPr>
        <w:t>Sharpe, W. F. 1964. Capital asset prices: A theory of market equilibrium under conditions of risk. </w:t>
      </w:r>
      <w:r w:rsidRPr="005334C9">
        <w:rPr>
          <w:rFonts w:ascii="Times New Roman" w:hAnsi="Times New Roman" w:cs="Times New Roman"/>
          <w:i/>
          <w:color w:val="222222"/>
          <w:sz w:val="24"/>
          <w:szCs w:val="24"/>
          <w:shd w:val="clear" w:color="auto" w:fill="FFFFFF"/>
        </w:rPr>
        <w:t>Journal of Finance</w:t>
      </w:r>
      <w:r w:rsidRPr="00A12EC3">
        <w:rPr>
          <w:rFonts w:ascii="Times New Roman" w:hAnsi="Times New Roman" w:cs="Times New Roman"/>
          <w:color w:val="222222"/>
          <w:sz w:val="24"/>
          <w:szCs w:val="24"/>
          <w:shd w:val="clear" w:color="auto" w:fill="FFFFFF"/>
        </w:rPr>
        <w:t>, 19, pp.425-442.</w:t>
      </w:r>
    </w:p>
    <w:p w:rsidR="007F433F" w:rsidRPr="00A12EC3" w:rsidRDefault="007F433F" w:rsidP="007F433F">
      <w:pPr>
        <w:snapToGrid w:val="0"/>
        <w:spacing w:after="0" w:line="240" w:lineRule="auto"/>
        <w:ind w:left="426" w:hanging="426"/>
        <w:jc w:val="both"/>
        <w:rPr>
          <w:rFonts w:ascii="Times New Roman" w:hAnsi="Times New Roman" w:cs="Times New Roman"/>
          <w:sz w:val="24"/>
          <w:szCs w:val="24"/>
        </w:rPr>
      </w:pPr>
    </w:p>
    <w:p w:rsidR="007F433F" w:rsidRPr="00A12EC3" w:rsidRDefault="007F433F" w:rsidP="007F433F">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proofErr w:type="spellStart"/>
      <w:r w:rsidRPr="00A12EC3">
        <w:rPr>
          <w:rFonts w:ascii="Times New Roman" w:eastAsia="Times New Roman" w:hAnsi="Times New Roman" w:cs="Times New Roman"/>
          <w:sz w:val="24"/>
          <w:szCs w:val="24"/>
        </w:rPr>
        <w:t>Stattman</w:t>
      </w:r>
      <w:proofErr w:type="spellEnd"/>
      <w:r w:rsidRPr="00A12EC3">
        <w:rPr>
          <w:rFonts w:ascii="Times New Roman" w:eastAsia="Times New Roman" w:hAnsi="Times New Roman" w:cs="Times New Roman"/>
          <w:sz w:val="24"/>
          <w:szCs w:val="24"/>
        </w:rPr>
        <w:t>, D., 1980. Book Values and Stock Returns</w:t>
      </w:r>
      <w:r>
        <w:rPr>
          <w:rFonts w:ascii="Times New Roman" w:eastAsia="Times New Roman" w:hAnsi="Times New Roman" w:cs="Times New Roman"/>
          <w:sz w:val="24"/>
          <w:szCs w:val="24"/>
        </w:rPr>
        <w:t>.</w:t>
      </w:r>
      <w:r w:rsidRPr="00A12EC3">
        <w:rPr>
          <w:rFonts w:ascii="Times New Roman" w:eastAsia="Times New Roman" w:hAnsi="Times New Roman" w:cs="Times New Roman"/>
          <w:sz w:val="24"/>
          <w:szCs w:val="24"/>
        </w:rPr>
        <w:t xml:space="preserve"> </w:t>
      </w:r>
      <w:r w:rsidRPr="005334C9">
        <w:rPr>
          <w:rFonts w:ascii="Times New Roman" w:eastAsia="Times New Roman" w:hAnsi="Times New Roman" w:cs="Times New Roman"/>
          <w:i/>
          <w:iCs/>
          <w:sz w:val="24"/>
          <w:szCs w:val="24"/>
        </w:rPr>
        <w:t>The Chicago MBA: A Journal of Selected Papers</w:t>
      </w:r>
      <w:r w:rsidRPr="00A12EC3">
        <w:rPr>
          <w:rFonts w:ascii="Times New Roman" w:eastAsia="Times New Roman" w:hAnsi="Times New Roman" w:cs="Times New Roman"/>
          <w:iCs/>
          <w:sz w:val="24"/>
          <w:szCs w:val="24"/>
        </w:rPr>
        <w:t xml:space="preserve">, </w:t>
      </w:r>
      <w:r w:rsidRPr="00A12EC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A12EC3">
        <w:rPr>
          <w:rFonts w:ascii="Times New Roman" w:eastAsia="Times New Roman" w:hAnsi="Times New Roman" w:cs="Times New Roman"/>
          <w:sz w:val="24"/>
          <w:szCs w:val="24"/>
        </w:rPr>
        <w:t>pp. 25-45.</w:t>
      </w:r>
    </w:p>
    <w:p w:rsidR="007F433F" w:rsidRPr="00A12EC3" w:rsidRDefault="007F433F" w:rsidP="007F433F">
      <w:pPr>
        <w:autoSpaceDE w:val="0"/>
        <w:autoSpaceDN w:val="0"/>
        <w:adjustRightInd w:val="0"/>
        <w:spacing w:after="0" w:line="240" w:lineRule="auto"/>
        <w:ind w:left="426" w:hanging="426"/>
        <w:jc w:val="both"/>
        <w:rPr>
          <w:rFonts w:ascii="Times New Roman" w:eastAsia="Times New Roman" w:hAnsi="Times New Roman" w:cs="Times New Roman"/>
          <w:sz w:val="24"/>
          <w:szCs w:val="24"/>
        </w:rPr>
      </w:pPr>
    </w:p>
    <w:p w:rsidR="007F433F" w:rsidRPr="00A12EC3" w:rsidRDefault="007F433F" w:rsidP="007F433F">
      <w:pPr>
        <w:snapToGrid w:val="0"/>
        <w:spacing w:after="0" w:line="240" w:lineRule="auto"/>
        <w:ind w:left="426" w:hanging="426"/>
        <w:jc w:val="both"/>
        <w:rPr>
          <w:rFonts w:ascii="Times New Roman" w:hAnsi="Times New Roman" w:cs="Times New Roman"/>
          <w:w w:val="105"/>
          <w:sz w:val="24"/>
          <w:szCs w:val="24"/>
        </w:rPr>
      </w:pPr>
      <w:r w:rsidRPr="00A12EC3">
        <w:rPr>
          <w:rFonts w:ascii="Times New Roman" w:hAnsi="Times New Roman" w:cs="Times New Roman"/>
          <w:w w:val="105"/>
          <w:sz w:val="24"/>
          <w:szCs w:val="24"/>
          <w:lang w:val="it-IT"/>
        </w:rPr>
        <w:t xml:space="preserve">Sun, Y., Carroll, R. J., Li, D. 2009. </w:t>
      </w:r>
      <w:r w:rsidRPr="00A12EC3">
        <w:rPr>
          <w:rFonts w:ascii="Times New Roman" w:hAnsi="Times New Roman" w:cs="Times New Roman"/>
          <w:w w:val="105"/>
          <w:sz w:val="24"/>
          <w:szCs w:val="24"/>
        </w:rPr>
        <w:t xml:space="preserve">Semiparametric estimation of fixed effects panel data varying coefficient models. </w:t>
      </w:r>
      <w:r w:rsidRPr="005334C9">
        <w:rPr>
          <w:rFonts w:ascii="Times New Roman" w:hAnsi="Times New Roman" w:cs="Times New Roman"/>
          <w:i/>
          <w:w w:val="105"/>
          <w:sz w:val="24"/>
          <w:szCs w:val="24"/>
        </w:rPr>
        <w:t>Advances in Econometrics</w:t>
      </w:r>
      <w:r w:rsidRPr="00A12EC3">
        <w:rPr>
          <w:rFonts w:ascii="Times New Roman" w:hAnsi="Times New Roman" w:cs="Times New Roman"/>
          <w:w w:val="105"/>
          <w:sz w:val="24"/>
          <w:szCs w:val="24"/>
        </w:rPr>
        <w:t>, 25,</w:t>
      </w:r>
      <w:r>
        <w:rPr>
          <w:rFonts w:ascii="Times New Roman" w:hAnsi="Times New Roman" w:cs="Times New Roman"/>
          <w:w w:val="105"/>
          <w:sz w:val="24"/>
          <w:szCs w:val="24"/>
        </w:rPr>
        <w:t xml:space="preserve"> </w:t>
      </w:r>
      <w:r w:rsidRPr="00A12EC3">
        <w:rPr>
          <w:rFonts w:ascii="Times New Roman" w:hAnsi="Times New Roman" w:cs="Times New Roman"/>
          <w:w w:val="105"/>
          <w:sz w:val="24"/>
          <w:szCs w:val="24"/>
        </w:rPr>
        <w:t>pp. 101-129.</w:t>
      </w:r>
      <w:r w:rsidRPr="00A12EC3">
        <w:rPr>
          <w:rFonts w:ascii="Times New Roman" w:hAnsi="Times New Roman" w:cs="Times New Roman"/>
          <w:w w:val="105"/>
          <w:sz w:val="24"/>
          <w:szCs w:val="24"/>
        </w:rPr>
        <w:cr/>
      </w:r>
    </w:p>
    <w:p w:rsidR="007F433F" w:rsidRPr="00A12EC3" w:rsidRDefault="007F433F" w:rsidP="007F433F">
      <w:pPr>
        <w:snapToGrid w:val="0"/>
        <w:spacing w:after="0" w:line="240" w:lineRule="auto"/>
        <w:ind w:left="426" w:hanging="426"/>
        <w:jc w:val="both"/>
        <w:rPr>
          <w:rFonts w:ascii="Times New Roman" w:hAnsi="Times New Roman" w:cs="Times New Roman"/>
          <w:sz w:val="24"/>
          <w:szCs w:val="24"/>
        </w:rPr>
      </w:pPr>
      <w:r w:rsidRPr="00A12EC3">
        <w:rPr>
          <w:rFonts w:ascii="Times New Roman" w:hAnsi="Times New Roman" w:cs="Times New Roman"/>
          <w:sz w:val="24"/>
          <w:szCs w:val="24"/>
        </w:rPr>
        <w:t xml:space="preserve">Titman, S., K. C. J. Wei, and F. </w:t>
      </w:r>
      <w:proofErr w:type="spellStart"/>
      <w:r w:rsidRPr="00A12EC3">
        <w:rPr>
          <w:rFonts w:ascii="Times New Roman" w:hAnsi="Times New Roman" w:cs="Times New Roman"/>
          <w:sz w:val="24"/>
          <w:szCs w:val="24"/>
        </w:rPr>
        <w:t>Xie</w:t>
      </w:r>
      <w:proofErr w:type="spellEnd"/>
      <w:r w:rsidRPr="00A12EC3">
        <w:rPr>
          <w:rFonts w:ascii="Times New Roman" w:hAnsi="Times New Roman" w:cs="Times New Roman"/>
          <w:sz w:val="24"/>
          <w:szCs w:val="24"/>
        </w:rPr>
        <w:t xml:space="preserve">. 2004. Capital investments and stock returns. </w:t>
      </w:r>
      <w:r w:rsidRPr="005334C9">
        <w:rPr>
          <w:rFonts w:ascii="Times New Roman" w:hAnsi="Times New Roman" w:cs="Times New Roman"/>
          <w:i/>
          <w:sz w:val="24"/>
          <w:szCs w:val="24"/>
        </w:rPr>
        <w:t>Journal of Financial and Quantitative Analysis</w:t>
      </w:r>
      <w:r>
        <w:rPr>
          <w:rFonts w:ascii="Times New Roman" w:hAnsi="Times New Roman" w:cs="Times New Roman"/>
          <w:i/>
          <w:sz w:val="24"/>
          <w:szCs w:val="24"/>
        </w:rPr>
        <w:t>,</w:t>
      </w:r>
      <w:r w:rsidRPr="00A12EC3">
        <w:rPr>
          <w:rFonts w:ascii="Times New Roman" w:hAnsi="Times New Roman" w:cs="Times New Roman"/>
          <w:sz w:val="24"/>
          <w:szCs w:val="24"/>
        </w:rPr>
        <w:t xml:space="preserve"> 39</w:t>
      </w:r>
      <w:r>
        <w:rPr>
          <w:rFonts w:ascii="Times New Roman" w:hAnsi="Times New Roman" w:cs="Times New Roman"/>
          <w:sz w:val="24"/>
          <w:szCs w:val="24"/>
        </w:rPr>
        <w:t xml:space="preserve">, pp. </w:t>
      </w:r>
      <w:r w:rsidRPr="00A12EC3">
        <w:rPr>
          <w:rFonts w:ascii="Times New Roman" w:hAnsi="Times New Roman" w:cs="Times New Roman"/>
          <w:sz w:val="24"/>
          <w:szCs w:val="24"/>
        </w:rPr>
        <w:t>677–700.</w:t>
      </w:r>
    </w:p>
    <w:p w:rsidR="007F433F" w:rsidRPr="00A12EC3" w:rsidRDefault="007F433F" w:rsidP="007F433F">
      <w:pPr>
        <w:snapToGrid w:val="0"/>
        <w:spacing w:after="0" w:line="240" w:lineRule="auto"/>
        <w:ind w:left="426" w:hanging="426"/>
        <w:jc w:val="both"/>
        <w:rPr>
          <w:rFonts w:ascii="Times New Roman" w:eastAsia="SimSun" w:hAnsi="Times New Roman" w:cs="Times New Roman"/>
          <w:sz w:val="24"/>
          <w:szCs w:val="24"/>
        </w:rPr>
      </w:pPr>
    </w:p>
    <w:p w:rsidR="007F433F" w:rsidRPr="00F03741" w:rsidRDefault="007F433F" w:rsidP="007F433F">
      <w:pPr>
        <w:snapToGrid w:val="0"/>
        <w:spacing w:after="0" w:line="240" w:lineRule="auto"/>
        <w:ind w:left="426" w:hanging="426"/>
        <w:jc w:val="both"/>
        <w:rPr>
          <w:rFonts w:asciiTheme="majorBidi" w:eastAsia="SimSun" w:hAnsiTheme="majorBidi" w:cstheme="majorBidi"/>
          <w:b/>
          <w:bCs/>
          <w:sz w:val="24"/>
          <w:szCs w:val="24"/>
        </w:rPr>
      </w:pPr>
      <w:proofErr w:type="spellStart"/>
      <w:r w:rsidRPr="00A12EC3">
        <w:rPr>
          <w:rFonts w:ascii="Times New Roman" w:eastAsia="SimSun" w:hAnsi="Times New Roman" w:cs="Times New Roman"/>
          <w:sz w:val="24"/>
          <w:szCs w:val="24"/>
        </w:rPr>
        <w:t>Zhong</w:t>
      </w:r>
      <w:proofErr w:type="spellEnd"/>
      <w:r w:rsidRPr="00A12EC3">
        <w:rPr>
          <w:rFonts w:ascii="Times New Roman" w:eastAsia="SimSun" w:hAnsi="Times New Roman" w:cs="Times New Roman"/>
          <w:sz w:val="24"/>
          <w:szCs w:val="24"/>
        </w:rPr>
        <w:t xml:space="preserve"> A., </w:t>
      </w:r>
      <w:proofErr w:type="spellStart"/>
      <w:r w:rsidRPr="00A12EC3">
        <w:rPr>
          <w:rFonts w:ascii="Times New Roman" w:eastAsia="SimSun" w:hAnsi="Times New Roman" w:cs="Times New Roman"/>
          <w:sz w:val="24"/>
          <w:szCs w:val="24"/>
        </w:rPr>
        <w:t>Limkriangkrai</w:t>
      </w:r>
      <w:proofErr w:type="spellEnd"/>
      <w:r w:rsidRPr="00A12EC3">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A12EC3">
        <w:rPr>
          <w:rFonts w:ascii="Times New Roman" w:eastAsia="SimSun" w:hAnsi="Times New Roman" w:cs="Times New Roman"/>
          <w:sz w:val="24"/>
          <w:szCs w:val="24"/>
        </w:rPr>
        <w:t>M., and Gray, P., 2014</w:t>
      </w:r>
      <w:r>
        <w:rPr>
          <w:rFonts w:ascii="Times New Roman" w:eastAsia="SimSun" w:hAnsi="Times New Roman" w:cs="Times New Roman"/>
          <w:sz w:val="24"/>
          <w:szCs w:val="24"/>
        </w:rPr>
        <w:t>.</w:t>
      </w:r>
      <w:r w:rsidRPr="00A12EC3">
        <w:rPr>
          <w:rFonts w:ascii="Times New Roman" w:eastAsia="SimSun" w:hAnsi="Times New Roman" w:cs="Times New Roman"/>
          <w:sz w:val="24"/>
          <w:szCs w:val="24"/>
        </w:rPr>
        <w:t xml:space="preserve"> Anomalies, risk adjustment and seasonality: Australian evidence</w:t>
      </w:r>
      <w:r>
        <w:rPr>
          <w:rFonts w:ascii="Times New Roman" w:eastAsia="SimSun" w:hAnsi="Times New Roman" w:cs="Times New Roman"/>
          <w:sz w:val="24"/>
          <w:szCs w:val="24"/>
        </w:rPr>
        <w:t>.</w:t>
      </w:r>
      <w:r w:rsidRPr="00A12EC3">
        <w:rPr>
          <w:rFonts w:ascii="Times New Roman" w:eastAsia="SimSun" w:hAnsi="Times New Roman" w:cs="Times New Roman"/>
          <w:sz w:val="24"/>
          <w:szCs w:val="24"/>
        </w:rPr>
        <w:t xml:space="preserve"> </w:t>
      </w:r>
      <w:r w:rsidRPr="00E31482">
        <w:rPr>
          <w:rFonts w:ascii="Times New Roman" w:eastAsia="SimSun" w:hAnsi="Times New Roman" w:cs="Times New Roman"/>
          <w:i/>
          <w:sz w:val="24"/>
          <w:szCs w:val="24"/>
        </w:rPr>
        <w:t>International Review of Financial Analysis</w:t>
      </w:r>
      <w:r>
        <w:rPr>
          <w:rFonts w:ascii="Times New Roman" w:eastAsia="SimSun" w:hAnsi="Times New Roman" w:cs="Times New Roman"/>
          <w:sz w:val="24"/>
          <w:szCs w:val="24"/>
        </w:rPr>
        <w:t xml:space="preserve">, </w:t>
      </w:r>
      <w:r w:rsidRPr="00A12EC3">
        <w:rPr>
          <w:rFonts w:ascii="Times New Roman" w:eastAsia="SimSun" w:hAnsi="Times New Roman" w:cs="Times New Roman"/>
          <w:sz w:val="24"/>
          <w:szCs w:val="24"/>
        </w:rPr>
        <w:t>35</w:t>
      </w:r>
      <w:r>
        <w:rPr>
          <w:rFonts w:ascii="Times New Roman" w:eastAsia="SimSun" w:hAnsi="Times New Roman" w:cs="Times New Roman"/>
          <w:sz w:val="24"/>
          <w:szCs w:val="24"/>
        </w:rPr>
        <w:t>,</w:t>
      </w:r>
      <w:r w:rsidRPr="00A12EC3">
        <w:rPr>
          <w:rFonts w:ascii="Times New Roman" w:eastAsia="SimSun" w:hAnsi="Times New Roman" w:cs="Times New Roman"/>
          <w:sz w:val="24"/>
          <w:szCs w:val="24"/>
        </w:rPr>
        <w:t xml:space="preserve"> pp</w:t>
      </w:r>
      <w:r>
        <w:rPr>
          <w:rFonts w:ascii="Times New Roman" w:eastAsia="SimSun" w:hAnsi="Times New Roman" w:cs="Times New Roman"/>
          <w:sz w:val="24"/>
          <w:szCs w:val="24"/>
        </w:rPr>
        <w:t xml:space="preserve">. </w:t>
      </w:r>
      <w:r w:rsidRPr="00A12EC3">
        <w:rPr>
          <w:rFonts w:ascii="Times New Roman" w:eastAsia="SimSun" w:hAnsi="Times New Roman" w:cs="Times New Roman"/>
          <w:sz w:val="24"/>
          <w:szCs w:val="24"/>
        </w:rPr>
        <w:t>207-218</w:t>
      </w:r>
      <w:r w:rsidRPr="00A12EC3">
        <w:rPr>
          <w:rFonts w:ascii="Times New Roman" w:eastAsia="SimSun" w:hAnsi="Times New Roman" w:cs="Times New Roman"/>
          <w:b/>
          <w:bCs/>
          <w:sz w:val="24"/>
          <w:szCs w:val="24"/>
        </w:rPr>
        <w:t>.</w:t>
      </w:r>
    </w:p>
    <w:p w:rsidR="007F433F" w:rsidRDefault="007F433F" w:rsidP="007F433F">
      <w:pPr>
        <w:rPr>
          <w:rFonts w:asciiTheme="majorBidi" w:eastAsia="SimSun" w:hAnsiTheme="majorBidi" w:cstheme="majorBidi"/>
          <w:b/>
          <w:bCs/>
          <w:sz w:val="24"/>
          <w:szCs w:val="24"/>
        </w:rPr>
      </w:pPr>
      <w:r>
        <w:rPr>
          <w:rFonts w:asciiTheme="majorBidi" w:eastAsia="SimSun" w:hAnsiTheme="majorBidi" w:cstheme="majorBidi"/>
          <w:b/>
          <w:bCs/>
          <w:sz w:val="24"/>
          <w:szCs w:val="24"/>
        </w:rPr>
        <w:br w:type="page"/>
      </w:r>
    </w:p>
    <w:p w:rsidR="007F433F" w:rsidRDefault="007F433F" w:rsidP="007F433F">
      <w:pPr>
        <w:snapToGrid w:val="0"/>
        <w:spacing w:after="0" w:line="240" w:lineRule="auto"/>
        <w:jc w:val="both"/>
        <w:rPr>
          <w:rFonts w:asciiTheme="majorBidi" w:eastAsia="SimSun" w:hAnsiTheme="majorBidi" w:cstheme="majorBidi"/>
          <w:b/>
          <w:bCs/>
          <w:sz w:val="24"/>
          <w:szCs w:val="24"/>
        </w:rPr>
      </w:pPr>
      <w:r>
        <w:rPr>
          <w:rFonts w:asciiTheme="majorBidi" w:eastAsia="SimSun" w:hAnsiTheme="majorBidi" w:cstheme="majorBidi"/>
          <w:b/>
          <w:bCs/>
          <w:sz w:val="24"/>
          <w:szCs w:val="24"/>
        </w:rPr>
        <w:lastRenderedPageBreak/>
        <w:t>Appendix</w:t>
      </w:r>
    </w:p>
    <w:p w:rsidR="007F433F" w:rsidRPr="00F03741" w:rsidRDefault="007F433F" w:rsidP="007F433F">
      <w:pPr>
        <w:snapToGrid w:val="0"/>
        <w:spacing w:after="0" w:line="240" w:lineRule="auto"/>
        <w:jc w:val="both"/>
        <w:rPr>
          <w:rFonts w:asciiTheme="majorBidi" w:eastAsia="SimSun" w:hAnsiTheme="majorBidi" w:cstheme="majorBidi"/>
          <w:b/>
          <w:bCs/>
          <w:sz w:val="24"/>
          <w:szCs w:val="24"/>
        </w:rPr>
      </w:pPr>
    </w:p>
    <w:p w:rsidR="007F433F" w:rsidRPr="00397B74" w:rsidRDefault="007F433F" w:rsidP="007F433F">
      <w:pPr>
        <w:snapToGrid w:val="0"/>
        <w:spacing w:after="0" w:line="240" w:lineRule="auto"/>
        <w:jc w:val="both"/>
        <w:rPr>
          <w:rFonts w:asciiTheme="majorBidi" w:eastAsia="SimSun" w:hAnsiTheme="majorBidi" w:cstheme="majorBidi"/>
          <w:b/>
          <w:bCs/>
          <w:sz w:val="24"/>
          <w:szCs w:val="24"/>
        </w:rPr>
      </w:pPr>
      <w:r w:rsidRPr="00397B74">
        <w:rPr>
          <w:rFonts w:asciiTheme="majorBidi" w:eastAsia="SimSun" w:hAnsiTheme="majorBidi" w:cstheme="majorBidi"/>
          <w:b/>
          <w:bCs/>
          <w:sz w:val="24"/>
          <w:szCs w:val="24"/>
        </w:rPr>
        <w:t xml:space="preserve">Table 1:  Classification of Investment Options. </w:t>
      </w:r>
    </w:p>
    <w:p w:rsidR="007F433F" w:rsidRDefault="007F433F" w:rsidP="007F433F">
      <w:pPr>
        <w:snapToGrid w:val="0"/>
        <w:spacing w:after="0" w:line="240" w:lineRule="auto"/>
        <w:jc w:val="both"/>
        <w:rPr>
          <w:rFonts w:asciiTheme="majorBidi" w:eastAsia="SimSun" w:hAnsiTheme="majorBidi" w:cstheme="majorBidi"/>
          <w:sz w:val="24"/>
          <w:szCs w:val="24"/>
        </w:rPr>
      </w:pPr>
      <w:r>
        <w:rPr>
          <w:rFonts w:asciiTheme="majorBidi" w:eastAsia="SimSun" w:hAnsiTheme="majorBidi" w:cstheme="majorBidi"/>
          <w:sz w:val="24"/>
          <w:szCs w:val="24"/>
        </w:rPr>
        <w:t xml:space="preserve">This table details the percentage of growth assets that we use to define the four broad investment options. Our first method is similar to what </w:t>
      </w:r>
      <w:proofErr w:type="spellStart"/>
      <w:r>
        <w:rPr>
          <w:rFonts w:asciiTheme="majorBidi" w:eastAsia="SimSun" w:hAnsiTheme="majorBidi" w:cstheme="majorBidi"/>
          <w:sz w:val="24"/>
          <w:szCs w:val="24"/>
        </w:rPr>
        <w:t>Canstar</w:t>
      </w:r>
      <w:proofErr w:type="spellEnd"/>
      <w:r>
        <w:rPr>
          <w:rFonts w:asciiTheme="majorBidi" w:eastAsia="SimSun" w:hAnsiTheme="majorBidi" w:cstheme="majorBidi"/>
          <w:sz w:val="24"/>
          <w:szCs w:val="24"/>
        </w:rPr>
        <w:t xml:space="preserve"> provides as definition and method 2 is what ASIC provides as definition.</w:t>
      </w:r>
    </w:p>
    <w:p w:rsidR="007F433F" w:rsidRDefault="007F433F" w:rsidP="007F433F">
      <w:pPr>
        <w:snapToGrid w:val="0"/>
        <w:spacing w:after="0" w:line="240" w:lineRule="auto"/>
        <w:jc w:val="both"/>
        <w:rPr>
          <w:rFonts w:asciiTheme="majorBidi" w:eastAsia="SimSun" w:hAnsiTheme="majorBidi" w:cstheme="majorBidi"/>
          <w:sz w:val="24"/>
          <w:szCs w:val="24"/>
        </w:rPr>
      </w:pPr>
    </w:p>
    <w:tbl>
      <w:tblPr>
        <w:tblpPr w:leftFromText="180" w:rightFromText="180" w:vertAnchor="text" w:horzAnchor="margin" w:tblpY="122"/>
        <w:tblW w:w="9239" w:type="dxa"/>
        <w:tblLook w:val="04A0" w:firstRow="1" w:lastRow="0" w:firstColumn="1" w:lastColumn="0" w:noHBand="0" w:noVBand="1"/>
      </w:tblPr>
      <w:tblGrid>
        <w:gridCol w:w="2410"/>
        <w:gridCol w:w="1974"/>
        <w:gridCol w:w="14"/>
        <w:gridCol w:w="1388"/>
        <w:gridCol w:w="14"/>
        <w:gridCol w:w="1962"/>
        <w:gridCol w:w="14"/>
        <w:gridCol w:w="1449"/>
        <w:gridCol w:w="14"/>
      </w:tblGrid>
      <w:tr w:rsidR="007F433F" w:rsidRPr="005842A0" w:rsidTr="00DA3A03">
        <w:trPr>
          <w:trHeight w:val="315"/>
        </w:trPr>
        <w:tc>
          <w:tcPr>
            <w:tcW w:w="4398" w:type="dxa"/>
            <w:gridSpan w:val="3"/>
            <w:tcBorders>
              <w:top w:val="nil"/>
              <w:left w:val="nil"/>
              <w:bottom w:val="nil"/>
              <w:right w:val="nil"/>
            </w:tcBorders>
            <w:shd w:val="clear" w:color="auto" w:fill="auto"/>
            <w:noWrap/>
            <w:vAlign w:val="bottom"/>
            <w:hideMark/>
          </w:tcPr>
          <w:p w:rsidR="007F433F" w:rsidRPr="005842A0" w:rsidRDefault="007F433F" w:rsidP="00DA3A03">
            <w:pPr>
              <w:rPr>
                <w:rFonts w:ascii="Times New Roman" w:eastAsia="Times New Roman" w:hAnsi="Times New Roman" w:cs="Times New Roman"/>
                <w:b/>
                <w:bCs/>
                <w:color w:val="000000"/>
              </w:rPr>
            </w:pPr>
            <w:r w:rsidRPr="005842A0">
              <w:rPr>
                <w:rFonts w:ascii="Times New Roman" w:eastAsia="Times New Roman" w:hAnsi="Times New Roman" w:cs="Times New Roman"/>
                <w:b/>
                <w:bCs/>
                <w:color w:val="000000"/>
              </w:rPr>
              <w:t xml:space="preserve">Classification of Investment Options </w:t>
            </w:r>
          </w:p>
        </w:tc>
        <w:tc>
          <w:tcPr>
            <w:tcW w:w="1402" w:type="dxa"/>
            <w:gridSpan w:val="2"/>
            <w:tcBorders>
              <w:top w:val="nil"/>
              <w:left w:val="nil"/>
              <w:bottom w:val="nil"/>
              <w:right w:val="nil"/>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b/>
                <w:bCs/>
                <w:color w:val="000000"/>
              </w:rPr>
            </w:pPr>
          </w:p>
        </w:tc>
        <w:tc>
          <w:tcPr>
            <w:tcW w:w="1976" w:type="dxa"/>
            <w:gridSpan w:val="2"/>
            <w:tcBorders>
              <w:top w:val="nil"/>
              <w:left w:val="nil"/>
              <w:bottom w:val="nil"/>
              <w:right w:val="nil"/>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sz w:val="20"/>
                <w:szCs w:val="20"/>
              </w:rPr>
            </w:pPr>
          </w:p>
        </w:tc>
        <w:tc>
          <w:tcPr>
            <w:tcW w:w="1463" w:type="dxa"/>
            <w:gridSpan w:val="2"/>
            <w:tcBorders>
              <w:top w:val="nil"/>
              <w:left w:val="nil"/>
              <w:bottom w:val="nil"/>
              <w:right w:val="nil"/>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sz w:val="20"/>
                <w:szCs w:val="20"/>
              </w:rPr>
            </w:pPr>
          </w:p>
        </w:tc>
      </w:tr>
      <w:tr w:rsidR="007F433F" w:rsidRPr="005842A0" w:rsidTr="00DA3A03">
        <w:trPr>
          <w:gridAfter w:val="1"/>
          <w:wAfter w:w="14" w:type="dxa"/>
          <w:trHeight w:val="285"/>
        </w:trPr>
        <w:tc>
          <w:tcPr>
            <w:tcW w:w="2410" w:type="dxa"/>
            <w:tcBorders>
              <w:top w:val="single" w:sz="8" w:space="0" w:color="auto"/>
              <w:left w:val="single" w:sz="8" w:space="0" w:color="auto"/>
              <w:bottom w:val="nil"/>
              <w:right w:val="single" w:sz="8" w:space="0" w:color="auto"/>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b/>
                <w:bCs/>
                <w:color w:val="000000"/>
              </w:rPr>
            </w:pPr>
            <w:r w:rsidRPr="005842A0">
              <w:rPr>
                <w:rFonts w:ascii="Times New Roman" w:eastAsia="Times New Roman" w:hAnsi="Times New Roman" w:cs="Times New Roman"/>
                <w:b/>
                <w:bCs/>
                <w:color w:val="000000"/>
              </w:rPr>
              <w:t> </w:t>
            </w:r>
          </w:p>
        </w:tc>
        <w:tc>
          <w:tcPr>
            <w:tcW w:w="3376" w:type="dxa"/>
            <w:gridSpan w:val="3"/>
            <w:tcBorders>
              <w:top w:val="single" w:sz="8" w:space="0" w:color="auto"/>
              <w:left w:val="nil"/>
              <w:bottom w:val="nil"/>
              <w:right w:val="single" w:sz="8" w:space="0" w:color="000000"/>
            </w:tcBorders>
            <w:shd w:val="clear" w:color="auto" w:fill="auto"/>
            <w:noWrap/>
            <w:vAlign w:val="bottom"/>
            <w:hideMark/>
          </w:tcPr>
          <w:p w:rsidR="007F433F" w:rsidRPr="005842A0" w:rsidRDefault="007F433F" w:rsidP="00DA3A0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Method</w:t>
            </w:r>
            <w:r w:rsidRPr="005842A0">
              <w:rPr>
                <w:rFonts w:ascii="Times New Roman" w:eastAsia="Times New Roman" w:hAnsi="Times New Roman" w:cs="Times New Roman"/>
                <w:b/>
                <w:bCs/>
                <w:color w:val="000000"/>
              </w:rPr>
              <w:t xml:space="preserve"> 1: </w:t>
            </w:r>
            <w:proofErr w:type="spellStart"/>
            <w:r w:rsidRPr="005842A0">
              <w:rPr>
                <w:rFonts w:ascii="Times New Roman" w:eastAsia="Times New Roman" w:hAnsi="Times New Roman" w:cs="Times New Roman"/>
                <w:b/>
                <w:bCs/>
                <w:color w:val="000000"/>
              </w:rPr>
              <w:t>Canstar</w:t>
            </w:r>
            <w:proofErr w:type="spellEnd"/>
          </w:p>
        </w:tc>
        <w:tc>
          <w:tcPr>
            <w:tcW w:w="3439" w:type="dxa"/>
            <w:gridSpan w:val="4"/>
            <w:tcBorders>
              <w:top w:val="single" w:sz="8" w:space="0" w:color="auto"/>
              <w:left w:val="nil"/>
              <w:bottom w:val="nil"/>
              <w:right w:val="single" w:sz="8" w:space="0" w:color="000000"/>
            </w:tcBorders>
            <w:shd w:val="clear" w:color="auto" w:fill="auto"/>
            <w:noWrap/>
            <w:vAlign w:val="bottom"/>
            <w:hideMark/>
          </w:tcPr>
          <w:p w:rsidR="007F433F" w:rsidRPr="005842A0" w:rsidRDefault="007F433F" w:rsidP="00DA3A03">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Method</w:t>
            </w:r>
            <w:r w:rsidRPr="005842A0">
              <w:rPr>
                <w:rFonts w:ascii="Times New Roman" w:eastAsia="Times New Roman" w:hAnsi="Times New Roman" w:cs="Times New Roman"/>
                <w:b/>
                <w:bCs/>
                <w:color w:val="000000"/>
              </w:rPr>
              <w:t xml:space="preserve"> 2:</w:t>
            </w:r>
            <w:r>
              <w:rPr>
                <w:rFonts w:ascii="Times New Roman" w:eastAsia="Times New Roman" w:hAnsi="Times New Roman" w:cs="Times New Roman"/>
                <w:b/>
                <w:bCs/>
                <w:color w:val="000000"/>
              </w:rPr>
              <w:t xml:space="preserve"> </w:t>
            </w:r>
            <w:r w:rsidRPr="005842A0">
              <w:rPr>
                <w:rFonts w:ascii="Times New Roman" w:eastAsia="Times New Roman" w:hAnsi="Times New Roman" w:cs="Times New Roman"/>
                <w:b/>
                <w:bCs/>
                <w:color w:val="000000"/>
              </w:rPr>
              <w:t>ASIC</w:t>
            </w:r>
          </w:p>
        </w:tc>
      </w:tr>
      <w:tr w:rsidR="007F433F" w:rsidRPr="005842A0" w:rsidTr="00DA3A03">
        <w:trPr>
          <w:gridAfter w:val="1"/>
          <w:wAfter w:w="14" w:type="dxa"/>
          <w:trHeight w:val="300"/>
        </w:trPr>
        <w:tc>
          <w:tcPr>
            <w:tcW w:w="2410" w:type="dxa"/>
            <w:tcBorders>
              <w:top w:val="nil"/>
              <w:left w:val="single" w:sz="8" w:space="0" w:color="auto"/>
              <w:bottom w:val="nil"/>
              <w:right w:val="single" w:sz="8" w:space="0" w:color="auto"/>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b/>
                <w:bCs/>
                <w:color w:val="000000"/>
              </w:rPr>
            </w:pPr>
            <w:r w:rsidRPr="005842A0">
              <w:rPr>
                <w:rFonts w:ascii="Times New Roman" w:eastAsia="Times New Roman" w:hAnsi="Times New Roman" w:cs="Times New Roman"/>
                <w:b/>
                <w:bCs/>
                <w:color w:val="000000"/>
              </w:rPr>
              <w:t>Investment Options</w:t>
            </w:r>
          </w:p>
        </w:tc>
        <w:tc>
          <w:tcPr>
            <w:tcW w:w="1974" w:type="dxa"/>
            <w:tcBorders>
              <w:top w:val="nil"/>
              <w:left w:val="nil"/>
              <w:bottom w:val="nil"/>
              <w:right w:val="nil"/>
            </w:tcBorders>
            <w:shd w:val="clear" w:color="auto" w:fill="auto"/>
            <w:noWrap/>
            <w:vAlign w:val="bottom"/>
            <w:hideMark/>
          </w:tcPr>
          <w:p w:rsidR="007F433F" w:rsidRPr="005842A0" w:rsidRDefault="007F433F" w:rsidP="00DA3A03">
            <w:pPr>
              <w:spacing w:after="0" w:line="240" w:lineRule="auto"/>
              <w:jc w:val="center"/>
              <w:rPr>
                <w:rFonts w:ascii="Times New Roman" w:eastAsia="Times New Roman" w:hAnsi="Times New Roman" w:cs="Times New Roman"/>
                <w:b/>
                <w:bCs/>
                <w:color w:val="000000"/>
              </w:rPr>
            </w:pPr>
            <w:r w:rsidRPr="005842A0">
              <w:rPr>
                <w:rFonts w:ascii="Times New Roman" w:eastAsia="Times New Roman" w:hAnsi="Times New Roman" w:cs="Times New Roman"/>
                <w:b/>
                <w:bCs/>
                <w:color w:val="000000"/>
              </w:rPr>
              <w:t xml:space="preserve">% Growth Assets </w:t>
            </w:r>
          </w:p>
        </w:tc>
        <w:tc>
          <w:tcPr>
            <w:tcW w:w="1402" w:type="dxa"/>
            <w:gridSpan w:val="2"/>
            <w:tcBorders>
              <w:top w:val="nil"/>
              <w:left w:val="nil"/>
              <w:bottom w:val="nil"/>
              <w:right w:val="single" w:sz="8" w:space="0" w:color="auto"/>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b/>
                <w:bCs/>
                <w:color w:val="000000"/>
              </w:rPr>
            </w:pPr>
            <w:r w:rsidRPr="005842A0">
              <w:rPr>
                <w:rFonts w:ascii="Times New Roman" w:eastAsia="Times New Roman" w:hAnsi="Times New Roman" w:cs="Times New Roman"/>
                <w:b/>
                <w:bCs/>
                <w:color w:val="000000"/>
              </w:rPr>
              <w:t xml:space="preserve">No of </w:t>
            </w:r>
            <w:r>
              <w:rPr>
                <w:rFonts w:ascii="Times New Roman" w:eastAsia="Times New Roman" w:hAnsi="Times New Roman" w:cs="Times New Roman"/>
                <w:b/>
                <w:bCs/>
                <w:color w:val="000000"/>
              </w:rPr>
              <w:t>observations</w:t>
            </w:r>
          </w:p>
        </w:tc>
        <w:tc>
          <w:tcPr>
            <w:tcW w:w="1976" w:type="dxa"/>
            <w:gridSpan w:val="2"/>
            <w:tcBorders>
              <w:top w:val="nil"/>
              <w:left w:val="nil"/>
              <w:bottom w:val="nil"/>
              <w:right w:val="nil"/>
            </w:tcBorders>
            <w:shd w:val="clear" w:color="auto" w:fill="auto"/>
            <w:noWrap/>
            <w:vAlign w:val="bottom"/>
            <w:hideMark/>
          </w:tcPr>
          <w:p w:rsidR="007F433F" w:rsidRPr="005842A0" w:rsidRDefault="007F433F" w:rsidP="00DA3A03">
            <w:pPr>
              <w:spacing w:after="0" w:line="240" w:lineRule="auto"/>
              <w:jc w:val="center"/>
              <w:rPr>
                <w:rFonts w:ascii="Times New Roman" w:eastAsia="Times New Roman" w:hAnsi="Times New Roman" w:cs="Times New Roman"/>
                <w:b/>
                <w:bCs/>
                <w:color w:val="000000"/>
              </w:rPr>
            </w:pPr>
            <w:r w:rsidRPr="005842A0">
              <w:rPr>
                <w:rFonts w:ascii="Times New Roman" w:eastAsia="Times New Roman" w:hAnsi="Times New Roman" w:cs="Times New Roman"/>
                <w:b/>
                <w:bCs/>
                <w:color w:val="000000"/>
              </w:rPr>
              <w:t xml:space="preserve">% Growth Assets </w:t>
            </w:r>
          </w:p>
        </w:tc>
        <w:tc>
          <w:tcPr>
            <w:tcW w:w="1463" w:type="dxa"/>
            <w:gridSpan w:val="2"/>
            <w:tcBorders>
              <w:top w:val="nil"/>
              <w:left w:val="nil"/>
              <w:bottom w:val="nil"/>
              <w:right w:val="single" w:sz="8" w:space="0" w:color="auto"/>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b/>
                <w:bCs/>
                <w:color w:val="000000"/>
              </w:rPr>
            </w:pPr>
            <w:r w:rsidRPr="005842A0">
              <w:rPr>
                <w:rFonts w:ascii="Times New Roman" w:eastAsia="Times New Roman" w:hAnsi="Times New Roman" w:cs="Times New Roman"/>
                <w:b/>
                <w:bCs/>
                <w:color w:val="000000"/>
              </w:rPr>
              <w:t xml:space="preserve">No </w:t>
            </w:r>
            <w:r>
              <w:rPr>
                <w:rFonts w:ascii="Times New Roman" w:eastAsia="Times New Roman" w:hAnsi="Times New Roman" w:cs="Times New Roman"/>
                <w:b/>
                <w:bCs/>
                <w:color w:val="000000"/>
              </w:rPr>
              <w:t>o</w:t>
            </w:r>
            <w:r w:rsidRPr="005842A0">
              <w:rPr>
                <w:rFonts w:ascii="Times New Roman" w:eastAsia="Times New Roman" w:hAnsi="Times New Roman" w:cs="Times New Roman"/>
                <w:b/>
                <w:bCs/>
                <w:color w:val="000000"/>
              </w:rPr>
              <w:t xml:space="preserve">f </w:t>
            </w:r>
            <w:r>
              <w:rPr>
                <w:rFonts w:ascii="Times New Roman" w:eastAsia="Times New Roman" w:hAnsi="Times New Roman" w:cs="Times New Roman"/>
                <w:b/>
                <w:bCs/>
                <w:color w:val="000000"/>
              </w:rPr>
              <w:t>Observations</w:t>
            </w:r>
          </w:p>
        </w:tc>
      </w:tr>
      <w:tr w:rsidR="007F433F" w:rsidRPr="005842A0" w:rsidTr="00DA3A03">
        <w:trPr>
          <w:gridAfter w:val="1"/>
          <w:wAfter w:w="14" w:type="dxa"/>
          <w:trHeight w:val="300"/>
        </w:trPr>
        <w:tc>
          <w:tcPr>
            <w:tcW w:w="24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color w:val="000000"/>
              </w:rPr>
            </w:pPr>
            <w:r w:rsidRPr="005842A0">
              <w:rPr>
                <w:rFonts w:ascii="Times New Roman" w:eastAsia="Times New Roman" w:hAnsi="Times New Roman" w:cs="Times New Roman"/>
                <w:color w:val="000000"/>
              </w:rPr>
              <w:t xml:space="preserve">Multi- Sector Moderate </w:t>
            </w:r>
          </w:p>
        </w:tc>
        <w:tc>
          <w:tcPr>
            <w:tcW w:w="1974" w:type="dxa"/>
            <w:tcBorders>
              <w:top w:val="single" w:sz="8" w:space="0" w:color="auto"/>
              <w:left w:val="nil"/>
              <w:bottom w:val="single" w:sz="4" w:space="0" w:color="auto"/>
              <w:right w:val="single" w:sz="4" w:space="0" w:color="auto"/>
            </w:tcBorders>
            <w:shd w:val="clear" w:color="auto" w:fill="auto"/>
            <w:noWrap/>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21-40%</w:t>
            </w:r>
          </w:p>
        </w:tc>
        <w:tc>
          <w:tcPr>
            <w:tcW w:w="1402" w:type="dxa"/>
            <w:gridSpan w:val="2"/>
            <w:tcBorders>
              <w:top w:val="single" w:sz="8" w:space="0" w:color="auto"/>
              <w:left w:val="nil"/>
              <w:bottom w:val="single" w:sz="4" w:space="0" w:color="auto"/>
              <w:right w:val="single" w:sz="4" w:space="0" w:color="auto"/>
            </w:tcBorders>
            <w:shd w:val="clear" w:color="auto" w:fill="auto"/>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116</w:t>
            </w:r>
          </w:p>
        </w:tc>
        <w:tc>
          <w:tcPr>
            <w:tcW w:w="1976" w:type="dxa"/>
            <w:gridSpan w:val="2"/>
            <w:tcBorders>
              <w:top w:val="single" w:sz="8" w:space="0" w:color="auto"/>
              <w:left w:val="nil"/>
              <w:bottom w:val="single" w:sz="4" w:space="0" w:color="auto"/>
              <w:right w:val="single" w:sz="4" w:space="0" w:color="auto"/>
            </w:tcBorders>
            <w:shd w:val="clear" w:color="auto" w:fill="auto"/>
            <w:noWrap/>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1-30 %</w:t>
            </w:r>
          </w:p>
        </w:tc>
        <w:tc>
          <w:tcPr>
            <w:tcW w:w="1463" w:type="dxa"/>
            <w:gridSpan w:val="2"/>
            <w:tcBorders>
              <w:top w:val="single" w:sz="8" w:space="0" w:color="auto"/>
              <w:left w:val="nil"/>
              <w:bottom w:val="single" w:sz="4" w:space="0" w:color="auto"/>
              <w:right w:val="single" w:sz="8" w:space="0" w:color="auto"/>
            </w:tcBorders>
            <w:shd w:val="clear" w:color="auto" w:fill="auto"/>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109</w:t>
            </w:r>
          </w:p>
        </w:tc>
      </w:tr>
      <w:tr w:rsidR="007F433F" w:rsidRPr="005842A0" w:rsidTr="00DA3A03">
        <w:trPr>
          <w:gridAfter w:val="1"/>
          <w:wAfter w:w="14" w:type="dxa"/>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color w:val="000000"/>
              </w:rPr>
            </w:pPr>
            <w:r w:rsidRPr="005842A0">
              <w:rPr>
                <w:rFonts w:ascii="Times New Roman" w:eastAsia="Times New Roman" w:hAnsi="Times New Roman" w:cs="Times New Roman"/>
                <w:color w:val="000000"/>
              </w:rPr>
              <w:t>Multi-Sect</w:t>
            </w:r>
            <w:r>
              <w:rPr>
                <w:rFonts w:ascii="Times New Roman" w:eastAsia="Times New Roman" w:hAnsi="Times New Roman" w:cs="Times New Roman"/>
                <w:color w:val="000000"/>
              </w:rPr>
              <w:t>o</w:t>
            </w:r>
            <w:r w:rsidRPr="005842A0">
              <w:rPr>
                <w:rFonts w:ascii="Times New Roman" w:eastAsia="Times New Roman" w:hAnsi="Times New Roman" w:cs="Times New Roman"/>
                <w:color w:val="000000"/>
              </w:rPr>
              <w:t>r Balanced</w:t>
            </w:r>
          </w:p>
        </w:tc>
        <w:tc>
          <w:tcPr>
            <w:tcW w:w="1974" w:type="dxa"/>
            <w:tcBorders>
              <w:top w:val="nil"/>
              <w:left w:val="nil"/>
              <w:bottom w:val="single" w:sz="4" w:space="0" w:color="auto"/>
              <w:right w:val="single" w:sz="4" w:space="0" w:color="auto"/>
            </w:tcBorders>
            <w:shd w:val="clear" w:color="auto" w:fill="auto"/>
            <w:noWrap/>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 xml:space="preserve"> 41-60%</w:t>
            </w:r>
          </w:p>
        </w:tc>
        <w:tc>
          <w:tcPr>
            <w:tcW w:w="1402" w:type="dxa"/>
            <w:gridSpan w:val="2"/>
            <w:tcBorders>
              <w:top w:val="nil"/>
              <w:left w:val="nil"/>
              <w:bottom w:val="single" w:sz="4" w:space="0" w:color="auto"/>
              <w:right w:val="single" w:sz="4" w:space="0" w:color="auto"/>
            </w:tcBorders>
            <w:shd w:val="clear" w:color="auto" w:fill="auto"/>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87</w:t>
            </w:r>
          </w:p>
        </w:tc>
        <w:tc>
          <w:tcPr>
            <w:tcW w:w="1976" w:type="dxa"/>
            <w:gridSpan w:val="2"/>
            <w:tcBorders>
              <w:top w:val="nil"/>
              <w:left w:val="nil"/>
              <w:bottom w:val="single" w:sz="4" w:space="0" w:color="auto"/>
              <w:right w:val="single" w:sz="4" w:space="0" w:color="auto"/>
            </w:tcBorders>
            <w:shd w:val="clear" w:color="auto" w:fill="auto"/>
            <w:noWrap/>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31-70%</w:t>
            </w:r>
          </w:p>
        </w:tc>
        <w:tc>
          <w:tcPr>
            <w:tcW w:w="1463" w:type="dxa"/>
            <w:gridSpan w:val="2"/>
            <w:tcBorders>
              <w:top w:val="nil"/>
              <w:left w:val="nil"/>
              <w:bottom w:val="single" w:sz="4" w:space="0" w:color="auto"/>
              <w:right w:val="single" w:sz="8" w:space="0" w:color="auto"/>
            </w:tcBorders>
            <w:shd w:val="clear" w:color="auto" w:fill="auto"/>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261</w:t>
            </w:r>
          </w:p>
        </w:tc>
      </w:tr>
      <w:tr w:rsidR="007F433F" w:rsidRPr="005842A0" w:rsidTr="00DA3A03">
        <w:trPr>
          <w:gridAfter w:val="1"/>
          <w:wAfter w:w="14" w:type="dxa"/>
          <w:trHeight w:val="300"/>
        </w:trPr>
        <w:tc>
          <w:tcPr>
            <w:tcW w:w="2410" w:type="dxa"/>
            <w:tcBorders>
              <w:top w:val="nil"/>
              <w:left w:val="single" w:sz="8" w:space="0" w:color="auto"/>
              <w:bottom w:val="single" w:sz="4" w:space="0" w:color="auto"/>
              <w:right w:val="single" w:sz="4" w:space="0" w:color="auto"/>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color w:val="000000"/>
              </w:rPr>
            </w:pPr>
            <w:r w:rsidRPr="005842A0">
              <w:rPr>
                <w:rFonts w:ascii="Times New Roman" w:eastAsia="Times New Roman" w:hAnsi="Times New Roman" w:cs="Times New Roman"/>
                <w:color w:val="000000"/>
              </w:rPr>
              <w:t xml:space="preserve">Multi-sector Growth  </w:t>
            </w:r>
          </w:p>
        </w:tc>
        <w:tc>
          <w:tcPr>
            <w:tcW w:w="1974" w:type="dxa"/>
            <w:tcBorders>
              <w:top w:val="nil"/>
              <w:left w:val="nil"/>
              <w:bottom w:val="single" w:sz="4" w:space="0" w:color="auto"/>
              <w:right w:val="single" w:sz="4" w:space="0" w:color="auto"/>
            </w:tcBorders>
            <w:shd w:val="clear" w:color="auto" w:fill="auto"/>
            <w:noWrap/>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61-80%</w:t>
            </w:r>
          </w:p>
        </w:tc>
        <w:tc>
          <w:tcPr>
            <w:tcW w:w="1402" w:type="dxa"/>
            <w:gridSpan w:val="2"/>
            <w:tcBorders>
              <w:top w:val="nil"/>
              <w:left w:val="nil"/>
              <w:bottom w:val="single" w:sz="4" w:space="0" w:color="auto"/>
              <w:right w:val="single" w:sz="4" w:space="0" w:color="auto"/>
            </w:tcBorders>
            <w:shd w:val="clear" w:color="auto" w:fill="auto"/>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184</w:t>
            </w:r>
          </w:p>
        </w:tc>
        <w:tc>
          <w:tcPr>
            <w:tcW w:w="1976" w:type="dxa"/>
            <w:gridSpan w:val="2"/>
            <w:tcBorders>
              <w:top w:val="nil"/>
              <w:left w:val="nil"/>
              <w:bottom w:val="single" w:sz="4" w:space="0" w:color="auto"/>
              <w:right w:val="single" w:sz="4" w:space="0" w:color="auto"/>
            </w:tcBorders>
            <w:shd w:val="clear" w:color="auto" w:fill="auto"/>
            <w:noWrap/>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71-84%</w:t>
            </w:r>
          </w:p>
        </w:tc>
        <w:tc>
          <w:tcPr>
            <w:tcW w:w="1463" w:type="dxa"/>
            <w:gridSpan w:val="2"/>
            <w:tcBorders>
              <w:top w:val="nil"/>
              <w:left w:val="nil"/>
              <w:bottom w:val="single" w:sz="4" w:space="0" w:color="auto"/>
              <w:right w:val="single" w:sz="8" w:space="0" w:color="auto"/>
            </w:tcBorders>
            <w:shd w:val="clear" w:color="auto" w:fill="auto"/>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128</w:t>
            </w:r>
          </w:p>
        </w:tc>
      </w:tr>
      <w:tr w:rsidR="007F433F" w:rsidRPr="005842A0" w:rsidTr="00DA3A03">
        <w:trPr>
          <w:gridAfter w:val="1"/>
          <w:wAfter w:w="14" w:type="dxa"/>
          <w:trHeight w:val="315"/>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7F433F" w:rsidRPr="005842A0" w:rsidRDefault="007F433F" w:rsidP="00DA3A03">
            <w:pPr>
              <w:spacing w:after="0" w:line="240" w:lineRule="auto"/>
              <w:rPr>
                <w:rFonts w:ascii="Times New Roman" w:eastAsia="Times New Roman" w:hAnsi="Times New Roman" w:cs="Times New Roman"/>
                <w:color w:val="000000"/>
              </w:rPr>
            </w:pPr>
            <w:r w:rsidRPr="005842A0">
              <w:rPr>
                <w:rFonts w:ascii="Times New Roman" w:eastAsia="Times New Roman" w:hAnsi="Times New Roman" w:cs="Times New Roman"/>
                <w:color w:val="000000"/>
              </w:rPr>
              <w:t>Multi-Sector Aggressive</w:t>
            </w:r>
          </w:p>
        </w:tc>
        <w:tc>
          <w:tcPr>
            <w:tcW w:w="1974" w:type="dxa"/>
            <w:tcBorders>
              <w:top w:val="nil"/>
              <w:left w:val="nil"/>
              <w:bottom w:val="single" w:sz="8" w:space="0" w:color="auto"/>
              <w:right w:val="single" w:sz="4" w:space="0" w:color="auto"/>
            </w:tcBorders>
            <w:shd w:val="clear" w:color="auto" w:fill="auto"/>
            <w:noWrap/>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81-100%</w:t>
            </w:r>
          </w:p>
        </w:tc>
        <w:tc>
          <w:tcPr>
            <w:tcW w:w="1402" w:type="dxa"/>
            <w:gridSpan w:val="2"/>
            <w:tcBorders>
              <w:top w:val="nil"/>
              <w:left w:val="nil"/>
              <w:bottom w:val="single" w:sz="8" w:space="0" w:color="auto"/>
              <w:right w:val="single" w:sz="4" w:space="0" w:color="auto"/>
            </w:tcBorders>
            <w:shd w:val="clear" w:color="auto" w:fill="auto"/>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475</w:t>
            </w:r>
          </w:p>
        </w:tc>
        <w:tc>
          <w:tcPr>
            <w:tcW w:w="1976" w:type="dxa"/>
            <w:gridSpan w:val="2"/>
            <w:tcBorders>
              <w:top w:val="nil"/>
              <w:left w:val="nil"/>
              <w:bottom w:val="single" w:sz="8" w:space="0" w:color="auto"/>
              <w:right w:val="single" w:sz="4" w:space="0" w:color="auto"/>
            </w:tcBorders>
            <w:shd w:val="clear" w:color="auto" w:fill="auto"/>
            <w:noWrap/>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85-100%</w:t>
            </w:r>
          </w:p>
        </w:tc>
        <w:tc>
          <w:tcPr>
            <w:tcW w:w="1463" w:type="dxa"/>
            <w:gridSpan w:val="2"/>
            <w:tcBorders>
              <w:top w:val="nil"/>
              <w:left w:val="nil"/>
              <w:bottom w:val="single" w:sz="8" w:space="0" w:color="auto"/>
              <w:right w:val="single" w:sz="8" w:space="0" w:color="auto"/>
            </w:tcBorders>
            <w:shd w:val="clear" w:color="auto" w:fill="auto"/>
            <w:vAlign w:val="center"/>
            <w:hideMark/>
          </w:tcPr>
          <w:p w:rsidR="007F433F" w:rsidRPr="005842A0" w:rsidRDefault="007F433F" w:rsidP="00DA3A03">
            <w:pPr>
              <w:spacing w:after="0" w:line="240" w:lineRule="auto"/>
              <w:jc w:val="center"/>
              <w:rPr>
                <w:rFonts w:ascii="Times New Roman" w:eastAsia="Times New Roman" w:hAnsi="Times New Roman" w:cs="Times New Roman"/>
                <w:color w:val="000000"/>
              </w:rPr>
            </w:pPr>
            <w:r w:rsidRPr="005842A0">
              <w:rPr>
                <w:rFonts w:ascii="Times New Roman" w:eastAsia="Times New Roman" w:hAnsi="Times New Roman" w:cs="Times New Roman"/>
                <w:color w:val="000000"/>
              </w:rPr>
              <w:t>428</w:t>
            </w:r>
          </w:p>
        </w:tc>
      </w:tr>
    </w:tbl>
    <w:p w:rsidR="007F433F" w:rsidRPr="00C5793A" w:rsidRDefault="007F433F" w:rsidP="007F433F">
      <w:pPr>
        <w:snapToGrid w:val="0"/>
        <w:spacing w:after="0" w:line="240" w:lineRule="auto"/>
        <w:jc w:val="both"/>
        <w:rPr>
          <w:rFonts w:asciiTheme="majorBidi" w:eastAsia="SimSun" w:hAnsiTheme="majorBidi" w:cstheme="majorBidi"/>
          <w:sz w:val="24"/>
          <w:szCs w:val="24"/>
        </w:rPr>
      </w:pPr>
      <w:r>
        <w:rPr>
          <w:rFonts w:asciiTheme="majorBidi" w:eastAsia="SimSun" w:hAnsiTheme="majorBidi" w:cstheme="majorBidi"/>
          <w:sz w:val="24"/>
          <w:szCs w:val="24"/>
        </w:rPr>
        <w:t xml:space="preserve"> </w:t>
      </w:r>
    </w:p>
    <w:p w:rsidR="007F433F" w:rsidRDefault="007F433F" w:rsidP="007F433F">
      <w:pPr>
        <w:snapToGrid w:val="0"/>
        <w:spacing w:after="0" w:line="240" w:lineRule="auto"/>
        <w:jc w:val="both"/>
      </w:pPr>
    </w:p>
    <w:tbl>
      <w:tblPr>
        <w:tblW w:w="6500" w:type="dxa"/>
        <w:tblLook w:val="04A0" w:firstRow="1" w:lastRow="0" w:firstColumn="1" w:lastColumn="0" w:noHBand="0" w:noVBand="1"/>
      </w:tblPr>
      <w:tblGrid>
        <w:gridCol w:w="2586"/>
        <w:gridCol w:w="1974"/>
        <w:gridCol w:w="1940"/>
      </w:tblGrid>
      <w:tr w:rsidR="007F433F" w:rsidRPr="002D27FA" w:rsidTr="00DA3A03">
        <w:trPr>
          <w:trHeight w:val="315"/>
        </w:trPr>
        <w:tc>
          <w:tcPr>
            <w:tcW w:w="4560" w:type="dxa"/>
            <w:gridSpan w:val="2"/>
            <w:tcBorders>
              <w:top w:val="nil"/>
              <w:left w:val="nil"/>
              <w:bottom w:val="nil"/>
              <w:right w:val="nil"/>
            </w:tcBorders>
            <w:shd w:val="clear" w:color="auto" w:fill="auto"/>
            <w:noWrap/>
            <w:vAlign w:val="bottom"/>
            <w:hideMark/>
          </w:tcPr>
          <w:p w:rsidR="007F433F" w:rsidRPr="002D27FA" w:rsidRDefault="007F433F" w:rsidP="00DA3A03">
            <w:pPr>
              <w:spacing w:line="240" w:lineRule="auto"/>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 xml:space="preserve">Classification of Investment Options </w:t>
            </w:r>
          </w:p>
        </w:tc>
        <w:tc>
          <w:tcPr>
            <w:tcW w:w="1940" w:type="dxa"/>
            <w:tcBorders>
              <w:top w:val="nil"/>
              <w:left w:val="nil"/>
              <w:bottom w:val="nil"/>
              <w:right w:val="nil"/>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b/>
                <w:bCs/>
                <w:color w:val="000000"/>
              </w:rPr>
            </w:pPr>
          </w:p>
        </w:tc>
      </w:tr>
      <w:tr w:rsidR="007F433F" w:rsidRPr="002D27FA" w:rsidTr="00DA3A03">
        <w:trPr>
          <w:trHeight w:val="285"/>
        </w:trPr>
        <w:tc>
          <w:tcPr>
            <w:tcW w:w="2586" w:type="dxa"/>
            <w:tcBorders>
              <w:top w:val="single" w:sz="8" w:space="0" w:color="auto"/>
              <w:left w:val="single" w:sz="8" w:space="0" w:color="auto"/>
              <w:bottom w:val="nil"/>
              <w:right w:val="single" w:sz="8" w:space="0" w:color="auto"/>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 </w:t>
            </w:r>
          </w:p>
        </w:tc>
        <w:tc>
          <w:tcPr>
            <w:tcW w:w="3914" w:type="dxa"/>
            <w:gridSpan w:val="2"/>
            <w:tcBorders>
              <w:top w:val="single" w:sz="8" w:space="0" w:color="auto"/>
              <w:left w:val="nil"/>
              <w:bottom w:val="nil"/>
              <w:right w:val="single" w:sz="8" w:space="0" w:color="000000"/>
            </w:tcBorders>
            <w:shd w:val="clear" w:color="auto" w:fill="auto"/>
            <w:noWrap/>
            <w:vAlign w:val="bottom"/>
            <w:hideMark/>
          </w:tcPr>
          <w:p w:rsidR="007F433F" w:rsidRPr="002D27FA" w:rsidRDefault="007F433F" w:rsidP="00DA3A03">
            <w:pPr>
              <w:spacing w:after="0" w:line="240" w:lineRule="auto"/>
              <w:jc w:val="center"/>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 xml:space="preserve">Option 1 : </w:t>
            </w:r>
            <w:proofErr w:type="spellStart"/>
            <w:r w:rsidRPr="002D27FA">
              <w:rPr>
                <w:rFonts w:ascii="Times New Roman" w:eastAsia="Times New Roman" w:hAnsi="Times New Roman" w:cs="Times New Roman"/>
                <w:b/>
                <w:bCs/>
                <w:color w:val="000000"/>
              </w:rPr>
              <w:t>Canstar</w:t>
            </w:r>
            <w:proofErr w:type="spellEnd"/>
          </w:p>
        </w:tc>
      </w:tr>
      <w:tr w:rsidR="007F433F" w:rsidRPr="002D27FA" w:rsidTr="00DA3A03">
        <w:trPr>
          <w:trHeight w:val="300"/>
        </w:trPr>
        <w:tc>
          <w:tcPr>
            <w:tcW w:w="2586" w:type="dxa"/>
            <w:tcBorders>
              <w:top w:val="nil"/>
              <w:left w:val="single" w:sz="8" w:space="0" w:color="auto"/>
              <w:bottom w:val="nil"/>
              <w:right w:val="single" w:sz="8" w:space="0" w:color="auto"/>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Investment Options</w:t>
            </w:r>
          </w:p>
        </w:tc>
        <w:tc>
          <w:tcPr>
            <w:tcW w:w="1974" w:type="dxa"/>
            <w:tcBorders>
              <w:top w:val="nil"/>
              <w:left w:val="nil"/>
              <w:bottom w:val="nil"/>
              <w:right w:val="nil"/>
            </w:tcBorders>
            <w:shd w:val="clear" w:color="auto" w:fill="auto"/>
            <w:noWrap/>
            <w:vAlign w:val="bottom"/>
            <w:hideMark/>
          </w:tcPr>
          <w:p w:rsidR="007F433F" w:rsidRPr="002D27FA" w:rsidRDefault="007F433F" w:rsidP="00DA3A03">
            <w:pPr>
              <w:spacing w:after="0" w:line="240" w:lineRule="auto"/>
              <w:jc w:val="center"/>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 xml:space="preserve">% Growth Assets </w:t>
            </w:r>
          </w:p>
        </w:tc>
        <w:tc>
          <w:tcPr>
            <w:tcW w:w="1940" w:type="dxa"/>
            <w:tcBorders>
              <w:top w:val="nil"/>
              <w:left w:val="nil"/>
              <w:bottom w:val="nil"/>
              <w:right w:val="single" w:sz="8" w:space="0" w:color="auto"/>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No of Options</w:t>
            </w:r>
          </w:p>
        </w:tc>
      </w:tr>
      <w:tr w:rsidR="007F433F" w:rsidRPr="002D27FA" w:rsidTr="00DA3A03">
        <w:trPr>
          <w:trHeight w:val="300"/>
        </w:trPr>
        <w:tc>
          <w:tcPr>
            <w:tcW w:w="258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 xml:space="preserve">Multi- Sector Moderate </w:t>
            </w:r>
          </w:p>
        </w:tc>
        <w:tc>
          <w:tcPr>
            <w:tcW w:w="1974" w:type="dxa"/>
            <w:tcBorders>
              <w:top w:val="single" w:sz="8" w:space="0" w:color="auto"/>
              <w:left w:val="nil"/>
              <w:bottom w:val="single" w:sz="4" w:space="0" w:color="auto"/>
              <w:right w:val="single" w:sz="4" w:space="0" w:color="auto"/>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21-40%</w:t>
            </w:r>
          </w:p>
        </w:tc>
        <w:tc>
          <w:tcPr>
            <w:tcW w:w="1940" w:type="dxa"/>
            <w:tcBorders>
              <w:top w:val="single" w:sz="8" w:space="0" w:color="auto"/>
              <w:left w:val="nil"/>
              <w:bottom w:val="single" w:sz="4" w:space="0" w:color="auto"/>
              <w:right w:val="single" w:sz="4" w:space="0" w:color="auto"/>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116</w:t>
            </w:r>
          </w:p>
        </w:tc>
      </w:tr>
      <w:tr w:rsidR="007F433F" w:rsidRPr="002D27FA" w:rsidTr="00DA3A03">
        <w:trPr>
          <w:trHeight w:val="300"/>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Multi-</w:t>
            </w:r>
            <w:proofErr w:type="spellStart"/>
            <w:r w:rsidRPr="002D27FA">
              <w:rPr>
                <w:rFonts w:ascii="Times New Roman" w:eastAsia="Times New Roman" w:hAnsi="Times New Roman" w:cs="Times New Roman"/>
                <w:color w:val="000000"/>
              </w:rPr>
              <w:t>Sectir</w:t>
            </w:r>
            <w:proofErr w:type="spellEnd"/>
            <w:r w:rsidRPr="002D27FA">
              <w:rPr>
                <w:rFonts w:ascii="Times New Roman" w:eastAsia="Times New Roman" w:hAnsi="Times New Roman" w:cs="Times New Roman"/>
                <w:color w:val="000000"/>
              </w:rPr>
              <w:t xml:space="preserve"> Balanced</w:t>
            </w:r>
          </w:p>
        </w:tc>
        <w:tc>
          <w:tcPr>
            <w:tcW w:w="1974" w:type="dxa"/>
            <w:tcBorders>
              <w:top w:val="nil"/>
              <w:left w:val="nil"/>
              <w:bottom w:val="single" w:sz="4" w:space="0" w:color="auto"/>
              <w:right w:val="single" w:sz="4" w:space="0" w:color="auto"/>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 xml:space="preserve"> 41-60%</w:t>
            </w:r>
          </w:p>
        </w:tc>
        <w:tc>
          <w:tcPr>
            <w:tcW w:w="1940" w:type="dxa"/>
            <w:tcBorders>
              <w:top w:val="nil"/>
              <w:left w:val="nil"/>
              <w:bottom w:val="single" w:sz="4" w:space="0" w:color="auto"/>
              <w:right w:val="single" w:sz="4" w:space="0" w:color="auto"/>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87</w:t>
            </w:r>
          </w:p>
        </w:tc>
      </w:tr>
      <w:tr w:rsidR="007F433F" w:rsidRPr="002D27FA" w:rsidTr="00DA3A03">
        <w:trPr>
          <w:trHeight w:val="300"/>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 xml:space="preserve">Multi-sector Growth  </w:t>
            </w:r>
          </w:p>
        </w:tc>
        <w:tc>
          <w:tcPr>
            <w:tcW w:w="1974" w:type="dxa"/>
            <w:tcBorders>
              <w:top w:val="nil"/>
              <w:left w:val="nil"/>
              <w:bottom w:val="single" w:sz="4" w:space="0" w:color="auto"/>
              <w:right w:val="single" w:sz="4" w:space="0" w:color="auto"/>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61-80%</w:t>
            </w:r>
          </w:p>
        </w:tc>
        <w:tc>
          <w:tcPr>
            <w:tcW w:w="1940" w:type="dxa"/>
            <w:tcBorders>
              <w:top w:val="nil"/>
              <w:left w:val="nil"/>
              <w:bottom w:val="single" w:sz="4" w:space="0" w:color="auto"/>
              <w:right w:val="single" w:sz="4" w:space="0" w:color="auto"/>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184</w:t>
            </w:r>
          </w:p>
        </w:tc>
      </w:tr>
      <w:tr w:rsidR="007F433F" w:rsidRPr="002D27FA" w:rsidTr="00DA3A03">
        <w:trPr>
          <w:trHeight w:val="315"/>
        </w:trPr>
        <w:tc>
          <w:tcPr>
            <w:tcW w:w="2586" w:type="dxa"/>
            <w:tcBorders>
              <w:top w:val="nil"/>
              <w:left w:val="single" w:sz="8" w:space="0" w:color="auto"/>
              <w:bottom w:val="single" w:sz="8" w:space="0" w:color="auto"/>
              <w:right w:val="single" w:sz="4" w:space="0" w:color="auto"/>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Multi-Sector Aggressive</w:t>
            </w:r>
          </w:p>
        </w:tc>
        <w:tc>
          <w:tcPr>
            <w:tcW w:w="1974" w:type="dxa"/>
            <w:tcBorders>
              <w:top w:val="nil"/>
              <w:left w:val="nil"/>
              <w:bottom w:val="single" w:sz="8" w:space="0" w:color="auto"/>
              <w:right w:val="single" w:sz="4" w:space="0" w:color="auto"/>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81-100%</w:t>
            </w:r>
          </w:p>
        </w:tc>
        <w:tc>
          <w:tcPr>
            <w:tcW w:w="1940" w:type="dxa"/>
            <w:tcBorders>
              <w:top w:val="nil"/>
              <w:left w:val="nil"/>
              <w:bottom w:val="single" w:sz="8" w:space="0" w:color="auto"/>
              <w:right w:val="single" w:sz="4" w:space="0" w:color="auto"/>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475</w:t>
            </w:r>
          </w:p>
        </w:tc>
      </w:tr>
    </w:tbl>
    <w:p w:rsidR="007F433F" w:rsidRDefault="007F433F" w:rsidP="007F433F">
      <w:pPr>
        <w:snapToGrid w:val="0"/>
        <w:spacing w:after="0" w:line="240" w:lineRule="auto"/>
        <w:jc w:val="both"/>
        <w:rPr>
          <w:rFonts w:asciiTheme="majorBidi" w:eastAsia="SimSun" w:hAnsiTheme="majorBidi" w:cstheme="majorBidi"/>
          <w:b/>
          <w:bCs/>
          <w:sz w:val="24"/>
          <w:szCs w:val="24"/>
        </w:rPr>
      </w:pPr>
      <w:r w:rsidRPr="002155C5">
        <w:rPr>
          <w:rFonts w:asciiTheme="majorBidi" w:eastAsia="SimSun" w:hAnsiTheme="majorBidi" w:cstheme="majorBidi"/>
          <w:b/>
          <w:bCs/>
          <w:sz w:val="24"/>
          <w:szCs w:val="24"/>
        </w:rPr>
        <w:t xml:space="preserve"> </w:t>
      </w:r>
    </w:p>
    <w:p w:rsidR="007F433F" w:rsidRDefault="007F433F" w:rsidP="007F433F">
      <w:pPr>
        <w:rPr>
          <w:rFonts w:asciiTheme="majorBidi" w:eastAsia="SimSun" w:hAnsiTheme="majorBidi" w:cstheme="majorBidi"/>
          <w:b/>
          <w:bCs/>
          <w:sz w:val="24"/>
          <w:szCs w:val="24"/>
        </w:rPr>
      </w:pPr>
      <w:r>
        <w:rPr>
          <w:rFonts w:asciiTheme="majorBidi" w:eastAsia="SimSun" w:hAnsiTheme="majorBidi" w:cstheme="majorBidi"/>
          <w:b/>
          <w:bCs/>
          <w:sz w:val="24"/>
          <w:szCs w:val="24"/>
        </w:rPr>
        <w:br w:type="page"/>
      </w:r>
    </w:p>
    <w:p w:rsidR="007F433F" w:rsidRPr="000272FD" w:rsidRDefault="007F433F" w:rsidP="007F433F">
      <w:pPr>
        <w:snapToGrid w:val="0"/>
        <w:spacing w:after="0" w:line="240" w:lineRule="auto"/>
        <w:jc w:val="both"/>
        <w:rPr>
          <w:rFonts w:asciiTheme="majorBidi" w:eastAsia="SimSun" w:hAnsiTheme="majorBidi" w:cstheme="majorBidi"/>
          <w:b/>
          <w:bCs/>
          <w:sz w:val="24"/>
          <w:szCs w:val="24"/>
        </w:rPr>
      </w:pPr>
      <w:r w:rsidRPr="000272FD">
        <w:rPr>
          <w:rFonts w:asciiTheme="majorBidi" w:eastAsia="SimSun" w:hAnsiTheme="majorBidi" w:cstheme="majorBidi"/>
          <w:b/>
          <w:bCs/>
          <w:sz w:val="24"/>
          <w:szCs w:val="24"/>
        </w:rPr>
        <w:lastRenderedPageBreak/>
        <w:t xml:space="preserve">Table 2: Summary Statistics of Returns </w:t>
      </w:r>
    </w:p>
    <w:p w:rsidR="007F433F" w:rsidRDefault="007F433F" w:rsidP="007F433F">
      <w:pPr>
        <w:snapToGrid w:val="0"/>
        <w:spacing w:after="0" w:line="240" w:lineRule="auto"/>
        <w:jc w:val="both"/>
        <w:rPr>
          <w:rFonts w:asciiTheme="majorBidi" w:eastAsia="SimSun" w:hAnsiTheme="majorBidi" w:cstheme="majorBidi"/>
          <w:sz w:val="24"/>
          <w:szCs w:val="24"/>
        </w:rPr>
      </w:pPr>
      <w:r>
        <w:rPr>
          <w:rFonts w:asciiTheme="majorBidi" w:eastAsia="SimSun" w:hAnsiTheme="majorBidi" w:cstheme="majorBidi"/>
          <w:sz w:val="24"/>
          <w:szCs w:val="24"/>
        </w:rPr>
        <w:t xml:space="preserve">This table summarises the return statistics of the investment options as defined using </w:t>
      </w:r>
      <w:proofErr w:type="spellStart"/>
      <w:r>
        <w:rPr>
          <w:rFonts w:asciiTheme="majorBidi" w:eastAsia="SimSun" w:hAnsiTheme="majorBidi" w:cstheme="majorBidi"/>
          <w:sz w:val="24"/>
          <w:szCs w:val="24"/>
        </w:rPr>
        <w:t>Canstar</w:t>
      </w:r>
      <w:proofErr w:type="spellEnd"/>
      <w:r>
        <w:rPr>
          <w:rFonts w:asciiTheme="majorBidi" w:eastAsia="SimSun" w:hAnsiTheme="majorBidi" w:cstheme="majorBidi"/>
          <w:sz w:val="24"/>
          <w:szCs w:val="24"/>
        </w:rPr>
        <w:t xml:space="preserve"> method in panel A and Panel B using the definition by ASIC. </w:t>
      </w:r>
    </w:p>
    <w:p w:rsidR="007F433F" w:rsidRPr="000272FD" w:rsidRDefault="007F433F" w:rsidP="007F433F">
      <w:pPr>
        <w:snapToGrid w:val="0"/>
        <w:spacing w:after="0" w:line="240" w:lineRule="auto"/>
        <w:jc w:val="both"/>
      </w:pPr>
    </w:p>
    <w:p w:rsidR="007F433F" w:rsidRDefault="007F433F" w:rsidP="007F433F">
      <w:pPr>
        <w:snapToGrid w:val="0"/>
        <w:spacing w:after="0" w:line="240" w:lineRule="auto"/>
        <w:jc w:val="both"/>
        <w:rPr>
          <w:rFonts w:asciiTheme="majorBidi" w:eastAsia="SimSun" w:hAnsiTheme="majorBidi" w:cstheme="majorBidi"/>
          <w:sz w:val="24"/>
          <w:szCs w:val="24"/>
        </w:rPr>
      </w:pPr>
    </w:p>
    <w:p w:rsidR="007F433F" w:rsidRDefault="007F433F" w:rsidP="007F433F">
      <w:pPr>
        <w:snapToGrid w:val="0"/>
        <w:spacing w:after="0" w:line="240" w:lineRule="auto"/>
        <w:jc w:val="both"/>
      </w:pPr>
    </w:p>
    <w:tbl>
      <w:tblPr>
        <w:tblW w:w="8360" w:type="dxa"/>
        <w:tblLook w:val="04A0" w:firstRow="1" w:lastRow="0" w:firstColumn="1" w:lastColumn="0" w:noHBand="0" w:noVBand="1"/>
      </w:tblPr>
      <w:tblGrid>
        <w:gridCol w:w="1420"/>
        <w:gridCol w:w="1460"/>
        <w:gridCol w:w="1900"/>
        <w:gridCol w:w="1780"/>
        <w:gridCol w:w="1800"/>
      </w:tblGrid>
      <w:tr w:rsidR="007F433F" w:rsidRPr="002D27FA" w:rsidTr="00DA3A03">
        <w:trPr>
          <w:trHeight w:val="300"/>
        </w:trPr>
        <w:tc>
          <w:tcPr>
            <w:tcW w:w="8360" w:type="dxa"/>
            <w:gridSpan w:val="5"/>
            <w:tcBorders>
              <w:top w:val="single" w:sz="4" w:space="0" w:color="auto"/>
              <w:left w:val="nil"/>
              <w:bottom w:val="nil"/>
              <w:right w:val="nil"/>
            </w:tcBorders>
            <w:shd w:val="clear" w:color="auto" w:fill="auto"/>
            <w:noWrap/>
            <w:vAlign w:val="center"/>
            <w:hideMark/>
          </w:tcPr>
          <w:p w:rsidR="007F433F" w:rsidRPr="002D27FA" w:rsidRDefault="007F433F" w:rsidP="00DA3A03">
            <w:pPr>
              <w:spacing w:after="0" w:line="240" w:lineRule="auto"/>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 xml:space="preserve">Panel A: Summary statistics of monthly returns of super funds during whole sample  </w:t>
            </w:r>
          </w:p>
        </w:tc>
      </w:tr>
      <w:tr w:rsidR="007F433F" w:rsidRPr="002D27FA" w:rsidTr="00DA3A03">
        <w:trPr>
          <w:trHeight w:val="315"/>
        </w:trPr>
        <w:tc>
          <w:tcPr>
            <w:tcW w:w="4780" w:type="dxa"/>
            <w:gridSpan w:val="3"/>
            <w:tcBorders>
              <w:top w:val="nil"/>
              <w:left w:val="nil"/>
              <w:bottom w:val="nil"/>
              <w:right w:val="nil"/>
            </w:tcBorders>
            <w:shd w:val="clear" w:color="auto" w:fill="auto"/>
            <w:noWrap/>
            <w:vAlign w:val="center"/>
            <w:hideMark/>
          </w:tcPr>
          <w:p w:rsidR="007F433F" w:rsidRPr="002D27FA" w:rsidRDefault="007F433F" w:rsidP="00DA3A03">
            <w:pPr>
              <w:spacing w:after="0" w:line="240" w:lineRule="auto"/>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 xml:space="preserve">period based on </w:t>
            </w:r>
            <w:proofErr w:type="spellStart"/>
            <w:r w:rsidRPr="002D27FA">
              <w:rPr>
                <w:rFonts w:ascii="Times New Roman" w:eastAsia="Times New Roman" w:hAnsi="Times New Roman" w:cs="Times New Roman"/>
                <w:b/>
                <w:bCs/>
                <w:color w:val="000000"/>
              </w:rPr>
              <w:t>Canstar</w:t>
            </w:r>
            <w:proofErr w:type="spellEnd"/>
            <w:r w:rsidRPr="002D27FA">
              <w:rPr>
                <w:rFonts w:ascii="Times New Roman" w:eastAsia="Times New Roman" w:hAnsi="Times New Roman" w:cs="Times New Roman"/>
                <w:b/>
                <w:bCs/>
                <w:color w:val="000000"/>
              </w:rPr>
              <w:t xml:space="preserve"> classifications</w:t>
            </w:r>
          </w:p>
        </w:tc>
        <w:tc>
          <w:tcPr>
            <w:tcW w:w="1780" w:type="dxa"/>
            <w:tcBorders>
              <w:top w:val="nil"/>
              <w:left w:val="nil"/>
              <w:bottom w:val="nil"/>
              <w:right w:val="nil"/>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b/>
                <w:bCs/>
                <w:color w:val="000000"/>
              </w:rPr>
            </w:pPr>
          </w:p>
        </w:tc>
        <w:tc>
          <w:tcPr>
            <w:tcW w:w="1800" w:type="dxa"/>
            <w:tcBorders>
              <w:top w:val="nil"/>
              <w:left w:val="nil"/>
              <w:bottom w:val="nil"/>
              <w:right w:val="nil"/>
            </w:tcBorders>
            <w:shd w:val="clear" w:color="auto" w:fill="auto"/>
            <w:noWrap/>
            <w:vAlign w:val="bottom"/>
            <w:hideMark/>
          </w:tcPr>
          <w:p w:rsidR="007F433F" w:rsidRPr="002D27FA" w:rsidRDefault="007F433F" w:rsidP="00DA3A03">
            <w:pPr>
              <w:spacing w:after="0" w:line="240" w:lineRule="auto"/>
              <w:jc w:val="center"/>
              <w:rPr>
                <w:rFonts w:ascii="Times New Roman" w:eastAsia="Times New Roman" w:hAnsi="Times New Roman" w:cs="Times New Roman"/>
              </w:rPr>
            </w:pPr>
          </w:p>
        </w:tc>
      </w:tr>
      <w:tr w:rsidR="007F433F" w:rsidRPr="002D27FA" w:rsidTr="00DA3A03">
        <w:trPr>
          <w:trHeight w:val="585"/>
        </w:trPr>
        <w:tc>
          <w:tcPr>
            <w:tcW w:w="1420" w:type="dxa"/>
            <w:tcBorders>
              <w:top w:val="single" w:sz="8" w:space="0" w:color="000000"/>
              <w:left w:val="nil"/>
              <w:bottom w:val="single" w:sz="8" w:space="0" w:color="000000"/>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 </w:t>
            </w:r>
          </w:p>
        </w:tc>
        <w:tc>
          <w:tcPr>
            <w:tcW w:w="1460" w:type="dxa"/>
            <w:tcBorders>
              <w:top w:val="single" w:sz="8" w:space="0" w:color="000000"/>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Moderate        (21-40)</w:t>
            </w:r>
          </w:p>
        </w:tc>
        <w:tc>
          <w:tcPr>
            <w:tcW w:w="1900" w:type="dxa"/>
            <w:tcBorders>
              <w:top w:val="single" w:sz="8" w:space="0" w:color="000000"/>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Balanced              (41-60 %)</w:t>
            </w:r>
          </w:p>
        </w:tc>
        <w:tc>
          <w:tcPr>
            <w:tcW w:w="1780" w:type="dxa"/>
            <w:tcBorders>
              <w:top w:val="single" w:sz="8" w:space="0" w:color="000000"/>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Growth              (61-80 %)</w:t>
            </w:r>
          </w:p>
        </w:tc>
        <w:tc>
          <w:tcPr>
            <w:tcW w:w="1800" w:type="dxa"/>
            <w:tcBorders>
              <w:top w:val="single" w:sz="8" w:space="0" w:color="000000"/>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Aggressive         (81-100 %)</w:t>
            </w:r>
          </w:p>
        </w:tc>
      </w:tr>
      <w:tr w:rsidR="007F433F" w:rsidRPr="002D27FA" w:rsidTr="00DA3A03">
        <w:trPr>
          <w:trHeight w:val="315"/>
        </w:trPr>
        <w:tc>
          <w:tcPr>
            <w:tcW w:w="142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Mean</w:t>
            </w:r>
          </w:p>
        </w:tc>
        <w:tc>
          <w:tcPr>
            <w:tcW w:w="146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0.3997%</w:t>
            </w:r>
          </w:p>
        </w:tc>
        <w:tc>
          <w:tcPr>
            <w:tcW w:w="19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0.4807%</w:t>
            </w:r>
          </w:p>
        </w:tc>
        <w:tc>
          <w:tcPr>
            <w:tcW w:w="178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rPr>
            </w:pPr>
            <w:r w:rsidRPr="002D27FA">
              <w:rPr>
                <w:rFonts w:ascii="Times New Roman" w:eastAsia="Times New Roman" w:hAnsi="Times New Roman" w:cs="Times New Roman"/>
              </w:rPr>
              <w:t>0.5352%</w:t>
            </w:r>
          </w:p>
        </w:tc>
        <w:tc>
          <w:tcPr>
            <w:tcW w:w="18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0.5247%</w:t>
            </w:r>
          </w:p>
        </w:tc>
      </w:tr>
      <w:tr w:rsidR="007F433F" w:rsidRPr="002D27FA" w:rsidTr="00DA3A03">
        <w:trPr>
          <w:trHeight w:val="300"/>
        </w:trPr>
        <w:tc>
          <w:tcPr>
            <w:tcW w:w="142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Maximum</w:t>
            </w:r>
          </w:p>
        </w:tc>
        <w:tc>
          <w:tcPr>
            <w:tcW w:w="146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0.6719%</w:t>
            </w:r>
          </w:p>
        </w:tc>
        <w:tc>
          <w:tcPr>
            <w:tcW w:w="19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0.7158%</w:t>
            </w:r>
          </w:p>
        </w:tc>
        <w:tc>
          <w:tcPr>
            <w:tcW w:w="178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0.9354%</w:t>
            </w:r>
          </w:p>
        </w:tc>
        <w:tc>
          <w:tcPr>
            <w:tcW w:w="18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1.5497%</w:t>
            </w:r>
          </w:p>
        </w:tc>
      </w:tr>
      <w:tr w:rsidR="007F433F" w:rsidRPr="002D27FA" w:rsidTr="00DA3A03">
        <w:trPr>
          <w:trHeight w:val="300"/>
        </w:trPr>
        <w:tc>
          <w:tcPr>
            <w:tcW w:w="142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Minimum</w:t>
            </w:r>
          </w:p>
        </w:tc>
        <w:tc>
          <w:tcPr>
            <w:tcW w:w="146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0.1511%</w:t>
            </w:r>
          </w:p>
        </w:tc>
        <w:tc>
          <w:tcPr>
            <w:tcW w:w="19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0.2315%</w:t>
            </w:r>
          </w:p>
        </w:tc>
        <w:tc>
          <w:tcPr>
            <w:tcW w:w="178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0.1879%</w:t>
            </w:r>
          </w:p>
        </w:tc>
        <w:tc>
          <w:tcPr>
            <w:tcW w:w="18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-0.1479%</w:t>
            </w:r>
          </w:p>
        </w:tc>
      </w:tr>
      <w:tr w:rsidR="007F433F" w:rsidRPr="002D27FA" w:rsidTr="00DA3A03">
        <w:trPr>
          <w:trHeight w:val="300"/>
        </w:trPr>
        <w:tc>
          <w:tcPr>
            <w:tcW w:w="1420" w:type="dxa"/>
            <w:tcBorders>
              <w:top w:val="nil"/>
              <w:left w:val="nil"/>
              <w:bottom w:val="nil"/>
              <w:right w:val="nil"/>
            </w:tcBorders>
            <w:shd w:val="clear" w:color="auto" w:fill="auto"/>
            <w:noWrap/>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 xml:space="preserve">Range </w:t>
            </w:r>
          </w:p>
        </w:tc>
        <w:tc>
          <w:tcPr>
            <w:tcW w:w="1460" w:type="dxa"/>
            <w:tcBorders>
              <w:top w:val="nil"/>
              <w:left w:val="nil"/>
              <w:bottom w:val="nil"/>
              <w:right w:val="nil"/>
            </w:tcBorders>
            <w:shd w:val="clear" w:color="auto" w:fill="auto"/>
            <w:noWrap/>
            <w:vAlign w:val="bottom"/>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0.5208%</w:t>
            </w:r>
          </w:p>
        </w:tc>
        <w:tc>
          <w:tcPr>
            <w:tcW w:w="1900" w:type="dxa"/>
            <w:tcBorders>
              <w:top w:val="nil"/>
              <w:left w:val="nil"/>
              <w:bottom w:val="nil"/>
              <w:right w:val="nil"/>
            </w:tcBorders>
            <w:shd w:val="clear" w:color="auto" w:fill="auto"/>
            <w:noWrap/>
            <w:vAlign w:val="bottom"/>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0.4843%</w:t>
            </w:r>
          </w:p>
        </w:tc>
        <w:tc>
          <w:tcPr>
            <w:tcW w:w="1780" w:type="dxa"/>
            <w:tcBorders>
              <w:top w:val="nil"/>
              <w:left w:val="nil"/>
              <w:bottom w:val="nil"/>
              <w:right w:val="nil"/>
            </w:tcBorders>
            <w:shd w:val="clear" w:color="auto" w:fill="auto"/>
            <w:noWrap/>
            <w:vAlign w:val="bottom"/>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0.7475%</w:t>
            </w:r>
          </w:p>
        </w:tc>
        <w:tc>
          <w:tcPr>
            <w:tcW w:w="1800" w:type="dxa"/>
            <w:tcBorders>
              <w:top w:val="nil"/>
              <w:left w:val="nil"/>
              <w:bottom w:val="nil"/>
              <w:right w:val="nil"/>
            </w:tcBorders>
            <w:shd w:val="clear" w:color="auto" w:fill="auto"/>
            <w:noWrap/>
            <w:vAlign w:val="bottom"/>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1.6976%</w:t>
            </w:r>
          </w:p>
        </w:tc>
      </w:tr>
      <w:tr w:rsidR="007F433F" w:rsidRPr="002D27FA" w:rsidTr="00DA3A03">
        <w:trPr>
          <w:trHeight w:val="300"/>
        </w:trPr>
        <w:tc>
          <w:tcPr>
            <w:tcW w:w="1420" w:type="dxa"/>
            <w:tcBorders>
              <w:top w:val="nil"/>
              <w:left w:val="nil"/>
              <w:bottom w:val="nil"/>
              <w:right w:val="nil"/>
            </w:tcBorders>
            <w:shd w:val="clear" w:color="auto" w:fill="auto"/>
            <w:noWrap/>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Std. Dev</w:t>
            </w:r>
          </w:p>
        </w:tc>
        <w:tc>
          <w:tcPr>
            <w:tcW w:w="1460" w:type="dxa"/>
            <w:tcBorders>
              <w:top w:val="nil"/>
              <w:left w:val="nil"/>
              <w:bottom w:val="nil"/>
              <w:right w:val="nil"/>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0.0905%</w:t>
            </w:r>
          </w:p>
        </w:tc>
        <w:tc>
          <w:tcPr>
            <w:tcW w:w="1900" w:type="dxa"/>
            <w:tcBorders>
              <w:top w:val="nil"/>
              <w:left w:val="nil"/>
              <w:bottom w:val="nil"/>
              <w:right w:val="nil"/>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0.1128%</w:t>
            </w:r>
          </w:p>
        </w:tc>
        <w:tc>
          <w:tcPr>
            <w:tcW w:w="1780" w:type="dxa"/>
            <w:tcBorders>
              <w:top w:val="nil"/>
              <w:left w:val="nil"/>
              <w:bottom w:val="nil"/>
              <w:right w:val="nil"/>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0.1332%</w:t>
            </w:r>
          </w:p>
        </w:tc>
        <w:tc>
          <w:tcPr>
            <w:tcW w:w="1800" w:type="dxa"/>
            <w:tcBorders>
              <w:top w:val="nil"/>
              <w:left w:val="nil"/>
              <w:bottom w:val="nil"/>
              <w:right w:val="nil"/>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0.2445%</w:t>
            </w:r>
          </w:p>
        </w:tc>
      </w:tr>
      <w:tr w:rsidR="007F433F" w:rsidRPr="002D27FA" w:rsidTr="00DA3A03">
        <w:trPr>
          <w:trHeight w:val="315"/>
        </w:trPr>
        <w:tc>
          <w:tcPr>
            <w:tcW w:w="1420" w:type="dxa"/>
            <w:tcBorders>
              <w:top w:val="nil"/>
              <w:left w:val="nil"/>
              <w:bottom w:val="single" w:sz="8" w:space="0" w:color="000000"/>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Count</w:t>
            </w:r>
          </w:p>
        </w:tc>
        <w:tc>
          <w:tcPr>
            <w:tcW w:w="1460" w:type="dxa"/>
            <w:tcBorders>
              <w:top w:val="nil"/>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116</w:t>
            </w:r>
          </w:p>
        </w:tc>
        <w:tc>
          <w:tcPr>
            <w:tcW w:w="1900" w:type="dxa"/>
            <w:tcBorders>
              <w:top w:val="nil"/>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87</w:t>
            </w:r>
          </w:p>
        </w:tc>
        <w:tc>
          <w:tcPr>
            <w:tcW w:w="1780" w:type="dxa"/>
            <w:tcBorders>
              <w:top w:val="nil"/>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184</w:t>
            </w:r>
          </w:p>
        </w:tc>
        <w:tc>
          <w:tcPr>
            <w:tcW w:w="1800" w:type="dxa"/>
            <w:tcBorders>
              <w:top w:val="nil"/>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475</w:t>
            </w:r>
          </w:p>
        </w:tc>
      </w:tr>
      <w:tr w:rsidR="007F433F" w:rsidRPr="002D27FA" w:rsidTr="00DA3A03">
        <w:trPr>
          <w:trHeight w:val="300"/>
        </w:trPr>
        <w:tc>
          <w:tcPr>
            <w:tcW w:w="8360" w:type="dxa"/>
            <w:gridSpan w:val="5"/>
            <w:tcBorders>
              <w:top w:val="nil"/>
              <w:left w:val="nil"/>
              <w:bottom w:val="nil"/>
              <w:right w:val="nil"/>
            </w:tcBorders>
            <w:shd w:val="clear" w:color="auto" w:fill="auto"/>
            <w:noWrap/>
            <w:vAlign w:val="center"/>
            <w:hideMark/>
          </w:tcPr>
          <w:p w:rsidR="007F433F" w:rsidRPr="002D27FA" w:rsidRDefault="007F433F" w:rsidP="00DA3A03">
            <w:pPr>
              <w:spacing w:after="0" w:line="240" w:lineRule="auto"/>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 xml:space="preserve">Panel B : Summary statistics of monthly returns of super funds during whole sample </w:t>
            </w:r>
          </w:p>
        </w:tc>
      </w:tr>
      <w:tr w:rsidR="007F433F" w:rsidRPr="002D27FA" w:rsidTr="00DA3A03">
        <w:trPr>
          <w:trHeight w:val="315"/>
        </w:trPr>
        <w:tc>
          <w:tcPr>
            <w:tcW w:w="4780" w:type="dxa"/>
            <w:gridSpan w:val="3"/>
            <w:tcBorders>
              <w:top w:val="nil"/>
              <w:left w:val="nil"/>
              <w:bottom w:val="nil"/>
              <w:right w:val="nil"/>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period based on ASIC classifications</w:t>
            </w:r>
          </w:p>
        </w:tc>
        <w:tc>
          <w:tcPr>
            <w:tcW w:w="1780" w:type="dxa"/>
            <w:tcBorders>
              <w:top w:val="nil"/>
              <w:left w:val="nil"/>
              <w:bottom w:val="nil"/>
              <w:right w:val="nil"/>
            </w:tcBorders>
            <w:shd w:val="clear" w:color="auto" w:fill="auto"/>
            <w:noWrap/>
            <w:vAlign w:val="bottom"/>
            <w:hideMark/>
          </w:tcPr>
          <w:p w:rsidR="007F433F" w:rsidRPr="002D27FA" w:rsidRDefault="007F433F" w:rsidP="00DA3A03">
            <w:pPr>
              <w:spacing w:after="0" w:line="240" w:lineRule="auto"/>
              <w:rPr>
                <w:rFonts w:ascii="Times New Roman" w:eastAsia="Times New Roman" w:hAnsi="Times New Roman" w:cs="Times New Roman"/>
                <w:b/>
                <w:bCs/>
                <w:color w:val="000000"/>
              </w:rPr>
            </w:pPr>
          </w:p>
        </w:tc>
        <w:tc>
          <w:tcPr>
            <w:tcW w:w="1800" w:type="dxa"/>
            <w:tcBorders>
              <w:top w:val="nil"/>
              <w:left w:val="nil"/>
              <w:bottom w:val="nil"/>
              <w:right w:val="nil"/>
            </w:tcBorders>
            <w:shd w:val="clear" w:color="auto" w:fill="auto"/>
            <w:noWrap/>
            <w:vAlign w:val="bottom"/>
            <w:hideMark/>
          </w:tcPr>
          <w:p w:rsidR="007F433F" w:rsidRPr="002D27FA" w:rsidRDefault="007F433F" w:rsidP="00DA3A03">
            <w:pPr>
              <w:spacing w:after="0" w:line="240" w:lineRule="auto"/>
              <w:jc w:val="center"/>
              <w:rPr>
                <w:rFonts w:ascii="Times New Roman" w:eastAsia="Times New Roman" w:hAnsi="Times New Roman" w:cs="Times New Roman"/>
              </w:rPr>
            </w:pPr>
          </w:p>
        </w:tc>
      </w:tr>
      <w:tr w:rsidR="007F433F" w:rsidRPr="002D27FA" w:rsidTr="00DA3A03">
        <w:trPr>
          <w:trHeight w:val="585"/>
        </w:trPr>
        <w:tc>
          <w:tcPr>
            <w:tcW w:w="1420" w:type="dxa"/>
            <w:tcBorders>
              <w:top w:val="single" w:sz="8" w:space="0" w:color="000000"/>
              <w:left w:val="nil"/>
              <w:bottom w:val="single" w:sz="8" w:space="0" w:color="000000"/>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 </w:t>
            </w:r>
          </w:p>
        </w:tc>
        <w:tc>
          <w:tcPr>
            <w:tcW w:w="1460" w:type="dxa"/>
            <w:tcBorders>
              <w:top w:val="single" w:sz="8" w:space="0" w:color="000000"/>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Moderate       (1-30 %)</w:t>
            </w:r>
          </w:p>
        </w:tc>
        <w:tc>
          <w:tcPr>
            <w:tcW w:w="1900" w:type="dxa"/>
            <w:tcBorders>
              <w:top w:val="single" w:sz="8" w:space="0" w:color="000000"/>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Balanced                (31-70% )</w:t>
            </w:r>
          </w:p>
        </w:tc>
        <w:tc>
          <w:tcPr>
            <w:tcW w:w="1780" w:type="dxa"/>
            <w:tcBorders>
              <w:top w:val="single" w:sz="8" w:space="0" w:color="000000"/>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Growth             (71-</w:t>
            </w:r>
            <w:proofErr w:type="gramStart"/>
            <w:r w:rsidRPr="002D27FA">
              <w:rPr>
                <w:rFonts w:ascii="Times New Roman" w:eastAsia="Times New Roman" w:hAnsi="Times New Roman" w:cs="Times New Roman"/>
                <w:b/>
                <w:bCs/>
                <w:color w:val="000000"/>
              </w:rPr>
              <w:t>84%</w:t>
            </w:r>
            <w:proofErr w:type="gramEnd"/>
            <w:r w:rsidRPr="002D27FA">
              <w:rPr>
                <w:rFonts w:ascii="Times New Roman" w:eastAsia="Times New Roman" w:hAnsi="Times New Roman" w:cs="Times New Roman"/>
                <w:b/>
                <w:bCs/>
                <w:color w:val="000000"/>
              </w:rPr>
              <w:t>%)</w:t>
            </w:r>
          </w:p>
        </w:tc>
        <w:tc>
          <w:tcPr>
            <w:tcW w:w="1800" w:type="dxa"/>
            <w:tcBorders>
              <w:top w:val="single" w:sz="8" w:space="0" w:color="000000"/>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b/>
                <w:bCs/>
                <w:color w:val="000000"/>
              </w:rPr>
            </w:pPr>
            <w:r w:rsidRPr="002D27FA">
              <w:rPr>
                <w:rFonts w:ascii="Times New Roman" w:eastAsia="Times New Roman" w:hAnsi="Times New Roman" w:cs="Times New Roman"/>
                <w:b/>
                <w:bCs/>
                <w:color w:val="000000"/>
              </w:rPr>
              <w:t>Aggressive      (85-100%)</w:t>
            </w:r>
          </w:p>
        </w:tc>
      </w:tr>
      <w:tr w:rsidR="007F433F" w:rsidRPr="002D27FA" w:rsidTr="00DA3A03">
        <w:trPr>
          <w:trHeight w:val="300"/>
        </w:trPr>
        <w:tc>
          <w:tcPr>
            <w:tcW w:w="142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Mean</w:t>
            </w:r>
          </w:p>
        </w:tc>
        <w:tc>
          <w:tcPr>
            <w:tcW w:w="146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0.3907%</w:t>
            </w:r>
          </w:p>
        </w:tc>
        <w:tc>
          <w:tcPr>
            <w:tcW w:w="19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0.4726%</w:t>
            </w:r>
          </w:p>
        </w:tc>
        <w:tc>
          <w:tcPr>
            <w:tcW w:w="178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rPr>
            </w:pPr>
            <w:r w:rsidRPr="002D27FA">
              <w:rPr>
                <w:rFonts w:ascii="Times New Roman" w:eastAsia="Times New Roman" w:hAnsi="Times New Roman" w:cs="Times New Roman"/>
              </w:rPr>
              <w:t>0.5795%</w:t>
            </w:r>
          </w:p>
        </w:tc>
        <w:tc>
          <w:tcPr>
            <w:tcW w:w="18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0.5207%</w:t>
            </w:r>
          </w:p>
        </w:tc>
      </w:tr>
      <w:tr w:rsidR="007F433F" w:rsidRPr="002D27FA" w:rsidTr="00DA3A03">
        <w:trPr>
          <w:trHeight w:val="300"/>
        </w:trPr>
        <w:tc>
          <w:tcPr>
            <w:tcW w:w="142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Maximum</w:t>
            </w:r>
          </w:p>
        </w:tc>
        <w:tc>
          <w:tcPr>
            <w:tcW w:w="146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0.5680%</w:t>
            </w:r>
          </w:p>
        </w:tc>
        <w:tc>
          <w:tcPr>
            <w:tcW w:w="19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0.8457%</w:t>
            </w:r>
          </w:p>
        </w:tc>
        <w:tc>
          <w:tcPr>
            <w:tcW w:w="178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1.5067%</w:t>
            </w:r>
          </w:p>
        </w:tc>
        <w:tc>
          <w:tcPr>
            <w:tcW w:w="18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2.0357%</w:t>
            </w:r>
          </w:p>
        </w:tc>
      </w:tr>
      <w:tr w:rsidR="007F433F" w:rsidRPr="002D27FA" w:rsidTr="00DA3A03">
        <w:trPr>
          <w:trHeight w:val="300"/>
        </w:trPr>
        <w:tc>
          <w:tcPr>
            <w:tcW w:w="142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Minimum</w:t>
            </w:r>
          </w:p>
        </w:tc>
        <w:tc>
          <w:tcPr>
            <w:tcW w:w="146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0.1229%</w:t>
            </w:r>
          </w:p>
        </w:tc>
        <w:tc>
          <w:tcPr>
            <w:tcW w:w="19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0.0258%</w:t>
            </w:r>
          </w:p>
        </w:tc>
        <w:tc>
          <w:tcPr>
            <w:tcW w:w="178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0.0346%</w:t>
            </w:r>
          </w:p>
        </w:tc>
        <w:tc>
          <w:tcPr>
            <w:tcW w:w="18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-1.1100%</w:t>
            </w:r>
          </w:p>
        </w:tc>
      </w:tr>
      <w:tr w:rsidR="007F433F" w:rsidRPr="002D27FA" w:rsidTr="00DA3A03">
        <w:trPr>
          <w:trHeight w:val="300"/>
        </w:trPr>
        <w:tc>
          <w:tcPr>
            <w:tcW w:w="142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Range</w:t>
            </w:r>
          </w:p>
        </w:tc>
        <w:tc>
          <w:tcPr>
            <w:tcW w:w="146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0.4451%</w:t>
            </w:r>
          </w:p>
        </w:tc>
        <w:tc>
          <w:tcPr>
            <w:tcW w:w="19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0.8199%</w:t>
            </w:r>
          </w:p>
        </w:tc>
        <w:tc>
          <w:tcPr>
            <w:tcW w:w="178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1.4721%</w:t>
            </w:r>
          </w:p>
        </w:tc>
        <w:tc>
          <w:tcPr>
            <w:tcW w:w="180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3.1457%</w:t>
            </w:r>
          </w:p>
        </w:tc>
      </w:tr>
      <w:tr w:rsidR="007F433F" w:rsidRPr="002D27FA" w:rsidTr="00DA3A03">
        <w:trPr>
          <w:trHeight w:val="300"/>
        </w:trPr>
        <w:tc>
          <w:tcPr>
            <w:tcW w:w="1420" w:type="dxa"/>
            <w:tcBorders>
              <w:top w:val="nil"/>
              <w:left w:val="nil"/>
              <w:bottom w:val="nil"/>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proofErr w:type="spellStart"/>
            <w:r w:rsidRPr="002D27FA">
              <w:rPr>
                <w:rFonts w:ascii="Times New Roman" w:eastAsia="Times New Roman" w:hAnsi="Times New Roman" w:cs="Times New Roman"/>
                <w:color w:val="000000"/>
              </w:rPr>
              <w:t>Std</w:t>
            </w:r>
            <w:proofErr w:type="spellEnd"/>
            <w:r w:rsidRPr="002D27FA">
              <w:rPr>
                <w:rFonts w:ascii="Times New Roman" w:eastAsia="Times New Roman" w:hAnsi="Times New Roman" w:cs="Times New Roman"/>
                <w:color w:val="000000"/>
              </w:rPr>
              <w:t xml:space="preserve"> </w:t>
            </w:r>
            <w:proofErr w:type="spellStart"/>
            <w:r w:rsidRPr="002D27FA">
              <w:rPr>
                <w:rFonts w:ascii="Times New Roman" w:eastAsia="Times New Roman" w:hAnsi="Times New Roman" w:cs="Times New Roman"/>
                <w:color w:val="000000"/>
              </w:rPr>
              <w:t>Ev</w:t>
            </w:r>
            <w:proofErr w:type="spellEnd"/>
          </w:p>
        </w:tc>
        <w:tc>
          <w:tcPr>
            <w:tcW w:w="1460" w:type="dxa"/>
            <w:tcBorders>
              <w:top w:val="nil"/>
              <w:left w:val="nil"/>
              <w:bottom w:val="nil"/>
              <w:right w:val="nil"/>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0.0816%</w:t>
            </w:r>
          </w:p>
        </w:tc>
        <w:tc>
          <w:tcPr>
            <w:tcW w:w="1900" w:type="dxa"/>
            <w:tcBorders>
              <w:top w:val="nil"/>
              <w:left w:val="nil"/>
              <w:bottom w:val="nil"/>
              <w:right w:val="nil"/>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0.1326%</w:t>
            </w:r>
          </w:p>
        </w:tc>
        <w:tc>
          <w:tcPr>
            <w:tcW w:w="1780" w:type="dxa"/>
            <w:tcBorders>
              <w:top w:val="nil"/>
              <w:left w:val="nil"/>
              <w:bottom w:val="nil"/>
              <w:right w:val="nil"/>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0.1902%</w:t>
            </w:r>
          </w:p>
        </w:tc>
        <w:tc>
          <w:tcPr>
            <w:tcW w:w="1800" w:type="dxa"/>
            <w:tcBorders>
              <w:top w:val="nil"/>
              <w:left w:val="nil"/>
              <w:bottom w:val="nil"/>
              <w:right w:val="nil"/>
            </w:tcBorders>
            <w:shd w:val="clear" w:color="auto" w:fill="auto"/>
            <w:noWrap/>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0.2919%</w:t>
            </w:r>
          </w:p>
        </w:tc>
      </w:tr>
      <w:tr w:rsidR="007F433F" w:rsidRPr="002D27FA" w:rsidTr="00DA3A03">
        <w:trPr>
          <w:trHeight w:val="315"/>
        </w:trPr>
        <w:tc>
          <w:tcPr>
            <w:tcW w:w="1420" w:type="dxa"/>
            <w:tcBorders>
              <w:top w:val="nil"/>
              <w:left w:val="nil"/>
              <w:bottom w:val="single" w:sz="8" w:space="0" w:color="000000"/>
              <w:right w:val="nil"/>
            </w:tcBorders>
            <w:shd w:val="clear" w:color="auto" w:fill="auto"/>
            <w:vAlign w:val="center"/>
            <w:hideMark/>
          </w:tcPr>
          <w:p w:rsidR="007F433F" w:rsidRPr="002D27FA" w:rsidRDefault="007F433F" w:rsidP="00DA3A03">
            <w:pPr>
              <w:spacing w:after="0" w:line="240" w:lineRule="auto"/>
              <w:rPr>
                <w:rFonts w:ascii="Times New Roman" w:eastAsia="Times New Roman" w:hAnsi="Times New Roman" w:cs="Times New Roman"/>
                <w:color w:val="000000"/>
              </w:rPr>
            </w:pPr>
            <w:r w:rsidRPr="002D27FA">
              <w:rPr>
                <w:rFonts w:ascii="Times New Roman" w:eastAsia="Times New Roman" w:hAnsi="Times New Roman" w:cs="Times New Roman"/>
                <w:color w:val="000000"/>
              </w:rPr>
              <w:t>Count</w:t>
            </w:r>
          </w:p>
        </w:tc>
        <w:tc>
          <w:tcPr>
            <w:tcW w:w="1460" w:type="dxa"/>
            <w:tcBorders>
              <w:top w:val="nil"/>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109</w:t>
            </w:r>
          </w:p>
        </w:tc>
        <w:tc>
          <w:tcPr>
            <w:tcW w:w="1900" w:type="dxa"/>
            <w:tcBorders>
              <w:top w:val="nil"/>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261</w:t>
            </w:r>
          </w:p>
        </w:tc>
        <w:tc>
          <w:tcPr>
            <w:tcW w:w="1780" w:type="dxa"/>
            <w:tcBorders>
              <w:top w:val="nil"/>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128</w:t>
            </w:r>
          </w:p>
        </w:tc>
        <w:tc>
          <w:tcPr>
            <w:tcW w:w="1800" w:type="dxa"/>
            <w:tcBorders>
              <w:top w:val="nil"/>
              <w:left w:val="nil"/>
              <w:bottom w:val="single" w:sz="8" w:space="0" w:color="000000"/>
              <w:right w:val="nil"/>
            </w:tcBorders>
            <w:shd w:val="clear" w:color="auto" w:fill="auto"/>
            <w:vAlign w:val="center"/>
            <w:hideMark/>
          </w:tcPr>
          <w:p w:rsidR="007F433F" w:rsidRPr="002D27FA" w:rsidRDefault="007F433F" w:rsidP="00DA3A03">
            <w:pPr>
              <w:spacing w:after="0" w:line="240" w:lineRule="auto"/>
              <w:jc w:val="center"/>
              <w:rPr>
                <w:rFonts w:ascii="Times New Roman" w:eastAsia="Times New Roman" w:hAnsi="Times New Roman" w:cs="Times New Roman"/>
                <w:color w:val="000000"/>
              </w:rPr>
            </w:pPr>
            <w:r w:rsidRPr="002D27FA">
              <w:rPr>
                <w:rFonts w:ascii="Times New Roman" w:eastAsia="Times New Roman" w:hAnsi="Times New Roman" w:cs="Times New Roman"/>
                <w:color w:val="000000"/>
              </w:rPr>
              <w:t>428</w:t>
            </w:r>
          </w:p>
        </w:tc>
      </w:tr>
    </w:tbl>
    <w:p w:rsidR="007F433F" w:rsidRDefault="007F433F" w:rsidP="007F433F">
      <w:pPr>
        <w:snapToGrid w:val="0"/>
        <w:spacing w:after="0" w:line="240" w:lineRule="auto"/>
        <w:jc w:val="both"/>
        <w:rPr>
          <w:rFonts w:asciiTheme="majorBidi" w:eastAsia="SimSun" w:hAnsiTheme="majorBidi" w:cstheme="majorBidi"/>
          <w:sz w:val="24"/>
          <w:szCs w:val="24"/>
        </w:rPr>
      </w:pPr>
    </w:p>
    <w:p w:rsidR="007F433F" w:rsidRDefault="007F433F" w:rsidP="007F433F">
      <w:pPr>
        <w:snapToGrid w:val="0"/>
        <w:spacing w:after="0" w:line="240" w:lineRule="auto"/>
        <w:jc w:val="both"/>
        <w:rPr>
          <w:rFonts w:asciiTheme="majorBidi" w:eastAsia="SimSun" w:hAnsiTheme="majorBidi" w:cstheme="majorBidi"/>
          <w:sz w:val="24"/>
          <w:szCs w:val="24"/>
        </w:rPr>
      </w:pPr>
    </w:p>
    <w:p w:rsidR="007F433F" w:rsidRDefault="007F433F" w:rsidP="007F433F">
      <w:pPr>
        <w:snapToGrid w:val="0"/>
        <w:spacing w:after="0" w:line="240" w:lineRule="auto"/>
        <w:jc w:val="both"/>
        <w:rPr>
          <w:rFonts w:asciiTheme="majorBidi" w:eastAsia="SimSun" w:hAnsiTheme="majorBidi" w:cstheme="majorBidi"/>
          <w:sz w:val="24"/>
          <w:szCs w:val="24"/>
        </w:rPr>
      </w:pPr>
    </w:p>
    <w:p w:rsidR="007F433F" w:rsidRDefault="007F433F" w:rsidP="007F433F">
      <w:pPr>
        <w:snapToGrid w:val="0"/>
        <w:spacing w:after="0" w:line="240" w:lineRule="auto"/>
        <w:jc w:val="both"/>
        <w:rPr>
          <w:rFonts w:asciiTheme="majorBidi" w:eastAsia="SimSun" w:hAnsiTheme="majorBidi" w:cstheme="majorBidi"/>
          <w:b/>
          <w:bCs/>
          <w:sz w:val="24"/>
          <w:szCs w:val="24"/>
        </w:rPr>
        <w:sectPr w:rsidR="007F433F">
          <w:footerReference w:type="default" r:id="rId9"/>
          <w:pgSz w:w="11906" w:h="16838"/>
          <w:pgMar w:top="1440" w:right="1440" w:bottom="1440" w:left="1440" w:header="708" w:footer="708" w:gutter="0"/>
          <w:cols w:space="708"/>
          <w:docGrid w:linePitch="360"/>
        </w:sectPr>
      </w:pPr>
    </w:p>
    <w:p w:rsidR="007F433F" w:rsidRPr="002467C3" w:rsidRDefault="007F433F" w:rsidP="007F433F">
      <w:pPr>
        <w:snapToGrid w:val="0"/>
        <w:spacing w:after="0" w:line="240" w:lineRule="auto"/>
        <w:ind w:left="-567" w:right="-643"/>
        <w:jc w:val="both"/>
        <w:rPr>
          <w:rFonts w:asciiTheme="majorBidi" w:eastAsia="SimSun" w:hAnsiTheme="majorBidi" w:cstheme="majorBidi"/>
          <w:b/>
          <w:bCs/>
        </w:rPr>
      </w:pPr>
      <w:r w:rsidRPr="002467C3">
        <w:rPr>
          <w:rFonts w:asciiTheme="majorBidi" w:eastAsia="SimSun" w:hAnsiTheme="majorBidi" w:cstheme="majorBidi"/>
          <w:b/>
          <w:bCs/>
        </w:rPr>
        <w:lastRenderedPageBreak/>
        <w:t xml:space="preserve">Table 3: Estimates using the full sample and </w:t>
      </w:r>
      <w:proofErr w:type="spellStart"/>
      <w:r w:rsidRPr="002467C3">
        <w:rPr>
          <w:rFonts w:asciiTheme="majorBidi" w:eastAsia="SimSun" w:hAnsiTheme="majorBidi" w:cstheme="majorBidi"/>
          <w:b/>
          <w:bCs/>
        </w:rPr>
        <w:t>Canstar</w:t>
      </w:r>
      <w:proofErr w:type="spellEnd"/>
      <w:r w:rsidRPr="002467C3">
        <w:rPr>
          <w:rFonts w:asciiTheme="majorBidi" w:eastAsia="SimSun" w:hAnsiTheme="majorBidi" w:cstheme="majorBidi"/>
          <w:b/>
          <w:bCs/>
        </w:rPr>
        <w:t xml:space="preserve"> Classification </w:t>
      </w:r>
    </w:p>
    <w:p w:rsidR="007F433F" w:rsidRDefault="007F433F" w:rsidP="007F433F">
      <w:pPr>
        <w:snapToGrid w:val="0"/>
        <w:spacing w:after="0" w:line="240" w:lineRule="auto"/>
        <w:ind w:left="-567" w:right="-643"/>
        <w:jc w:val="both"/>
        <w:rPr>
          <w:rFonts w:asciiTheme="majorBidi" w:eastAsia="SimSun" w:hAnsiTheme="majorBidi" w:cstheme="majorBidi"/>
          <w:sz w:val="20"/>
          <w:szCs w:val="20"/>
        </w:rPr>
      </w:pPr>
      <w:r w:rsidRPr="00611BE0">
        <w:rPr>
          <w:rFonts w:asciiTheme="majorBidi" w:eastAsia="SimSun" w:hAnsiTheme="majorBidi" w:cstheme="majorBidi"/>
          <w:sz w:val="20"/>
          <w:szCs w:val="20"/>
        </w:rPr>
        <w:t>This table provides the beta estimates using the varying coefficient models estimate using four estimation techniques, the CAPM, FF three factor model, FF four factor model and FF five factor model. The non-crisis period is the full sample January 1990 to December 2006 minus Dot Com, Asian and GFC and Crisis is a combination of the three cris</w:t>
      </w:r>
      <w:r>
        <w:rPr>
          <w:rFonts w:asciiTheme="majorBidi" w:eastAsia="SimSun" w:hAnsiTheme="majorBidi" w:cstheme="majorBidi"/>
          <w:sz w:val="20"/>
          <w:szCs w:val="20"/>
        </w:rPr>
        <w:t>es</w:t>
      </w:r>
      <w:r w:rsidRPr="00611BE0">
        <w:rPr>
          <w:rFonts w:asciiTheme="majorBidi" w:eastAsia="SimSun" w:hAnsiTheme="majorBidi" w:cstheme="majorBidi"/>
          <w:sz w:val="20"/>
          <w:szCs w:val="20"/>
        </w:rPr>
        <w:t xml:space="preserve">. The three crisis periods including 1997 Asian financial crisis (January 1997-June 1999), 2001 dot com crisis (September 1999-April 2003) and 2007 subprime financial crisis (January 2007-September 2009). The model is estimated using a non-crisis and crisis sample and by using the </w:t>
      </w:r>
      <w:proofErr w:type="spellStart"/>
      <w:r w:rsidRPr="00611BE0">
        <w:rPr>
          <w:rFonts w:asciiTheme="majorBidi" w:eastAsia="SimSun" w:hAnsiTheme="majorBidi" w:cstheme="majorBidi"/>
          <w:b/>
          <w:bCs/>
          <w:sz w:val="20"/>
          <w:szCs w:val="20"/>
        </w:rPr>
        <w:t>Canstar</w:t>
      </w:r>
      <w:proofErr w:type="spellEnd"/>
      <w:r w:rsidRPr="00611BE0">
        <w:rPr>
          <w:rFonts w:asciiTheme="majorBidi" w:eastAsia="SimSun" w:hAnsiTheme="majorBidi" w:cstheme="majorBidi"/>
          <w:b/>
          <w:bCs/>
          <w:sz w:val="20"/>
          <w:szCs w:val="20"/>
        </w:rPr>
        <w:t xml:space="preserve"> </w:t>
      </w:r>
      <w:r w:rsidRPr="00611BE0">
        <w:rPr>
          <w:rFonts w:asciiTheme="majorBidi" w:eastAsia="SimSun" w:hAnsiTheme="majorBidi" w:cstheme="majorBidi"/>
          <w:sz w:val="20"/>
          <w:szCs w:val="20"/>
        </w:rPr>
        <w:t xml:space="preserve">method of classifying investment options. </w:t>
      </w:r>
      <w:r>
        <w:rPr>
          <w:rFonts w:asciiTheme="majorBidi" w:eastAsia="SimSun" w:hAnsiTheme="majorBidi" w:cstheme="majorBidi"/>
          <w:sz w:val="20"/>
          <w:szCs w:val="20"/>
        </w:rPr>
        <w:t>Standard errors are presented in parenthesis and *, **, *** indicate estimates are statistically significant at 10%, 5% and 1% level of significance.</w:t>
      </w:r>
    </w:p>
    <w:p w:rsidR="007F433F" w:rsidRPr="00611BE0" w:rsidRDefault="007F433F" w:rsidP="007F433F">
      <w:pPr>
        <w:snapToGrid w:val="0"/>
        <w:spacing w:after="0" w:line="240" w:lineRule="auto"/>
        <w:ind w:left="-567" w:right="-643"/>
        <w:jc w:val="both"/>
        <w:rPr>
          <w:rFonts w:asciiTheme="majorBidi" w:eastAsia="SimSun" w:hAnsiTheme="majorBidi" w:cstheme="majorBidi"/>
          <w:sz w:val="20"/>
          <w:szCs w:val="20"/>
        </w:rPr>
      </w:pPr>
      <w:r w:rsidRPr="00611BE0">
        <w:rPr>
          <w:rFonts w:asciiTheme="majorBidi" w:eastAsia="SimSun" w:hAnsiTheme="majorBidi" w:cstheme="majorBidi"/>
          <w:sz w:val="20"/>
          <w:szCs w:val="20"/>
        </w:rPr>
        <w:t xml:space="preserve"> </w:t>
      </w:r>
    </w:p>
    <w:tbl>
      <w:tblPr>
        <w:tblW w:w="15147" w:type="dxa"/>
        <w:tblInd w:w="-567" w:type="dxa"/>
        <w:tblLook w:val="04A0" w:firstRow="1" w:lastRow="0" w:firstColumn="1" w:lastColumn="0" w:noHBand="0" w:noVBand="1"/>
      </w:tblPr>
      <w:tblGrid>
        <w:gridCol w:w="2127"/>
        <w:gridCol w:w="1134"/>
        <w:gridCol w:w="1134"/>
        <w:gridCol w:w="1134"/>
        <w:gridCol w:w="1066"/>
        <w:gridCol w:w="1066"/>
        <w:gridCol w:w="962"/>
        <w:gridCol w:w="8"/>
        <w:gridCol w:w="1150"/>
        <w:gridCol w:w="1096"/>
        <w:gridCol w:w="1066"/>
        <w:gridCol w:w="1065"/>
        <w:gridCol w:w="1066"/>
        <w:gridCol w:w="1073"/>
      </w:tblGrid>
      <w:tr w:rsidR="007F433F" w:rsidRPr="00611BE0" w:rsidTr="00DA3A03">
        <w:trPr>
          <w:trHeight w:val="300"/>
        </w:trPr>
        <w:tc>
          <w:tcPr>
            <w:tcW w:w="2127" w:type="dxa"/>
            <w:tcBorders>
              <w:top w:val="single" w:sz="4" w:space="0" w:color="auto"/>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 </w:t>
            </w:r>
          </w:p>
        </w:tc>
        <w:tc>
          <w:tcPr>
            <w:tcW w:w="6504" w:type="dxa"/>
            <w:gridSpan w:val="7"/>
            <w:tcBorders>
              <w:top w:val="single" w:sz="4" w:space="0" w:color="auto"/>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jc w:val="center"/>
              <w:rPr>
                <w:rFonts w:ascii="Times New Roman" w:eastAsia="Times New Roman" w:hAnsi="Times New Roman" w:cs="Times New Roman"/>
                <w:b/>
                <w:bCs/>
                <w:color w:val="000000"/>
                <w:sz w:val="20"/>
                <w:szCs w:val="20"/>
                <w:lang w:val="en-NZ" w:eastAsia="en-NZ"/>
              </w:rPr>
            </w:pPr>
            <w:r w:rsidRPr="00611BE0">
              <w:rPr>
                <w:rFonts w:ascii="Times New Roman" w:eastAsia="Times New Roman" w:hAnsi="Times New Roman" w:cs="Times New Roman"/>
                <w:b/>
                <w:bCs/>
                <w:color w:val="000000"/>
                <w:sz w:val="20"/>
                <w:szCs w:val="20"/>
                <w:lang w:val="en-NZ" w:eastAsia="en-NZ"/>
              </w:rPr>
              <w:t>Non-crisis period</w:t>
            </w:r>
          </w:p>
        </w:tc>
        <w:tc>
          <w:tcPr>
            <w:tcW w:w="6511" w:type="dxa"/>
            <w:gridSpan w:val="6"/>
            <w:tcBorders>
              <w:top w:val="single" w:sz="4" w:space="0" w:color="auto"/>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jc w:val="center"/>
              <w:rPr>
                <w:rFonts w:ascii="Times New Roman" w:eastAsia="Times New Roman" w:hAnsi="Times New Roman" w:cs="Times New Roman"/>
                <w:b/>
                <w:bCs/>
                <w:color w:val="000000"/>
                <w:sz w:val="20"/>
                <w:szCs w:val="20"/>
                <w:lang w:val="en-NZ" w:eastAsia="en-NZ"/>
              </w:rPr>
            </w:pPr>
            <w:r w:rsidRPr="00611BE0">
              <w:rPr>
                <w:rFonts w:ascii="Times New Roman" w:eastAsia="Times New Roman" w:hAnsi="Times New Roman" w:cs="Times New Roman"/>
                <w:b/>
                <w:bCs/>
                <w:color w:val="000000"/>
                <w:sz w:val="20"/>
                <w:szCs w:val="20"/>
                <w:lang w:val="en-NZ" w:eastAsia="en-NZ"/>
              </w:rPr>
              <w:t>Crisis period</w:t>
            </w:r>
          </w:p>
        </w:tc>
      </w:tr>
      <w:tr w:rsidR="007F433F" w:rsidRPr="00611BE0" w:rsidTr="00DA3A03">
        <w:trPr>
          <w:trHeight w:val="300"/>
        </w:trPr>
        <w:tc>
          <w:tcPr>
            <w:tcW w:w="2127"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 </w:t>
            </w:r>
          </w:p>
        </w:tc>
        <w:tc>
          <w:tcPr>
            <w:tcW w:w="1134"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Rm-</w:t>
            </w:r>
            <w:proofErr w:type="spellStart"/>
            <w:r w:rsidRPr="00611BE0">
              <w:rPr>
                <w:rFonts w:ascii="Times New Roman" w:eastAsia="Times New Roman" w:hAnsi="Times New Roman" w:cs="Times New Roman"/>
                <w:color w:val="000000"/>
                <w:sz w:val="20"/>
                <w:szCs w:val="20"/>
                <w:lang w:val="en-NZ" w:eastAsia="en-NZ"/>
              </w:rPr>
              <w:t>Rf</w:t>
            </w:r>
            <w:proofErr w:type="spellEnd"/>
          </w:p>
        </w:tc>
        <w:tc>
          <w:tcPr>
            <w:tcW w:w="1134"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SMB</w:t>
            </w:r>
          </w:p>
        </w:tc>
        <w:tc>
          <w:tcPr>
            <w:tcW w:w="1134"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HML</w:t>
            </w:r>
          </w:p>
        </w:tc>
        <w:tc>
          <w:tcPr>
            <w:tcW w:w="1066"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UMD</w:t>
            </w:r>
          </w:p>
        </w:tc>
        <w:tc>
          <w:tcPr>
            <w:tcW w:w="1066"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RMW</w:t>
            </w:r>
          </w:p>
        </w:tc>
        <w:tc>
          <w:tcPr>
            <w:tcW w:w="962"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CMA</w:t>
            </w:r>
          </w:p>
        </w:tc>
        <w:tc>
          <w:tcPr>
            <w:tcW w:w="1158" w:type="dxa"/>
            <w:gridSpan w:val="2"/>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Rm-</w:t>
            </w:r>
            <w:proofErr w:type="spellStart"/>
            <w:r w:rsidRPr="00611BE0">
              <w:rPr>
                <w:rFonts w:ascii="Times New Roman" w:eastAsia="Times New Roman" w:hAnsi="Times New Roman" w:cs="Times New Roman"/>
                <w:color w:val="000000"/>
                <w:sz w:val="20"/>
                <w:szCs w:val="20"/>
                <w:lang w:val="en-NZ" w:eastAsia="en-NZ"/>
              </w:rPr>
              <w:t>Rf</w:t>
            </w:r>
            <w:proofErr w:type="spellEnd"/>
          </w:p>
        </w:tc>
        <w:tc>
          <w:tcPr>
            <w:tcW w:w="1096"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SMB</w:t>
            </w:r>
          </w:p>
        </w:tc>
        <w:tc>
          <w:tcPr>
            <w:tcW w:w="1066"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HML</w:t>
            </w:r>
          </w:p>
        </w:tc>
        <w:tc>
          <w:tcPr>
            <w:tcW w:w="1065"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UMD</w:t>
            </w:r>
          </w:p>
        </w:tc>
        <w:tc>
          <w:tcPr>
            <w:tcW w:w="1066"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RMW</w:t>
            </w:r>
          </w:p>
        </w:tc>
        <w:tc>
          <w:tcPr>
            <w:tcW w:w="1068" w:type="dxa"/>
            <w:tcBorders>
              <w:top w:val="nil"/>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11BE0">
              <w:rPr>
                <w:rFonts w:ascii="Times New Roman" w:eastAsia="Times New Roman" w:hAnsi="Times New Roman" w:cs="Times New Roman"/>
                <w:color w:val="000000"/>
                <w:sz w:val="20"/>
                <w:szCs w:val="20"/>
                <w:lang w:val="en-NZ" w:eastAsia="en-NZ"/>
              </w:rPr>
              <w:t>CMA</w:t>
            </w:r>
          </w:p>
        </w:tc>
      </w:tr>
      <w:tr w:rsidR="007F433F" w:rsidRPr="00611BE0" w:rsidTr="00DA3A03">
        <w:trPr>
          <w:trHeight w:val="285"/>
        </w:trPr>
        <w:tc>
          <w:tcPr>
            <w:tcW w:w="15147" w:type="dxa"/>
            <w:gridSpan w:val="14"/>
            <w:tcBorders>
              <w:top w:val="single" w:sz="4" w:space="0" w:color="auto"/>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rPr>
                <w:rFonts w:ascii="Times New Roman" w:eastAsia="Times New Roman" w:hAnsi="Times New Roman" w:cs="Times New Roman"/>
                <w:b/>
                <w:bCs/>
                <w:color w:val="000000"/>
                <w:sz w:val="20"/>
                <w:szCs w:val="20"/>
                <w:lang w:val="en-NZ" w:eastAsia="en-NZ"/>
              </w:rPr>
            </w:pPr>
            <w:bookmarkStart w:id="2" w:name="RANGE!A5:M44"/>
            <w:r w:rsidRPr="00611BE0">
              <w:rPr>
                <w:rFonts w:ascii="Times New Roman" w:eastAsia="Times New Roman" w:hAnsi="Times New Roman" w:cs="Times New Roman"/>
                <w:b/>
                <w:bCs/>
                <w:color w:val="000000"/>
                <w:sz w:val="20"/>
                <w:szCs w:val="20"/>
                <w:lang w:val="en-NZ" w:eastAsia="en-NZ"/>
              </w:rPr>
              <w:t>CAPM model</w:t>
            </w:r>
            <w:bookmarkEnd w:id="2"/>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Moderate (21-40%)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0.162***</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0.1652***</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(0.0048)</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611BE0">
              <w:rPr>
                <w:rFonts w:ascii="Times New Roman" w:eastAsia="Times New Roman" w:hAnsi="Times New Roman" w:cs="Times New Roman"/>
                <w:sz w:val="20"/>
                <w:szCs w:val="20"/>
                <w:lang w:val="en-NZ" w:eastAsia="en-NZ"/>
              </w:rPr>
              <w:t>(41-60%)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0.3898***</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0.4467***</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(0.0108)</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(0.0073)</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Growth (61-80%)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0.496***</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0.5163***</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(0.0053)</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(0.0084)</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Aggressive (81-100%)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0.6399***</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0.734***</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(0.0185)</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85"/>
        </w:trPr>
        <w:tc>
          <w:tcPr>
            <w:tcW w:w="15147" w:type="dxa"/>
            <w:gridSpan w:val="14"/>
            <w:tcBorders>
              <w:top w:val="single" w:sz="4" w:space="0" w:color="auto"/>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11BE0">
              <w:rPr>
                <w:rFonts w:ascii="Times New Roman" w:eastAsia="Times New Roman" w:hAnsi="Times New Roman" w:cs="Times New Roman"/>
                <w:b/>
                <w:bCs/>
                <w:color w:val="000000"/>
                <w:sz w:val="20"/>
                <w:szCs w:val="20"/>
                <w:lang w:val="en-NZ" w:eastAsia="en-NZ"/>
              </w:rPr>
              <w:t>Three factor model</w:t>
            </w: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Moderate (21-40%)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0.1567***</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-0.015***</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0.1683***</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0.0249***</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(0.0061)</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(0.0071)</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(0.0105)</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(0.0081)</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(0.0083)</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611BE0">
              <w:rPr>
                <w:rFonts w:ascii="Times New Roman" w:eastAsia="Times New Roman" w:hAnsi="Times New Roman" w:cs="Times New Roman"/>
                <w:sz w:val="20"/>
                <w:szCs w:val="20"/>
                <w:lang w:val="en-NZ" w:eastAsia="en-NZ"/>
              </w:rPr>
              <w:t>(41-60%)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0.3868***</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-0.015***</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-0.019***</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0.4557***</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-0.022***</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0.0169**</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(0.0053)</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(0.0044)</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(0.0098)</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(0.0076)</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(0.0077)</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Growth (61-80%)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0.4927***</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-0.034***</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-0.017***</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0.5305***</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-0.056***</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0.0078</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(0.0049)</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(0.0039)</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(0.0054)</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(0.0076)</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(0.0077)</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(0.0082)</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Aggressive (81-100%)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0.6368***</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-0.046***</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0.7503***</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-0.04**</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0.0226</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(0.0088)</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(0.0063)</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(0.0103)</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(0.0186)</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(0.017)</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(0.018)</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85"/>
        </w:trPr>
        <w:tc>
          <w:tcPr>
            <w:tcW w:w="15147" w:type="dxa"/>
            <w:gridSpan w:val="14"/>
            <w:tcBorders>
              <w:top w:val="single" w:sz="4" w:space="0" w:color="auto"/>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11BE0">
              <w:rPr>
                <w:rFonts w:ascii="Times New Roman" w:eastAsia="Times New Roman" w:hAnsi="Times New Roman" w:cs="Times New Roman"/>
                <w:b/>
                <w:bCs/>
                <w:color w:val="000000"/>
                <w:sz w:val="20"/>
                <w:szCs w:val="20"/>
                <w:lang w:val="en-NZ" w:eastAsia="en-NZ"/>
              </w:rPr>
              <w:t>Four factor model</w:t>
            </w: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Moderate (21-40%)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0.1581***</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-0.014***</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0.0092</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0.1673***</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0.0192**</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(0.0062)</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(0.0051)</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(0.0077)</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(0.0105)</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(0.0081)</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(0.0059)</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611BE0">
              <w:rPr>
                <w:rFonts w:ascii="Times New Roman" w:eastAsia="Times New Roman" w:hAnsi="Times New Roman" w:cs="Times New Roman"/>
                <w:sz w:val="20"/>
                <w:szCs w:val="20"/>
                <w:lang w:val="en-NZ" w:eastAsia="en-NZ"/>
              </w:rPr>
              <w:t>(41-60%)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0.3884***</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-0.014***</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-0.016**</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0.4524***</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-0.022***</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0.0026</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-0.016***</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(0.0052)</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(0.0044)</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(0.0064)</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(0.0052)</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(0.0097)</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(0.0074)</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(0.0089)</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Growth (61-80%)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0.4953***</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-0.032***</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-0.012**</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0.0182***</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0.526***</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-0.058***</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-0.015</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-0.029***</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(0.0048)</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(0.0039)</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(0.0057)</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(0.0049)</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(0.0077)</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(0.0076)</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(0.0093)</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(0.0055)</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Aggressive (81-100%)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0.6397***</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-0.045***</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-0.003</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0.0191**</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0.7451***</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-0.042**</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-0.002</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-0.03**</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(0.0089)</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(0.0064)</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(0.011)</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(0.0186)</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(0.0168)</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(0.0209)</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(0.0122)</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11BE0" w:rsidTr="00DA3A03">
        <w:trPr>
          <w:trHeight w:val="285"/>
        </w:trPr>
        <w:tc>
          <w:tcPr>
            <w:tcW w:w="15147" w:type="dxa"/>
            <w:gridSpan w:val="14"/>
            <w:tcBorders>
              <w:top w:val="single" w:sz="4" w:space="0" w:color="auto"/>
              <w:left w:val="nil"/>
              <w:bottom w:val="single" w:sz="4" w:space="0" w:color="auto"/>
              <w:right w:val="nil"/>
            </w:tcBorders>
            <w:shd w:val="clear" w:color="auto" w:fill="auto"/>
            <w:noWrap/>
            <w:vAlign w:val="center"/>
            <w:hideMark/>
          </w:tcPr>
          <w:p w:rsidR="007F433F" w:rsidRPr="00611BE0"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11BE0">
              <w:rPr>
                <w:rFonts w:ascii="Times New Roman" w:eastAsia="Times New Roman" w:hAnsi="Times New Roman" w:cs="Times New Roman"/>
                <w:b/>
                <w:bCs/>
                <w:color w:val="000000"/>
                <w:sz w:val="20"/>
                <w:szCs w:val="20"/>
                <w:lang w:val="en-NZ" w:eastAsia="en-NZ"/>
              </w:rPr>
              <w:lastRenderedPageBreak/>
              <w:t>Five factor model</w:t>
            </w: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Moderate (21-40%)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0.1805***</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-0.013***</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0.0168***</w:t>
            </w: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w:t>
            </w: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0.1946***</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0.0044</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0.0216**</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0.0063</w:t>
            </w: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0.0329***</w:t>
            </w: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(0.0049)</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(0.0082)</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(0.0058)</w:t>
            </w: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(0.0071)</w:t>
            </w: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(0.0098)</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(0.0073)</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(0.0088)</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(0.0053)</w:t>
            </w: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(0.0099)</w:t>
            </w: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611BE0">
              <w:rPr>
                <w:rFonts w:ascii="Times New Roman" w:eastAsia="Times New Roman" w:hAnsi="Times New Roman" w:cs="Times New Roman"/>
                <w:sz w:val="20"/>
                <w:szCs w:val="20"/>
                <w:lang w:val="en-NZ" w:eastAsia="en-NZ"/>
              </w:rPr>
              <w:t>(41-60%)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0.4057***</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0.0267***</w:t>
            </w: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w:t>
            </w: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0.4725***</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0.0103</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0.0089</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0.0435***</w:t>
            </w: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0.0575***</w:t>
            </w: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(0.0087)</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(0.0042)</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(0.0041)</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(0.0066)</w:t>
            </w: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w:t>
            </w: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(0.0099)</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(0.0068)</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(0.0086)</w:t>
            </w: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(0.0088)</w:t>
            </w: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Growth (61-80%)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0.499***</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-0.032***</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-0.019***</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0.0167*</w:t>
            </w: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w:t>
            </w: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0.557***</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-0.015***</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-0.001</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0.0436***</w:t>
            </w: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0.1061***</w:t>
            </w: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(0.0038)</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(0.0063)</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(0.0088)</w:t>
            </w: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(0.0043)</w:t>
            </w: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(0.0076)</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(0.0042)</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(0.0098)</w:t>
            </w: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(0.0078)</w:t>
            </w:r>
          </w:p>
        </w:tc>
      </w:tr>
      <w:tr w:rsidR="007F433F" w:rsidRPr="00611BE0" w:rsidTr="00DA3A03">
        <w:trPr>
          <w:trHeight w:val="255"/>
        </w:trPr>
        <w:tc>
          <w:tcPr>
            <w:tcW w:w="2127"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Aggressive (81-100%)</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0.6552***</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-0.036***</w:t>
            </w:r>
          </w:p>
        </w:tc>
        <w:tc>
          <w:tcPr>
            <w:tcW w:w="1134"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-0.008</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0.037***</w:t>
            </w:r>
          </w:p>
        </w:tc>
        <w:tc>
          <w:tcPr>
            <w:tcW w:w="962"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w:t>
            </w:r>
          </w:p>
        </w:tc>
        <w:tc>
          <w:tcPr>
            <w:tcW w:w="1158" w:type="dxa"/>
            <w:gridSpan w:val="2"/>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0.7842***</w:t>
            </w:r>
          </w:p>
        </w:tc>
        <w:tc>
          <w:tcPr>
            <w:tcW w:w="109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0.0261**</w:t>
            </w: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0.0005</w:t>
            </w:r>
          </w:p>
        </w:tc>
        <w:tc>
          <w:tcPr>
            <w:tcW w:w="1065"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0.0983***</w:t>
            </w:r>
          </w:p>
        </w:tc>
        <w:tc>
          <w:tcPr>
            <w:tcW w:w="1068" w:type="dxa"/>
            <w:tcBorders>
              <w:top w:val="nil"/>
              <w:left w:val="nil"/>
              <w:bottom w:val="nil"/>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0.1276***</w:t>
            </w:r>
          </w:p>
        </w:tc>
      </w:tr>
      <w:tr w:rsidR="007F433F" w:rsidRPr="00611BE0" w:rsidTr="00DA3A03">
        <w:trPr>
          <w:trHeight w:val="255"/>
        </w:trPr>
        <w:tc>
          <w:tcPr>
            <w:tcW w:w="2127"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 </w:t>
            </w:r>
          </w:p>
        </w:tc>
        <w:tc>
          <w:tcPr>
            <w:tcW w:w="1134"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(0.0098)</w:t>
            </w:r>
          </w:p>
        </w:tc>
        <w:tc>
          <w:tcPr>
            <w:tcW w:w="1134"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(0.006)</w:t>
            </w:r>
          </w:p>
        </w:tc>
        <w:tc>
          <w:tcPr>
            <w:tcW w:w="1134"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(0.0132)</w:t>
            </w:r>
          </w:p>
        </w:tc>
        <w:tc>
          <w:tcPr>
            <w:tcW w:w="1066"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 </w:t>
            </w:r>
          </w:p>
        </w:tc>
        <w:tc>
          <w:tcPr>
            <w:tcW w:w="1066"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(0.0078)</w:t>
            </w:r>
          </w:p>
        </w:tc>
        <w:tc>
          <w:tcPr>
            <w:tcW w:w="962"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(0.0055)</w:t>
            </w:r>
          </w:p>
        </w:tc>
        <w:tc>
          <w:tcPr>
            <w:tcW w:w="1158" w:type="dxa"/>
            <w:gridSpan w:val="2"/>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(0.0188)</w:t>
            </w:r>
          </w:p>
        </w:tc>
        <w:tc>
          <w:tcPr>
            <w:tcW w:w="1096"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(0.0102)</w:t>
            </w:r>
          </w:p>
        </w:tc>
        <w:tc>
          <w:tcPr>
            <w:tcW w:w="1066"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(0.0021)</w:t>
            </w:r>
          </w:p>
        </w:tc>
        <w:tc>
          <w:tcPr>
            <w:tcW w:w="1065"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 </w:t>
            </w:r>
          </w:p>
        </w:tc>
        <w:tc>
          <w:tcPr>
            <w:tcW w:w="1066"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(0.01)</w:t>
            </w:r>
          </w:p>
        </w:tc>
        <w:tc>
          <w:tcPr>
            <w:tcW w:w="1068" w:type="dxa"/>
            <w:tcBorders>
              <w:top w:val="nil"/>
              <w:left w:val="nil"/>
              <w:bottom w:val="single" w:sz="4" w:space="0" w:color="auto"/>
              <w:right w:val="nil"/>
            </w:tcBorders>
            <w:shd w:val="clear" w:color="auto" w:fill="auto"/>
            <w:noWrap/>
            <w:vAlign w:val="bottom"/>
            <w:hideMark/>
          </w:tcPr>
          <w:p w:rsidR="007F433F" w:rsidRPr="00611BE0" w:rsidRDefault="007F433F" w:rsidP="00DA3A03">
            <w:pPr>
              <w:spacing w:after="0" w:line="240" w:lineRule="auto"/>
              <w:rPr>
                <w:rFonts w:ascii="Times New Roman" w:eastAsia="Times New Roman" w:hAnsi="Times New Roman" w:cs="Times New Roman"/>
                <w:sz w:val="20"/>
                <w:szCs w:val="20"/>
                <w:lang w:val="en-NZ" w:eastAsia="en-NZ"/>
              </w:rPr>
            </w:pPr>
            <w:r w:rsidRPr="00611BE0">
              <w:rPr>
                <w:rFonts w:ascii="Times New Roman" w:eastAsia="Times New Roman" w:hAnsi="Times New Roman" w:cs="Times New Roman"/>
                <w:sz w:val="20"/>
                <w:szCs w:val="20"/>
                <w:lang w:val="en-NZ" w:eastAsia="en-NZ"/>
              </w:rPr>
              <w:t>(0.0045)</w:t>
            </w:r>
          </w:p>
        </w:tc>
      </w:tr>
    </w:tbl>
    <w:p w:rsidR="007F433F" w:rsidRDefault="007F433F" w:rsidP="007F433F">
      <w:pPr>
        <w:snapToGrid w:val="0"/>
        <w:spacing w:after="0" w:line="240" w:lineRule="auto"/>
        <w:jc w:val="both"/>
      </w:pPr>
    </w:p>
    <w:p w:rsidR="007F433F" w:rsidRDefault="007F433F" w:rsidP="007F433F">
      <w:pPr>
        <w:snapToGrid w:val="0"/>
        <w:spacing w:after="0" w:line="240" w:lineRule="auto"/>
        <w:jc w:val="both"/>
        <w:rPr>
          <w:noProof/>
        </w:rPr>
      </w:pPr>
    </w:p>
    <w:p w:rsidR="007F433F" w:rsidRDefault="007F433F" w:rsidP="007F433F">
      <w:pPr>
        <w:rPr>
          <w:noProof/>
        </w:rPr>
      </w:pPr>
      <w:r>
        <w:rPr>
          <w:noProof/>
        </w:rPr>
        <w:br w:type="page"/>
      </w:r>
    </w:p>
    <w:p w:rsidR="007F433F" w:rsidRDefault="007F433F" w:rsidP="007F433F">
      <w:pPr>
        <w:snapToGrid w:val="0"/>
        <w:spacing w:after="0" w:line="240" w:lineRule="auto"/>
        <w:jc w:val="both"/>
        <w:rPr>
          <w:noProof/>
        </w:rPr>
      </w:pPr>
    </w:p>
    <w:p w:rsidR="007F433F" w:rsidRPr="002467C3" w:rsidRDefault="007F433F" w:rsidP="007F433F">
      <w:pPr>
        <w:snapToGrid w:val="0"/>
        <w:spacing w:after="0" w:line="240" w:lineRule="auto"/>
        <w:ind w:left="-567" w:right="-643"/>
        <w:jc w:val="both"/>
        <w:rPr>
          <w:rFonts w:asciiTheme="majorBidi" w:eastAsia="SimSun" w:hAnsiTheme="majorBidi" w:cstheme="majorBidi"/>
          <w:b/>
          <w:bCs/>
        </w:rPr>
      </w:pPr>
      <w:r w:rsidRPr="002467C3">
        <w:rPr>
          <w:rFonts w:asciiTheme="majorBidi" w:eastAsia="SimSun" w:hAnsiTheme="majorBidi" w:cstheme="majorBidi"/>
          <w:b/>
          <w:bCs/>
        </w:rPr>
        <w:t xml:space="preserve">Table 4: Estimates using the full sample and ASIC Classification </w:t>
      </w:r>
    </w:p>
    <w:p w:rsidR="007F433F" w:rsidRPr="002467C3" w:rsidRDefault="007F433F" w:rsidP="007F433F">
      <w:pPr>
        <w:snapToGrid w:val="0"/>
        <w:spacing w:after="0" w:line="240" w:lineRule="auto"/>
        <w:ind w:left="-567" w:right="-643"/>
        <w:jc w:val="both"/>
        <w:rPr>
          <w:rFonts w:asciiTheme="majorBidi" w:eastAsia="SimSun" w:hAnsiTheme="majorBidi" w:cstheme="majorBidi"/>
          <w:sz w:val="20"/>
          <w:szCs w:val="20"/>
        </w:rPr>
      </w:pPr>
      <w:r w:rsidRPr="002467C3">
        <w:rPr>
          <w:rFonts w:asciiTheme="majorBidi" w:eastAsia="SimSun" w:hAnsiTheme="majorBidi" w:cstheme="majorBidi"/>
          <w:sz w:val="20"/>
          <w:szCs w:val="20"/>
        </w:rPr>
        <w:t>This table provides the beta estimates using the varying coefficient models estimate using four estimation techniques, the CAPM, FF three factor model, FF four factor model and FF five actor model. The non-crisis period is the full sample January 1990 to December 2006 minus Dot Com, Asian and GFC and Crisis is a combination of the three cri</w:t>
      </w:r>
      <w:r>
        <w:rPr>
          <w:rFonts w:asciiTheme="majorBidi" w:eastAsia="SimSun" w:hAnsiTheme="majorBidi" w:cstheme="majorBidi"/>
          <w:sz w:val="20"/>
          <w:szCs w:val="20"/>
        </w:rPr>
        <w:t>ses</w:t>
      </w:r>
      <w:r w:rsidRPr="002467C3">
        <w:rPr>
          <w:rFonts w:asciiTheme="majorBidi" w:eastAsia="SimSun" w:hAnsiTheme="majorBidi" w:cstheme="majorBidi"/>
          <w:sz w:val="20"/>
          <w:szCs w:val="20"/>
        </w:rPr>
        <w:t xml:space="preserve">. The three crisis periods including 1997 Asian financial crisis (January 1997-June 1999), 2001 dot com crisis (September 1999-April 2003) and 2007 subprime financial crisis (January 2007-September 2009). The model is estimated using a non-crisis and crisis sample and by using the </w:t>
      </w:r>
      <w:r w:rsidRPr="002467C3">
        <w:rPr>
          <w:rFonts w:asciiTheme="majorBidi" w:eastAsia="SimSun" w:hAnsiTheme="majorBidi" w:cstheme="majorBidi"/>
          <w:b/>
          <w:bCs/>
          <w:sz w:val="20"/>
          <w:szCs w:val="20"/>
        </w:rPr>
        <w:t>ASIC</w:t>
      </w:r>
      <w:r w:rsidRPr="002467C3">
        <w:rPr>
          <w:rFonts w:asciiTheme="majorBidi" w:eastAsia="SimSun" w:hAnsiTheme="majorBidi" w:cstheme="majorBidi"/>
          <w:sz w:val="20"/>
          <w:szCs w:val="20"/>
        </w:rPr>
        <w:t xml:space="preserve"> method of classifying investment options.</w:t>
      </w:r>
      <w:r>
        <w:rPr>
          <w:rFonts w:asciiTheme="majorBidi" w:eastAsia="SimSun" w:hAnsiTheme="majorBidi" w:cstheme="majorBidi"/>
          <w:sz w:val="20"/>
          <w:szCs w:val="20"/>
        </w:rPr>
        <w:t xml:space="preserve"> Standard errors are presented in parenthesis and *, **, *** indicate estimates are statistically significant at 10%, 5% and 1% level of significance.</w:t>
      </w:r>
      <w:r w:rsidRPr="002467C3">
        <w:rPr>
          <w:rFonts w:asciiTheme="majorBidi" w:eastAsia="SimSun" w:hAnsiTheme="majorBidi" w:cstheme="majorBidi"/>
          <w:sz w:val="20"/>
          <w:szCs w:val="20"/>
        </w:rPr>
        <w:t xml:space="preserve">  </w:t>
      </w:r>
    </w:p>
    <w:tbl>
      <w:tblPr>
        <w:tblW w:w="15168" w:type="dxa"/>
        <w:tblInd w:w="-567" w:type="dxa"/>
        <w:tblLook w:val="04A0" w:firstRow="1" w:lastRow="0" w:firstColumn="1" w:lastColumn="0" w:noHBand="0" w:noVBand="1"/>
      </w:tblPr>
      <w:tblGrid>
        <w:gridCol w:w="2039"/>
        <w:gridCol w:w="1066"/>
        <w:gridCol w:w="1033"/>
        <w:gridCol w:w="1107"/>
        <w:gridCol w:w="1066"/>
        <w:gridCol w:w="1066"/>
        <w:gridCol w:w="987"/>
        <w:gridCol w:w="1066"/>
        <w:gridCol w:w="1143"/>
        <w:gridCol w:w="1066"/>
        <w:gridCol w:w="1119"/>
        <w:gridCol w:w="1066"/>
        <w:gridCol w:w="1344"/>
      </w:tblGrid>
      <w:tr w:rsidR="007F433F" w:rsidRPr="002467C3" w:rsidTr="00DA3A03">
        <w:trPr>
          <w:trHeight w:val="300"/>
        </w:trPr>
        <w:tc>
          <w:tcPr>
            <w:tcW w:w="2039" w:type="dxa"/>
            <w:tcBorders>
              <w:top w:val="single" w:sz="4" w:space="0" w:color="auto"/>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color w:val="000000"/>
                <w:sz w:val="20"/>
                <w:szCs w:val="20"/>
                <w:lang w:val="en-NZ" w:eastAsia="en-NZ"/>
              </w:rPr>
            </w:pPr>
            <w:bookmarkStart w:id="3" w:name="RANGE!A7:M47"/>
            <w:r w:rsidRPr="002467C3">
              <w:rPr>
                <w:rFonts w:ascii="Times New Roman" w:eastAsia="Times New Roman" w:hAnsi="Times New Roman" w:cs="Times New Roman"/>
                <w:color w:val="000000"/>
                <w:sz w:val="20"/>
                <w:szCs w:val="20"/>
                <w:lang w:val="en-NZ" w:eastAsia="en-NZ"/>
              </w:rPr>
              <w:t> </w:t>
            </w:r>
            <w:bookmarkEnd w:id="3"/>
          </w:p>
        </w:tc>
        <w:tc>
          <w:tcPr>
            <w:tcW w:w="6325" w:type="dxa"/>
            <w:gridSpan w:val="6"/>
            <w:tcBorders>
              <w:top w:val="single" w:sz="4" w:space="0" w:color="auto"/>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jc w:val="center"/>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Non-crisis period</w:t>
            </w:r>
          </w:p>
        </w:tc>
        <w:tc>
          <w:tcPr>
            <w:tcW w:w="6804" w:type="dxa"/>
            <w:gridSpan w:val="6"/>
            <w:tcBorders>
              <w:top w:val="single" w:sz="4" w:space="0" w:color="auto"/>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jc w:val="center"/>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Crisis period</w:t>
            </w:r>
          </w:p>
        </w:tc>
      </w:tr>
      <w:tr w:rsidR="007F433F" w:rsidRPr="002467C3" w:rsidTr="00DA3A03">
        <w:trPr>
          <w:trHeight w:val="300"/>
        </w:trPr>
        <w:tc>
          <w:tcPr>
            <w:tcW w:w="2039"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Rm-</w:t>
            </w:r>
            <w:proofErr w:type="spellStart"/>
            <w:r w:rsidRPr="002467C3">
              <w:rPr>
                <w:rFonts w:ascii="Times New Roman" w:eastAsia="Times New Roman" w:hAnsi="Times New Roman" w:cs="Times New Roman"/>
                <w:color w:val="000000"/>
                <w:sz w:val="20"/>
                <w:szCs w:val="20"/>
                <w:lang w:val="en-NZ" w:eastAsia="en-NZ"/>
              </w:rPr>
              <w:t>Rf</w:t>
            </w:r>
            <w:proofErr w:type="spellEnd"/>
          </w:p>
        </w:tc>
        <w:tc>
          <w:tcPr>
            <w:tcW w:w="1033"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SMB</w:t>
            </w:r>
          </w:p>
        </w:tc>
        <w:tc>
          <w:tcPr>
            <w:tcW w:w="1107"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HML</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UMD</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RMW</w:t>
            </w:r>
          </w:p>
        </w:tc>
        <w:tc>
          <w:tcPr>
            <w:tcW w:w="987"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CMA</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Rm-</w:t>
            </w:r>
            <w:proofErr w:type="spellStart"/>
            <w:r w:rsidRPr="002467C3">
              <w:rPr>
                <w:rFonts w:ascii="Times New Roman" w:eastAsia="Times New Roman" w:hAnsi="Times New Roman" w:cs="Times New Roman"/>
                <w:color w:val="000000"/>
                <w:sz w:val="20"/>
                <w:szCs w:val="20"/>
                <w:lang w:val="en-NZ" w:eastAsia="en-NZ"/>
              </w:rPr>
              <w:t>Rf</w:t>
            </w:r>
            <w:proofErr w:type="spellEnd"/>
          </w:p>
        </w:tc>
        <w:tc>
          <w:tcPr>
            <w:tcW w:w="1143"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SMB</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HML</w:t>
            </w:r>
          </w:p>
        </w:tc>
        <w:tc>
          <w:tcPr>
            <w:tcW w:w="1119"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UMD</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RMW</w:t>
            </w:r>
          </w:p>
        </w:tc>
        <w:tc>
          <w:tcPr>
            <w:tcW w:w="1344"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2467C3">
              <w:rPr>
                <w:rFonts w:ascii="Times New Roman" w:eastAsia="Times New Roman" w:hAnsi="Times New Roman" w:cs="Times New Roman"/>
                <w:color w:val="000000"/>
                <w:sz w:val="20"/>
                <w:szCs w:val="20"/>
                <w:lang w:val="en-NZ" w:eastAsia="en-NZ"/>
              </w:rPr>
              <w:t>CMA</w:t>
            </w:r>
          </w:p>
        </w:tc>
      </w:tr>
      <w:tr w:rsidR="007F433F" w:rsidRPr="002467C3" w:rsidTr="00DA3A03">
        <w:trPr>
          <w:trHeight w:val="285"/>
        </w:trPr>
        <w:tc>
          <w:tcPr>
            <w:tcW w:w="2039"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CAPM model</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33"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07"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987"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43"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19"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344" w:type="dxa"/>
            <w:tcBorders>
              <w:top w:val="nil"/>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Moderate (21-40%)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0.121***</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0.1076***</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(0.0018)</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(0.0076)</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2467C3">
              <w:rPr>
                <w:rFonts w:ascii="Times New Roman" w:eastAsia="Times New Roman" w:hAnsi="Times New Roman" w:cs="Times New Roman"/>
                <w:sz w:val="20"/>
                <w:szCs w:val="20"/>
                <w:lang w:val="en-NZ" w:eastAsia="en-NZ"/>
              </w:rPr>
              <w:t>(41-60%)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0.4107***</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0.449***</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(0.0126)</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Growth (61-80%)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0.5252***</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0.5482***</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(0.0122)</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(0.0093)</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Aggressive (81-100%)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0.6437***</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0.7399***</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(0.0199)</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85"/>
        </w:trPr>
        <w:tc>
          <w:tcPr>
            <w:tcW w:w="2039"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Three factor model</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33"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07"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987"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43"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19"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344"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Moderate (21-40%)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0.1163***</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-0.016***</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0.1079***</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0.0122</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0.0316***</w:t>
            </w:r>
          </w:p>
        </w:tc>
        <w:tc>
          <w:tcPr>
            <w:tcW w:w="1119"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(0.0051)</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(0.0064)</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(0.0111)</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(0.0089)</w:t>
            </w:r>
          </w:p>
        </w:tc>
        <w:tc>
          <w:tcPr>
            <w:tcW w:w="1119"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2467C3">
              <w:rPr>
                <w:rFonts w:ascii="Times New Roman" w:eastAsia="Times New Roman" w:hAnsi="Times New Roman" w:cs="Times New Roman"/>
                <w:sz w:val="20"/>
                <w:szCs w:val="20"/>
                <w:lang w:val="en-NZ" w:eastAsia="en-NZ"/>
              </w:rPr>
              <w:t>(41-60%)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0.4081***</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-0.018***</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-0.016***</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0.4597***</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-0.029***</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0.0194***</w:t>
            </w:r>
          </w:p>
        </w:tc>
        <w:tc>
          <w:tcPr>
            <w:tcW w:w="1119"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(0.0039)</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(0.0035)</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(0.0048)</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(0.0067)</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(0.0059)</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(0.0063)</w:t>
            </w:r>
          </w:p>
        </w:tc>
        <w:tc>
          <w:tcPr>
            <w:tcW w:w="1119"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Growth (61-80%)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0.5218***</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-0.039***</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-0.023**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0.5642***</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-0.064***</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w:t>
            </w:r>
          </w:p>
        </w:tc>
        <w:tc>
          <w:tcPr>
            <w:tcW w:w="1119"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(0.0072)</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(0.0063)</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(0.0094)</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(0.0129)</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(0.0108)</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(0.0133)</w:t>
            </w:r>
          </w:p>
        </w:tc>
        <w:tc>
          <w:tcPr>
            <w:tcW w:w="1119"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Aggressive (81-100%)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0.6448***</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-0.045***</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0.7557***</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-0.038**</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0.023</w:t>
            </w:r>
          </w:p>
        </w:tc>
        <w:tc>
          <w:tcPr>
            <w:tcW w:w="1119"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(0.0093)</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(0.0073)</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(0.0113)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(0.0191)</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(0.0177)</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(0.0183)</w:t>
            </w:r>
          </w:p>
        </w:tc>
        <w:tc>
          <w:tcPr>
            <w:tcW w:w="1119"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85"/>
        </w:trPr>
        <w:tc>
          <w:tcPr>
            <w:tcW w:w="2039"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Four factor model</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33"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07"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987"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43"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19"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344"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Moderate (21-40%)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0.1181***</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-0.015***</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-0.001</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0.0116*</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0.1089***</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0.0121</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0.0356***</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w:t>
            </w: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(0.0059)</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(0.0048)</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(0.0062)</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(0.0108)</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(0.0097)</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(0.0099)</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(0.0055)</w:t>
            </w: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2467C3">
              <w:rPr>
                <w:rFonts w:ascii="Times New Roman" w:eastAsia="Times New Roman" w:hAnsi="Times New Roman" w:cs="Times New Roman"/>
                <w:sz w:val="20"/>
                <w:szCs w:val="20"/>
                <w:lang w:val="en-NZ" w:eastAsia="en-NZ"/>
              </w:rPr>
              <w:t>(41-60%)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0.4102***</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-0.017***</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-0.012***</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0.0145***</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0.4565***</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0.0047</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-0.017***</w:t>
            </w: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(0.0033)</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(0.0046)</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(0.0045)</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(0.0073)</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(0.0057)</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(0.0043)</w:t>
            </w: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Growth (61-80%)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0.5235***</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-0.038***</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-0.02**</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0.0103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0.5581***</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-0.064***</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-0.034**</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-0.041***</w:t>
            </w: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(0.0074)</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(0.0063)</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(0.0097)</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(0.0086)</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(0.013)</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(0.0113)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(0.0168)</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(0.0085)</w:t>
            </w: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Aggressive (81-100%)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0.6481***</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-0.044***</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-0.002</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0.0213**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0.7508***</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-0.039**</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-0.028**</w:t>
            </w: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(0.0096)</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(0.0068)</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(0.0115)</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(0.0192)</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(0.0172)</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(0.0206)</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(0.0123)</w:t>
            </w:r>
          </w:p>
        </w:tc>
        <w:tc>
          <w:tcPr>
            <w:tcW w:w="1066"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344" w:type="dxa"/>
            <w:tcBorders>
              <w:top w:val="nil"/>
              <w:left w:val="nil"/>
              <w:bottom w:val="nil"/>
              <w:right w:val="nil"/>
            </w:tcBorders>
            <w:shd w:val="clear" w:color="auto" w:fill="auto"/>
            <w:noWrap/>
            <w:vAlign w:val="bottom"/>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2467C3" w:rsidTr="00DA3A03">
        <w:trPr>
          <w:trHeight w:val="285"/>
        </w:trPr>
        <w:tc>
          <w:tcPr>
            <w:tcW w:w="2039"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lastRenderedPageBreak/>
              <w:t>Five factor model</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33"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07"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987"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43"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119"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c>
          <w:tcPr>
            <w:tcW w:w="1344" w:type="dxa"/>
            <w:tcBorders>
              <w:top w:val="single" w:sz="4" w:space="0" w:color="auto"/>
              <w:left w:val="nil"/>
              <w:bottom w:val="single" w:sz="4" w:space="0" w:color="auto"/>
              <w:right w:val="nil"/>
            </w:tcBorders>
            <w:shd w:val="clear" w:color="auto" w:fill="auto"/>
            <w:noWrap/>
            <w:vAlign w:val="center"/>
            <w:hideMark/>
          </w:tcPr>
          <w:p w:rsidR="007F433F" w:rsidRPr="002467C3"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2467C3">
              <w:rPr>
                <w:rFonts w:ascii="Times New Roman" w:eastAsia="Times New Roman" w:hAnsi="Times New Roman" w:cs="Times New Roman"/>
                <w:b/>
                <w:bCs/>
                <w:color w:val="000000"/>
                <w:sz w:val="20"/>
                <w:szCs w:val="20"/>
                <w:lang w:val="en-NZ" w:eastAsia="en-NZ"/>
              </w:rPr>
              <w:t> </w:t>
            </w: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Moderate (21-40%)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0.1442***</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0.0248***</w:t>
            </w: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0.1586***</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0.0052</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0.0249**</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0.001</w:t>
            </w: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0.0319***</w:t>
            </w: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(0.0058)</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(0.0044)</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(0.0065)</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(0.008)</w:t>
            </w: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(0.0098)</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(0.0089)</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(0.0098)</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(0.0098)</w:t>
            </w: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(0.0074)</w:t>
            </w: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2467C3">
              <w:rPr>
                <w:rFonts w:ascii="Times New Roman" w:eastAsia="Times New Roman" w:hAnsi="Times New Roman" w:cs="Times New Roman"/>
                <w:sz w:val="20"/>
                <w:szCs w:val="20"/>
                <w:lang w:val="en-NZ" w:eastAsia="en-NZ"/>
              </w:rPr>
              <w:t>(41-60%)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0.4239***</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-0.014***</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0.0254***</w:t>
            </w: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0.482***</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0.0069</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0.0384***</w:t>
            </w: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0.0796***</w:t>
            </w: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(0.0041)</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(0.0035)</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(0.0068)</w:t>
            </w: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(0.0074)</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(0.0058)</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(0.0068)</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(0.0066)</w:t>
            </w: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w:t>
            </w: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Growth (61-80%)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0.5201***</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-0.044***</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-0.015*</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w:t>
            </w: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-0.017**</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0.5953***</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-0.008</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0.0504***</w:t>
            </w: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0.116***</w:t>
            </w: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(0.0066)</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(0.0083)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(0.0054)</w:t>
            </w: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(0.0066)</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(0.0105)</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(0.0099)</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(0.0103)</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(0.0058)</w:t>
            </w: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(0.0088)</w:t>
            </w:r>
          </w:p>
        </w:tc>
      </w:tr>
      <w:tr w:rsidR="007F433F" w:rsidRPr="002467C3" w:rsidTr="00DA3A03">
        <w:trPr>
          <w:trHeight w:val="255"/>
        </w:trPr>
        <w:tc>
          <w:tcPr>
            <w:tcW w:w="203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Aggressive (81-100%)</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0.6669***</w:t>
            </w:r>
          </w:p>
        </w:tc>
        <w:tc>
          <w:tcPr>
            <w:tcW w:w="103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-0.034***</w:t>
            </w:r>
          </w:p>
        </w:tc>
        <w:tc>
          <w:tcPr>
            <w:tcW w:w="110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0.0393***</w:t>
            </w:r>
          </w:p>
        </w:tc>
        <w:tc>
          <w:tcPr>
            <w:tcW w:w="987"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0.0053</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0.7937***</w:t>
            </w:r>
          </w:p>
        </w:tc>
        <w:tc>
          <w:tcPr>
            <w:tcW w:w="1143"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0.0324**</w:t>
            </w: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0.0066</w:t>
            </w:r>
          </w:p>
        </w:tc>
        <w:tc>
          <w:tcPr>
            <w:tcW w:w="1119"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0.1047***</w:t>
            </w:r>
          </w:p>
        </w:tc>
        <w:tc>
          <w:tcPr>
            <w:tcW w:w="1344" w:type="dxa"/>
            <w:tcBorders>
              <w:top w:val="nil"/>
              <w:left w:val="nil"/>
              <w:bottom w:val="nil"/>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0.1197***</w:t>
            </w:r>
          </w:p>
        </w:tc>
      </w:tr>
      <w:tr w:rsidR="007F433F" w:rsidRPr="002467C3" w:rsidTr="00DA3A03">
        <w:trPr>
          <w:trHeight w:val="255"/>
        </w:trPr>
        <w:tc>
          <w:tcPr>
            <w:tcW w:w="2039"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 </w:t>
            </w:r>
          </w:p>
        </w:tc>
        <w:tc>
          <w:tcPr>
            <w:tcW w:w="1066"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(0.0098)</w:t>
            </w:r>
          </w:p>
        </w:tc>
        <w:tc>
          <w:tcPr>
            <w:tcW w:w="1033"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w:t>
            </w:r>
          </w:p>
        </w:tc>
        <w:tc>
          <w:tcPr>
            <w:tcW w:w="1107"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(0.0102)</w:t>
            </w:r>
          </w:p>
        </w:tc>
        <w:tc>
          <w:tcPr>
            <w:tcW w:w="1066"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 </w:t>
            </w:r>
          </w:p>
        </w:tc>
        <w:tc>
          <w:tcPr>
            <w:tcW w:w="1066"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(0.0078)</w:t>
            </w:r>
          </w:p>
        </w:tc>
        <w:tc>
          <w:tcPr>
            <w:tcW w:w="987"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(0.0053)</w:t>
            </w:r>
          </w:p>
        </w:tc>
        <w:tc>
          <w:tcPr>
            <w:tcW w:w="1066"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(0.0188)</w:t>
            </w:r>
          </w:p>
        </w:tc>
        <w:tc>
          <w:tcPr>
            <w:tcW w:w="1143"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(0.0138)</w:t>
            </w:r>
          </w:p>
        </w:tc>
        <w:tc>
          <w:tcPr>
            <w:tcW w:w="1066"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(0.0112)</w:t>
            </w:r>
          </w:p>
        </w:tc>
        <w:tc>
          <w:tcPr>
            <w:tcW w:w="1119"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 </w:t>
            </w:r>
          </w:p>
        </w:tc>
        <w:tc>
          <w:tcPr>
            <w:tcW w:w="1066"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(0.0112)</w:t>
            </w:r>
          </w:p>
        </w:tc>
        <w:tc>
          <w:tcPr>
            <w:tcW w:w="1344" w:type="dxa"/>
            <w:tcBorders>
              <w:top w:val="nil"/>
              <w:left w:val="nil"/>
              <w:bottom w:val="single" w:sz="4" w:space="0" w:color="auto"/>
              <w:right w:val="nil"/>
            </w:tcBorders>
            <w:shd w:val="clear" w:color="auto" w:fill="auto"/>
            <w:noWrap/>
            <w:vAlign w:val="bottom"/>
            <w:hideMark/>
          </w:tcPr>
          <w:p w:rsidR="007F433F" w:rsidRPr="002467C3" w:rsidRDefault="007F433F" w:rsidP="00DA3A03">
            <w:pPr>
              <w:spacing w:after="0" w:line="240" w:lineRule="auto"/>
              <w:rPr>
                <w:rFonts w:ascii="Times New Roman" w:eastAsia="Times New Roman" w:hAnsi="Times New Roman" w:cs="Times New Roman"/>
                <w:sz w:val="20"/>
                <w:szCs w:val="20"/>
                <w:lang w:val="en-NZ" w:eastAsia="en-NZ"/>
              </w:rPr>
            </w:pPr>
            <w:r w:rsidRPr="002467C3">
              <w:rPr>
                <w:rFonts w:ascii="Times New Roman" w:eastAsia="Times New Roman" w:hAnsi="Times New Roman" w:cs="Times New Roman"/>
                <w:sz w:val="20"/>
                <w:szCs w:val="20"/>
                <w:lang w:val="en-NZ" w:eastAsia="en-NZ"/>
              </w:rPr>
              <w:t>(0.0099)</w:t>
            </w:r>
          </w:p>
        </w:tc>
      </w:tr>
    </w:tbl>
    <w:p w:rsidR="007F433F" w:rsidRDefault="007F433F" w:rsidP="007F433F">
      <w:pPr>
        <w:snapToGrid w:val="0"/>
        <w:spacing w:after="0" w:line="240" w:lineRule="auto"/>
        <w:jc w:val="both"/>
        <w:rPr>
          <w:rFonts w:ascii="Times New Roman" w:hAnsi="Times New Roman" w:cs="Times New Roman"/>
        </w:rPr>
      </w:pPr>
    </w:p>
    <w:p w:rsidR="007F433F" w:rsidRPr="002D27FA" w:rsidRDefault="007F433F" w:rsidP="007F433F">
      <w:pPr>
        <w:snapToGrid w:val="0"/>
        <w:spacing w:after="0" w:line="240" w:lineRule="auto"/>
        <w:jc w:val="both"/>
        <w:rPr>
          <w:rFonts w:ascii="Times New Roman" w:hAnsi="Times New Roman" w:cs="Times New Roman"/>
        </w:rPr>
      </w:pPr>
    </w:p>
    <w:p w:rsidR="007F433F" w:rsidRDefault="007F433F" w:rsidP="007F433F">
      <w:pPr>
        <w:snapToGrid w:val="0"/>
        <w:spacing w:after="0" w:line="240" w:lineRule="auto"/>
        <w:jc w:val="both"/>
        <w:rPr>
          <w:rFonts w:ascii="Times New Roman" w:eastAsia="SimSun" w:hAnsi="Times New Roman" w:cs="Times New Roman"/>
        </w:rPr>
      </w:pPr>
    </w:p>
    <w:p w:rsidR="007F433F" w:rsidRDefault="007F433F" w:rsidP="007F433F">
      <w:pPr>
        <w:rPr>
          <w:rFonts w:ascii="Times New Roman" w:eastAsia="SimSun" w:hAnsi="Times New Roman" w:cs="Times New Roman"/>
        </w:rPr>
      </w:pPr>
      <w:r>
        <w:rPr>
          <w:rFonts w:ascii="Times New Roman" w:eastAsia="SimSun" w:hAnsi="Times New Roman" w:cs="Times New Roman"/>
        </w:rPr>
        <w:br w:type="page"/>
      </w:r>
    </w:p>
    <w:p w:rsidR="007F433F" w:rsidRPr="006C3ABA" w:rsidRDefault="007F433F" w:rsidP="007F433F">
      <w:pPr>
        <w:snapToGrid w:val="0"/>
        <w:spacing w:after="0" w:line="240" w:lineRule="auto"/>
        <w:ind w:left="-567" w:right="-643"/>
        <w:jc w:val="both"/>
        <w:rPr>
          <w:rFonts w:asciiTheme="majorBidi" w:eastAsia="SimSun" w:hAnsiTheme="majorBidi" w:cstheme="majorBidi"/>
          <w:b/>
          <w:bCs/>
        </w:rPr>
      </w:pPr>
      <w:r w:rsidRPr="006C3ABA">
        <w:rPr>
          <w:rFonts w:asciiTheme="majorBidi" w:eastAsia="SimSun" w:hAnsiTheme="majorBidi" w:cstheme="majorBidi"/>
          <w:b/>
          <w:bCs/>
        </w:rPr>
        <w:lastRenderedPageBreak/>
        <w:t xml:space="preserve">Table 5: Estimates of 2007 GFC- Crisis Analysis: </w:t>
      </w:r>
      <w:proofErr w:type="spellStart"/>
      <w:r w:rsidRPr="006C3ABA">
        <w:rPr>
          <w:rFonts w:asciiTheme="majorBidi" w:eastAsia="SimSun" w:hAnsiTheme="majorBidi" w:cstheme="majorBidi"/>
          <w:b/>
          <w:bCs/>
        </w:rPr>
        <w:t>Canstar</w:t>
      </w:r>
      <w:proofErr w:type="spellEnd"/>
      <w:r w:rsidRPr="006C3ABA">
        <w:rPr>
          <w:rFonts w:asciiTheme="majorBidi" w:eastAsia="SimSun" w:hAnsiTheme="majorBidi" w:cstheme="majorBidi"/>
          <w:b/>
          <w:bCs/>
        </w:rPr>
        <w:t xml:space="preserve"> Classification </w:t>
      </w:r>
    </w:p>
    <w:p w:rsidR="007F433F" w:rsidRPr="006C3ABA" w:rsidRDefault="007F433F" w:rsidP="007F433F">
      <w:pPr>
        <w:snapToGrid w:val="0"/>
        <w:spacing w:after="0" w:line="240" w:lineRule="auto"/>
        <w:ind w:left="-567" w:right="-643"/>
        <w:jc w:val="both"/>
        <w:rPr>
          <w:rFonts w:asciiTheme="majorBidi" w:eastAsia="SimSun" w:hAnsiTheme="majorBidi" w:cstheme="majorBidi"/>
          <w:sz w:val="20"/>
          <w:szCs w:val="20"/>
        </w:rPr>
      </w:pPr>
      <w:r w:rsidRPr="006C3ABA">
        <w:rPr>
          <w:rFonts w:asciiTheme="majorBidi" w:eastAsia="SimSun" w:hAnsiTheme="majorBidi" w:cstheme="majorBidi"/>
          <w:sz w:val="20"/>
          <w:szCs w:val="20"/>
        </w:rPr>
        <w:t xml:space="preserve">This table provides the beta estimates using the varying coefficient models estimate using four estimation techniques, the CAPM, FF three factor model, FF four factor model and FF five factor model for the 2007 GFC analysis. The definition of non-crisis is the 6-month period prior to GFC and 6-month period post GFC and the crisis period is the 2007 GFC period that is January 2007 to Sept 2009. The classification of investment options is done as per the </w:t>
      </w:r>
      <w:proofErr w:type="spellStart"/>
      <w:r w:rsidRPr="006C3ABA">
        <w:rPr>
          <w:rFonts w:asciiTheme="majorBidi" w:eastAsia="SimSun" w:hAnsiTheme="majorBidi" w:cstheme="majorBidi"/>
          <w:sz w:val="20"/>
          <w:szCs w:val="20"/>
        </w:rPr>
        <w:t>Canstar</w:t>
      </w:r>
      <w:proofErr w:type="spellEnd"/>
      <w:r w:rsidRPr="006C3ABA">
        <w:rPr>
          <w:rFonts w:asciiTheme="majorBidi" w:eastAsia="SimSun" w:hAnsiTheme="majorBidi" w:cstheme="majorBidi"/>
          <w:sz w:val="20"/>
          <w:szCs w:val="20"/>
        </w:rPr>
        <w:t xml:space="preserve"> option. </w:t>
      </w:r>
      <w:r>
        <w:rPr>
          <w:rFonts w:asciiTheme="majorBidi" w:eastAsia="SimSun" w:hAnsiTheme="majorBidi" w:cstheme="majorBidi"/>
          <w:sz w:val="20"/>
          <w:szCs w:val="20"/>
        </w:rPr>
        <w:t>Standard errors are presented in parenthesis and *, **, *** indicate estimates are statistically significant at 10%, 5% and 1% level of significance.</w:t>
      </w:r>
      <w:r w:rsidRPr="006C3ABA">
        <w:rPr>
          <w:rFonts w:asciiTheme="majorBidi" w:eastAsia="SimSun" w:hAnsiTheme="majorBidi" w:cstheme="majorBidi"/>
          <w:sz w:val="20"/>
          <w:szCs w:val="20"/>
        </w:rPr>
        <w:t xml:space="preserve"> </w:t>
      </w:r>
    </w:p>
    <w:p w:rsidR="007F433F" w:rsidRDefault="007F433F" w:rsidP="007F433F">
      <w:pPr>
        <w:snapToGrid w:val="0"/>
        <w:spacing w:after="0" w:line="240" w:lineRule="auto"/>
        <w:jc w:val="both"/>
        <w:rPr>
          <w:rFonts w:asciiTheme="majorBidi" w:eastAsia="SimSun" w:hAnsiTheme="majorBidi" w:cstheme="majorBidi"/>
          <w:sz w:val="24"/>
          <w:szCs w:val="24"/>
        </w:rPr>
      </w:pPr>
    </w:p>
    <w:tbl>
      <w:tblPr>
        <w:tblW w:w="15036" w:type="dxa"/>
        <w:tblInd w:w="-567" w:type="dxa"/>
        <w:tblLook w:val="04A0" w:firstRow="1" w:lastRow="0" w:firstColumn="1" w:lastColumn="0" w:noHBand="0" w:noVBand="1"/>
      </w:tblPr>
      <w:tblGrid>
        <w:gridCol w:w="2127"/>
        <w:gridCol w:w="1059"/>
        <w:gridCol w:w="7"/>
        <w:gridCol w:w="1059"/>
        <w:gridCol w:w="7"/>
        <w:gridCol w:w="1039"/>
        <w:gridCol w:w="7"/>
        <w:gridCol w:w="1127"/>
        <w:gridCol w:w="7"/>
        <w:gridCol w:w="1059"/>
        <w:gridCol w:w="7"/>
        <w:gridCol w:w="1060"/>
        <w:gridCol w:w="7"/>
        <w:gridCol w:w="1059"/>
        <w:gridCol w:w="7"/>
        <w:gridCol w:w="1059"/>
        <w:gridCol w:w="7"/>
        <w:gridCol w:w="1059"/>
        <w:gridCol w:w="7"/>
        <w:gridCol w:w="1130"/>
        <w:gridCol w:w="1066"/>
        <w:gridCol w:w="1070"/>
      </w:tblGrid>
      <w:tr w:rsidR="007F433F" w:rsidRPr="006C3ABA" w:rsidTr="00DA3A03">
        <w:trPr>
          <w:trHeight w:val="300"/>
        </w:trPr>
        <w:tc>
          <w:tcPr>
            <w:tcW w:w="2127" w:type="dxa"/>
            <w:tcBorders>
              <w:top w:val="single" w:sz="4" w:space="0" w:color="auto"/>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 </w:t>
            </w:r>
          </w:p>
        </w:tc>
        <w:tc>
          <w:tcPr>
            <w:tcW w:w="6445" w:type="dxa"/>
            <w:gridSpan w:val="12"/>
            <w:tcBorders>
              <w:top w:val="single" w:sz="4" w:space="0" w:color="auto"/>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jc w:val="center"/>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Non-crisis period</w:t>
            </w:r>
          </w:p>
        </w:tc>
        <w:tc>
          <w:tcPr>
            <w:tcW w:w="6464" w:type="dxa"/>
            <w:gridSpan w:val="9"/>
            <w:tcBorders>
              <w:top w:val="single" w:sz="4" w:space="0" w:color="auto"/>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jc w:val="center"/>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Crisis period</w:t>
            </w:r>
          </w:p>
        </w:tc>
      </w:tr>
      <w:tr w:rsidR="007F433F" w:rsidRPr="006C3ABA" w:rsidTr="00DA3A03">
        <w:trPr>
          <w:trHeight w:val="300"/>
        </w:trPr>
        <w:tc>
          <w:tcPr>
            <w:tcW w:w="2127" w:type="dxa"/>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 </w:t>
            </w:r>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Rm-</w:t>
            </w:r>
            <w:proofErr w:type="spellStart"/>
            <w:r w:rsidRPr="006C3ABA">
              <w:rPr>
                <w:rFonts w:ascii="Times New Roman" w:eastAsia="Times New Roman" w:hAnsi="Times New Roman" w:cs="Times New Roman"/>
                <w:color w:val="000000"/>
                <w:sz w:val="20"/>
                <w:szCs w:val="20"/>
                <w:lang w:val="en-NZ" w:eastAsia="en-NZ"/>
              </w:rPr>
              <w:t>Rf</w:t>
            </w:r>
            <w:proofErr w:type="spellEnd"/>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SMB</w:t>
            </w:r>
          </w:p>
        </w:tc>
        <w:tc>
          <w:tcPr>
            <w:tcW w:w="104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HML</w:t>
            </w:r>
          </w:p>
        </w:tc>
        <w:tc>
          <w:tcPr>
            <w:tcW w:w="1134"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UMD</w:t>
            </w:r>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RMW</w:t>
            </w:r>
          </w:p>
        </w:tc>
        <w:tc>
          <w:tcPr>
            <w:tcW w:w="1067"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CMA</w:t>
            </w:r>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Rm-</w:t>
            </w:r>
            <w:proofErr w:type="spellStart"/>
            <w:r w:rsidRPr="006C3ABA">
              <w:rPr>
                <w:rFonts w:ascii="Times New Roman" w:eastAsia="Times New Roman" w:hAnsi="Times New Roman" w:cs="Times New Roman"/>
                <w:color w:val="000000"/>
                <w:sz w:val="20"/>
                <w:szCs w:val="20"/>
                <w:lang w:val="en-NZ" w:eastAsia="en-NZ"/>
              </w:rPr>
              <w:t>Rf</w:t>
            </w:r>
            <w:proofErr w:type="spellEnd"/>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SMB</w:t>
            </w:r>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HML</w:t>
            </w:r>
          </w:p>
        </w:tc>
        <w:tc>
          <w:tcPr>
            <w:tcW w:w="1130" w:type="dxa"/>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UMD</w:t>
            </w:r>
          </w:p>
        </w:tc>
        <w:tc>
          <w:tcPr>
            <w:tcW w:w="1066" w:type="dxa"/>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RMW</w:t>
            </w:r>
          </w:p>
        </w:tc>
        <w:tc>
          <w:tcPr>
            <w:tcW w:w="1070" w:type="dxa"/>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6C3ABA">
              <w:rPr>
                <w:rFonts w:ascii="Times New Roman" w:eastAsia="Times New Roman" w:hAnsi="Times New Roman" w:cs="Times New Roman"/>
                <w:color w:val="000000"/>
                <w:sz w:val="20"/>
                <w:szCs w:val="20"/>
                <w:lang w:val="en-NZ" w:eastAsia="en-NZ"/>
              </w:rPr>
              <w:t>CMA</w:t>
            </w:r>
          </w:p>
        </w:tc>
      </w:tr>
      <w:tr w:rsidR="007F433F" w:rsidRPr="006C3ABA" w:rsidTr="00DA3A03">
        <w:trPr>
          <w:trHeight w:val="285"/>
        </w:trPr>
        <w:tc>
          <w:tcPr>
            <w:tcW w:w="2127" w:type="dxa"/>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CAPM model</w:t>
            </w:r>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4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134"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7"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130" w:type="dxa"/>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70" w:type="dxa"/>
            <w:tcBorders>
              <w:top w:val="nil"/>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Moderate (21-40%)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0.3562***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0.2115***</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(0.0102)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6C3ABA">
              <w:rPr>
                <w:rFonts w:ascii="Times New Roman" w:eastAsia="Times New Roman" w:hAnsi="Times New Roman" w:cs="Times New Roman"/>
                <w:sz w:val="20"/>
                <w:szCs w:val="20"/>
                <w:lang w:val="en-NZ" w:eastAsia="en-NZ"/>
              </w:rPr>
              <w:t>(41-60%)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0.5357***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0.4218***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(0.0044)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(0.0066)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Growth (61-80%)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0.6556***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0.5233***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(0.0162)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(0.0168)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Aggressive (81-100%)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0.9143***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0.8083***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(0.011)</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(0.0127)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85"/>
        </w:trPr>
        <w:tc>
          <w:tcPr>
            <w:tcW w:w="318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Three factor model</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4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7"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137"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70" w:type="dxa"/>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Moderate (21-40%)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0.362***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0.0402***</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-0.039***</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0.2449***</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-0.064***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0.0313***</w:t>
            </w:r>
          </w:p>
        </w:tc>
        <w:tc>
          <w:tcPr>
            <w:tcW w:w="1130" w:type="dxa"/>
            <w:tcBorders>
              <w:top w:val="nil"/>
              <w:left w:val="nil"/>
              <w:bottom w:val="nil"/>
              <w:right w:val="nil"/>
            </w:tcBorders>
            <w:shd w:val="clear" w:color="auto" w:fill="auto"/>
            <w:noWrap/>
            <w:vAlign w:val="bottom"/>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(0.0064)</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(0.0056)</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(0.0053)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(0.0071)</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(0.0059)</w:t>
            </w:r>
          </w:p>
        </w:tc>
        <w:tc>
          <w:tcPr>
            <w:tcW w:w="1130" w:type="dxa"/>
            <w:tcBorders>
              <w:top w:val="nil"/>
              <w:left w:val="nil"/>
              <w:bottom w:val="nil"/>
              <w:right w:val="nil"/>
            </w:tcBorders>
            <w:shd w:val="clear" w:color="auto" w:fill="auto"/>
            <w:noWrap/>
            <w:vAlign w:val="bottom"/>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6C3ABA">
              <w:rPr>
                <w:rFonts w:ascii="Times New Roman" w:eastAsia="Times New Roman" w:hAnsi="Times New Roman" w:cs="Times New Roman"/>
                <w:sz w:val="20"/>
                <w:szCs w:val="20"/>
                <w:lang w:val="en-NZ" w:eastAsia="en-NZ"/>
              </w:rPr>
              <w:t>(41-60%)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0.5188***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0.0731***</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-0.022</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0.4455***</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-0.042***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0.0284**</w:t>
            </w:r>
          </w:p>
        </w:tc>
        <w:tc>
          <w:tcPr>
            <w:tcW w:w="1130" w:type="dxa"/>
            <w:tcBorders>
              <w:top w:val="nil"/>
              <w:left w:val="nil"/>
              <w:bottom w:val="nil"/>
              <w:right w:val="nil"/>
            </w:tcBorders>
            <w:shd w:val="clear" w:color="auto" w:fill="auto"/>
            <w:noWrap/>
            <w:vAlign w:val="bottom"/>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(0.0231)</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(0.019)</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(0.0138)</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(0.0106)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(0.0146)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(0.0116)</w:t>
            </w:r>
          </w:p>
        </w:tc>
        <w:tc>
          <w:tcPr>
            <w:tcW w:w="1130" w:type="dxa"/>
            <w:tcBorders>
              <w:top w:val="nil"/>
              <w:left w:val="nil"/>
              <w:bottom w:val="nil"/>
              <w:right w:val="nil"/>
            </w:tcBorders>
            <w:shd w:val="clear" w:color="auto" w:fill="auto"/>
            <w:noWrap/>
            <w:vAlign w:val="bottom"/>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Growth (61-80%)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0.6365***</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0.0784***</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-0.023***</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0.5737***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-0.116***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0.0313***</w:t>
            </w:r>
          </w:p>
        </w:tc>
        <w:tc>
          <w:tcPr>
            <w:tcW w:w="1130" w:type="dxa"/>
            <w:tcBorders>
              <w:top w:val="nil"/>
              <w:left w:val="nil"/>
              <w:bottom w:val="nil"/>
              <w:right w:val="nil"/>
            </w:tcBorders>
            <w:shd w:val="clear" w:color="auto" w:fill="auto"/>
            <w:noWrap/>
            <w:vAlign w:val="bottom"/>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(0.0106)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(0.0081)</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(0.0071)</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(0.0067)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(0.0104)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(0.0083)</w:t>
            </w:r>
          </w:p>
        </w:tc>
        <w:tc>
          <w:tcPr>
            <w:tcW w:w="1130" w:type="dxa"/>
            <w:tcBorders>
              <w:top w:val="nil"/>
              <w:left w:val="nil"/>
              <w:bottom w:val="nil"/>
              <w:right w:val="nil"/>
            </w:tcBorders>
            <w:shd w:val="clear" w:color="auto" w:fill="auto"/>
            <w:noWrap/>
            <w:vAlign w:val="bottom"/>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Aggressive (81-100%)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0.8979***</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0.1147***</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-0.059***</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0.8508***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-0.074***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0.052***</w:t>
            </w:r>
          </w:p>
        </w:tc>
        <w:tc>
          <w:tcPr>
            <w:tcW w:w="1130" w:type="dxa"/>
            <w:tcBorders>
              <w:top w:val="nil"/>
              <w:left w:val="nil"/>
              <w:bottom w:val="nil"/>
              <w:right w:val="nil"/>
            </w:tcBorders>
            <w:shd w:val="clear" w:color="auto" w:fill="auto"/>
            <w:noWrap/>
            <w:vAlign w:val="bottom"/>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(0.0168)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(0.0137)</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(0.0129)</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(0.0112)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(0.0158)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(0.0131)</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85"/>
        </w:trPr>
        <w:tc>
          <w:tcPr>
            <w:tcW w:w="2127" w:type="dxa"/>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Four factor model</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4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7"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130" w:type="dxa"/>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70" w:type="dxa"/>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Moderate (21-40%)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0.3607***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0.0401***</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-0.039***</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-0.001</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0.2406***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-0.088***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-0.038***</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-0.068***</w:t>
            </w: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(0.0063)</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(0.0055)</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(0.0043)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(0.0047)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(0.0067)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(0.0069)</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(0.004)</w:t>
            </w: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6C3ABA">
              <w:rPr>
                <w:rFonts w:ascii="Times New Roman" w:eastAsia="Times New Roman" w:hAnsi="Times New Roman" w:cs="Times New Roman"/>
                <w:sz w:val="20"/>
                <w:szCs w:val="20"/>
                <w:lang w:val="en-NZ" w:eastAsia="en-NZ"/>
              </w:rPr>
              <w:t>(41-60%)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0.5036***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0.071***</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-0.024*</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-0.021**</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0.4362***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-0.079***</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-0.084***</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-0.109***</w:t>
            </w: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(0.0201)</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(0.0185)</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(0.014)</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(0.0093)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(0.0106)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(0.0129)</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(0.0158)</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(0.0106)</w:t>
            </w: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Growth (61-80%)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0.6296***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0.0777***</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-0.024***</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-0.009</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0.567***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-0.153***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-0.085***</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-0.116***</w:t>
            </w: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(0.0079)</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(0.0073)</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(0.0068)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(0.0087)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(0.0108)</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(0.0072)</w:t>
            </w: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Aggressive (81-100%)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0.8662***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0.1107***</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-0.065***</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-0.044***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0.8417***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-0.131***</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-0.119***</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-0.171***</w:t>
            </w: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(0.0171)</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(0.0134)</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(0.0129)</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(0.0113)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(0.0111)</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(0.0148)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(0.016)</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(0.0106)</w:t>
            </w: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6C3ABA" w:rsidTr="00DA3A03">
        <w:trPr>
          <w:trHeight w:val="285"/>
        </w:trPr>
        <w:tc>
          <w:tcPr>
            <w:tcW w:w="2127" w:type="dxa"/>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lastRenderedPageBreak/>
              <w:t>Five factor model</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4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134"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7"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gridSpan w:val="2"/>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130" w:type="dxa"/>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c>
          <w:tcPr>
            <w:tcW w:w="1070" w:type="dxa"/>
            <w:tcBorders>
              <w:top w:val="single" w:sz="4" w:space="0" w:color="auto"/>
              <w:left w:val="nil"/>
              <w:bottom w:val="single" w:sz="4" w:space="0" w:color="auto"/>
              <w:right w:val="nil"/>
            </w:tcBorders>
            <w:shd w:val="clear" w:color="auto" w:fill="auto"/>
            <w:noWrap/>
            <w:vAlign w:val="center"/>
            <w:hideMark/>
          </w:tcPr>
          <w:p w:rsidR="007F433F" w:rsidRPr="006C3ABA"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6C3ABA">
              <w:rPr>
                <w:rFonts w:ascii="Times New Roman" w:eastAsia="Times New Roman" w:hAnsi="Times New Roman" w:cs="Times New Roman"/>
                <w:b/>
                <w:bCs/>
                <w:color w:val="000000"/>
                <w:sz w:val="20"/>
                <w:szCs w:val="20"/>
                <w:lang w:val="en-NZ" w:eastAsia="en-NZ"/>
              </w:rPr>
              <w:t> </w:t>
            </w: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Moderate (21-40%)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0.3064***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0.0544***</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-0.004</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0.0726***</w:t>
            </w: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0.044***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0.394***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0.0535***</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0.0428***</w:t>
            </w: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0.1588***</w:t>
            </w: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(0.0097)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(0.0064)</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(0.0052)</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(0.0098)</w:t>
            </w: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(0.0065)</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(0.0045)</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(0.006)</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(0.0058)</w:t>
            </w: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(0.0078)</w:t>
            </w: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6C3ABA">
              <w:rPr>
                <w:rFonts w:ascii="Times New Roman" w:eastAsia="Times New Roman" w:hAnsi="Times New Roman" w:cs="Times New Roman"/>
                <w:sz w:val="20"/>
                <w:szCs w:val="20"/>
                <w:lang w:val="en-NZ" w:eastAsia="en-NZ"/>
              </w:rPr>
              <w:t>(41-60%)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0.4533***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0.1002***</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0.0136</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0.1108***</w:t>
            </w: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0.1108***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0.5067***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0.1096***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-0.017</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0.0447***</w:t>
            </w: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0.2019***</w:t>
            </w: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(0.0233)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(0.0193)</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(0.0138)</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(0.0204)</w:t>
            </w: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(0.0092)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(0.0225)</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(0.0137)</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(0.0135)</w:t>
            </w: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(0.0215)</w:t>
            </w: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Growth (61-80%)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0.5732***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0.0966***</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0.0187**</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0.1014***</w:t>
            </w: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0.0428***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0.6595***</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0.0738***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-0.026***</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0.0451***</w:t>
            </w: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0.2709***</w:t>
            </w: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(0.0134)</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(0.0086)</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(0.0081)</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(0.0162)</w:t>
            </w: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(0.0102)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(0.0072)</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(0.0113)</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(0.0088)</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(0.0091)</w:t>
            </w: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(0.0126)</w:t>
            </w:r>
          </w:p>
        </w:tc>
      </w:tr>
      <w:tr w:rsidR="007F433F" w:rsidRPr="006C3ABA" w:rsidTr="00DA3A03">
        <w:trPr>
          <w:trHeight w:val="255"/>
        </w:trPr>
        <w:tc>
          <w:tcPr>
            <w:tcW w:w="2127"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Aggressive (81-100%)</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0.758***</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0.1686***</w:t>
            </w:r>
          </w:p>
        </w:tc>
        <w:tc>
          <w:tcPr>
            <w:tcW w:w="104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0.0107</w:t>
            </w:r>
          </w:p>
        </w:tc>
        <w:tc>
          <w:tcPr>
            <w:tcW w:w="1134"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0.2553***</w:t>
            </w:r>
          </w:p>
        </w:tc>
        <w:tc>
          <w:tcPr>
            <w:tcW w:w="1067"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-0.016</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0.9485***</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0.1677***</w:t>
            </w:r>
          </w:p>
        </w:tc>
        <w:tc>
          <w:tcPr>
            <w:tcW w:w="1066" w:type="dxa"/>
            <w:gridSpan w:val="2"/>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-0.035**</w:t>
            </w:r>
          </w:p>
        </w:tc>
        <w:tc>
          <w:tcPr>
            <w:tcW w:w="113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0.0993***</w:t>
            </w:r>
          </w:p>
        </w:tc>
        <w:tc>
          <w:tcPr>
            <w:tcW w:w="1070" w:type="dxa"/>
            <w:tcBorders>
              <w:top w:val="nil"/>
              <w:left w:val="nil"/>
              <w:bottom w:val="nil"/>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0.3185***</w:t>
            </w:r>
          </w:p>
        </w:tc>
      </w:tr>
      <w:tr w:rsidR="007F433F" w:rsidRPr="006C3ABA" w:rsidTr="00DA3A03">
        <w:trPr>
          <w:trHeight w:val="255"/>
        </w:trPr>
        <w:tc>
          <w:tcPr>
            <w:tcW w:w="2127" w:type="dxa"/>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 </w:t>
            </w:r>
          </w:p>
        </w:tc>
        <w:tc>
          <w:tcPr>
            <w:tcW w:w="1066" w:type="dxa"/>
            <w:gridSpan w:val="2"/>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(0.0181)</w:t>
            </w:r>
          </w:p>
        </w:tc>
        <w:tc>
          <w:tcPr>
            <w:tcW w:w="1066" w:type="dxa"/>
            <w:gridSpan w:val="2"/>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(0.0144)</w:t>
            </w:r>
          </w:p>
        </w:tc>
        <w:tc>
          <w:tcPr>
            <w:tcW w:w="1046" w:type="dxa"/>
            <w:gridSpan w:val="2"/>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(0.0125)</w:t>
            </w:r>
          </w:p>
        </w:tc>
        <w:tc>
          <w:tcPr>
            <w:tcW w:w="1134" w:type="dxa"/>
            <w:gridSpan w:val="2"/>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 </w:t>
            </w:r>
          </w:p>
        </w:tc>
        <w:tc>
          <w:tcPr>
            <w:tcW w:w="1066" w:type="dxa"/>
            <w:gridSpan w:val="2"/>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(0.0226)</w:t>
            </w:r>
          </w:p>
        </w:tc>
        <w:tc>
          <w:tcPr>
            <w:tcW w:w="1067" w:type="dxa"/>
            <w:gridSpan w:val="2"/>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(0.0175)</w:t>
            </w:r>
          </w:p>
        </w:tc>
        <w:tc>
          <w:tcPr>
            <w:tcW w:w="1066" w:type="dxa"/>
            <w:gridSpan w:val="2"/>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(0.0137)</w:t>
            </w:r>
          </w:p>
        </w:tc>
        <w:tc>
          <w:tcPr>
            <w:tcW w:w="1066" w:type="dxa"/>
            <w:gridSpan w:val="2"/>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(0.0239)</w:t>
            </w:r>
          </w:p>
        </w:tc>
        <w:tc>
          <w:tcPr>
            <w:tcW w:w="1066" w:type="dxa"/>
            <w:gridSpan w:val="2"/>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(0.016)</w:t>
            </w:r>
          </w:p>
        </w:tc>
        <w:tc>
          <w:tcPr>
            <w:tcW w:w="1130" w:type="dxa"/>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 </w:t>
            </w:r>
          </w:p>
        </w:tc>
        <w:tc>
          <w:tcPr>
            <w:tcW w:w="1066" w:type="dxa"/>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(0.0161)</w:t>
            </w:r>
          </w:p>
        </w:tc>
        <w:tc>
          <w:tcPr>
            <w:tcW w:w="1070" w:type="dxa"/>
            <w:tcBorders>
              <w:top w:val="nil"/>
              <w:left w:val="nil"/>
              <w:bottom w:val="single" w:sz="4" w:space="0" w:color="auto"/>
              <w:right w:val="nil"/>
            </w:tcBorders>
            <w:shd w:val="clear" w:color="auto" w:fill="auto"/>
            <w:noWrap/>
            <w:vAlign w:val="bottom"/>
            <w:hideMark/>
          </w:tcPr>
          <w:p w:rsidR="007F433F" w:rsidRPr="006C3ABA" w:rsidRDefault="007F433F" w:rsidP="00DA3A03">
            <w:pPr>
              <w:spacing w:after="0" w:line="240" w:lineRule="auto"/>
              <w:rPr>
                <w:rFonts w:ascii="Times New Roman" w:eastAsia="Times New Roman" w:hAnsi="Times New Roman" w:cs="Times New Roman"/>
                <w:sz w:val="20"/>
                <w:szCs w:val="20"/>
                <w:lang w:val="en-NZ" w:eastAsia="en-NZ"/>
              </w:rPr>
            </w:pPr>
            <w:r w:rsidRPr="006C3ABA">
              <w:rPr>
                <w:rFonts w:ascii="Times New Roman" w:eastAsia="Times New Roman" w:hAnsi="Times New Roman" w:cs="Times New Roman"/>
                <w:sz w:val="20"/>
                <w:szCs w:val="20"/>
                <w:lang w:val="en-NZ" w:eastAsia="en-NZ"/>
              </w:rPr>
              <w:t>(0.0226)</w:t>
            </w:r>
          </w:p>
        </w:tc>
      </w:tr>
    </w:tbl>
    <w:p w:rsidR="007F433F" w:rsidRDefault="007F433F" w:rsidP="007F433F">
      <w:pPr>
        <w:snapToGrid w:val="0"/>
        <w:spacing w:after="0" w:line="240" w:lineRule="auto"/>
        <w:jc w:val="both"/>
      </w:pPr>
    </w:p>
    <w:p w:rsidR="007F433F" w:rsidRDefault="007F433F" w:rsidP="007F433F">
      <w:pPr>
        <w:snapToGrid w:val="0"/>
        <w:spacing w:after="0" w:line="240" w:lineRule="auto"/>
        <w:jc w:val="both"/>
      </w:pPr>
    </w:p>
    <w:p w:rsidR="007F433F" w:rsidRDefault="007F433F" w:rsidP="007F433F">
      <w:r>
        <w:br w:type="page"/>
      </w:r>
    </w:p>
    <w:p w:rsidR="007F433F" w:rsidRDefault="007F433F" w:rsidP="007F433F">
      <w:pPr>
        <w:snapToGrid w:val="0"/>
        <w:spacing w:after="0" w:line="240" w:lineRule="auto"/>
        <w:jc w:val="both"/>
      </w:pPr>
    </w:p>
    <w:p w:rsidR="007F433F" w:rsidRPr="00E740E4" w:rsidRDefault="007F433F" w:rsidP="007F433F">
      <w:pPr>
        <w:snapToGrid w:val="0"/>
        <w:spacing w:after="0" w:line="240" w:lineRule="auto"/>
        <w:ind w:left="-567" w:right="-643"/>
        <w:jc w:val="both"/>
        <w:rPr>
          <w:rFonts w:asciiTheme="majorBidi" w:eastAsia="SimSun" w:hAnsiTheme="majorBidi" w:cstheme="majorBidi"/>
          <w:b/>
          <w:bCs/>
        </w:rPr>
      </w:pPr>
      <w:r w:rsidRPr="00E740E4">
        <w:rPr>
          <w:rFonts w:asciiTheme="majorBidi" w:eastAsia="SimSun" w:hAnsiTheme="majorBidi" w:cstheme="majorBidi"/>
          <w:b/>
          <w:bCs/>
        </w:rPr>
        <w:t xml:space="preserve">Table 6: Estimates of 2007 GFC- Crisis Analysis: ASIC Classification </w:t>
      </w:r>
    </w:p>
    <w:p w:rsidR="007F433F" w:rsidRDefault="007F433F" w:rsidP="007F433F">
      <w:pPr>
        <w:snapToGrid w:val="0"/>
        <w:spacing w:after="0" w:line="240" w:lineRule="auto"/>
        <w:ind w:left="-567" w:right="-643"/>
        <w:jc w:val="both"/>
        <w:rPr>
          <w:rFonts w:asciiTheme="majorBidi" w:eastAsia="SimSun" w:hAnsiTheme="majorBidi" w:cstheme="majorBidi"/>
          <w:sz w:val="24"/>
          <w:szCs w:val="24"/>
        </w:rPr>
      </w:pPr>
      <w:r w:rsidRPr="00E740E4">
        <w:rPr>
          <w:rFonts w:asciiTheme="majorBidi" w:eastAsia="SimSun" w:hAnsiTheme="majorBidi" w:cstheme="majorBidi"/>
          <w:sz w:val="20"/>
          <w:szCs w:val="20"/>
        </w:rPr>
        <w:t xml:space="preserve">This table provides the beta estimates using the varying coefficient models estimate using four estimation techniques, the CAPM, FF three factor model, FF four factor model and FF five factor model for the 2007 GFC analysis. The definition of non-crisis is the 6-month period prior to GFC and 6-month period post GFC and the crisis period is the 2007 GFC period that is January 2007 to Sept 2009. The classification of investment options is done as per the ASIC option. </w:t>
      </w:r>
      <w:r>
        <w:rPr>
          <w:rFonts w:asciiTheme="majorBidi" w:eastAsia="SimSun" w:hAnsiTheme="majorBidi" w:cstheme="majorBidi"/>
          <w:sz w:val="20"/>
          <w:szCs w:val="20"/>
        </w:rPr>
        <w:t>Standard errors are presented in parenthesis and *, **, *** indicate estimates are statistically significant at 10%, 5% and 1% level of significance.</w:t>
      </w:r>
      <w:r w:rsidRPr="00E740E4">
        <w:rPr>
          <w:rFonts w:asciiTheme="majorBidi" w:eastAsia="SimSun" w:hAnsiTheme="majorBidi" w:cstheme="majorBidi"/>
          <w:sz w:val="20"/>
          <w:szCs w:val="20"/>
        </w:rPr>
        <w:t xml:space="preserve"> </w:t>
      </w:r>
    </w:p>
    <w:tbl>
      <w:tblPr>
        <w:tblW w:w="15032" w:type="dxa"/>
        <w:tblInd w:w="-567" w:type="dxa"/>
        <w:tblLook w:val="04A0" w:firstRow="1" w:lastRow="0" w:firstColumn="1" w:lastColumn="0" w:noHBand="0" w:noVBand="1"/>
      </w:tblPr>
      <w:tblGrid>
        <w:gridCol w:w="2127"/>
        <w:gridCol w:w="1068"/>
        <w:gridCol w:w="1066"/>
        <w:gridCol w:w="1066"/>
        <w:gridCol w:w="1194"/>
        <w:gridCol w:w="1066"/>
        <w:gridCol w:w="1066"/>
        <w:gridCol w:w="1066"/>
        <w:gridCol w:w="1066"/>
        <w:gridCol w:w="1066"/>
        <w:gridCol w:w="1049"/>
        <w:gridCol w:w="1066"/>
        <w:gridCol w:w="1066"/>
      </w:tblGrid>
      <w:tr w:rsidR="007F433F" w:rsidRPr="00E740E4" w:rsidTr="00DA3A03">
        <w:trPr>
          <w:trHeight w:val="300"/>
        </w:trPr>
        <w:tc>
          <w:tcPr>
            <w:tcW w:w="2127" w:type="dxa"/>
            <w:tcBorders>
              <w:top w:val="single" w:sz="4" w:space="0" w:color="auto"/>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 </w:t>
            </w:r>
          </w:p>
        </w:tc>
        <w:tc>
          <w:tcPr>
            <w:tcW w:w="6526" w:type="dxa"/>
            <w:gridSpan w:val="6"/>
            <w:tcBorders>
              <w:top w:val="single" w:sz="4" w:space="0" w:color="auto"/>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jc w:val="center"/>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Non-crisis period</w:t>
            </w:r>
          </w:p>
        </w:tc>
        <w:tc>
          <w:tcPr>
            <w:tcW w:w="6379" w:type="dxa"/>
            <w:gridSpan w:val="6"/>
            <w:tcBorders>
              <w:top w:val="single" w:sz="4" w:space="0" w:color="auto"/>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jc w:val="center"/>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Crisis period</w:t>
            </w:r>
          </w:p>
        </w:tc>
      </w:tr>
      <w:tr w:rsidR="007F433F" w:rsidRPr="00E740E4" w:rsidTr="00DA3A03">
        <w:trPr>
          <w:trHeight w:val="300"/>
        </w:trPr>
        <w:tc>
          <w:tcPr>
            <w:tcW w:w="2127"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 </w:t>
            </w:r>
          </w:p>
        </w:tc>
        <w:tc>
          <w:tcPr>
            <w:tcW w:w="1068"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Rm-</w:t>
            </w:r>
            <w:proofErr w:type="spellStart"/>
            <w:r w:rsidRPr="00E740E4">
              <w:rPr>
                <w:rFonts w:ascii="Times New Roman" w:eastAsia="Times New Roman" w:hAnsi="Times New Roman" w:cs="Times New Roman"/>
                <w:color w:val="000000"/>
                <w:sz w:val="20"/>
                <w:szCs w:val="20"/>
                <w:lang w:val="en-NZ" w:eastAsia="en-NZ"/>
              </w:rPr>
              <w:t>Rf</w:t>
            </w:r>
            <w:proofErr w:type="spellEnd"/>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SMB</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HML</w:t>
            </w:r>
          </w:p>
        </w:tc>
        <w:tc>
          <w:tcPr>
            <w:tcW w:w="1194"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UMD</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RMW</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CMA</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Rm-</w:t>
            </w:r>
            <w:proofErr w:type="spellStart"/>
            <w:r w:rsidRPr="00E740E4">
              <w:rPr>
                <w:rFonts w:ascii="Times New Roman" w:eastAsia="Times New Roman" w:hAnsi="Times New Roman" w:cs="Times New Roman"/>
                <w:color w:val="000000"/>
                <w:sz w:val="20"/>
                <w:szCs w:val="20"/>
                <w:lang w:val="en-NZ" w:eastAsia="en-NZ"/>
              </w:rPr>
              <w:t>Rf</w:t>
            </w:r>
            <w:proofErr w:type="spellEnd"/>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SMB</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HML</w:t>
            </w:r>
          </w:p>
        </w:tc>
        <w:tc>
          <w:tcPr>
            <w:tcW w:w="1049"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UMD</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RMW</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jc w:val="center"/>
              <w:rPr>
                <w:rFonts w:ascii="Times New Roman" w:eastAsia="Times New Roman" w:hAnsi="Times New Roman" w:cs="Times New Roman"/>
                <w:color w:val="000000"/>
                <w:sz w:val="20"/>
                <w:szCs w:val="20"/>
                <w:lang w:val="en-NZ" w:eastAsia="en-NZ"/>
              </w:rPr>
            </w:pPr>
            <w:r w:rsidRPr="00E740E4">
              <w:rPr>
                <w:rFonts w:ascii="Times New Roman" w:eastAsia="Times New Roman" w:hAnsi="Times New Roman" w:cs="Times New Roman"/>
                <w:color w:val="000000"/>
                <w:sz w:val="20"/>
                <w:szCs w:val="20"/>
                <w:lang w:val="en-NZ" w:eastAsia="en-NZ"/>
              </w:rPr>
              <w:t>CMA</w:t>
            </w:r>
          </w:p>
        </w:tc>
      </w:tr>
      <w:tr w:rsidR="007F433F" w:rsidRPr="00E740E4" w:rsidTr="00DA3A03">
        <w:trPr>
          <w:trHeight w:val="285"/>
        </w:trPr>
        <w:tc>
          <w:tcPr>
            <w:tcW w:w="2127"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CAPM model</w:t>
            </w:r>
          </w:p>
        </w:tc>
        <w:tc>
          <w:tcPr>
            <w:tcW w:w="1068"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194"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49"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nil"/>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Moderate (21-40%)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0.3143***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0.1893***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(0.0012)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E740E4">
              <w:rPr>
                <w:rFonts w:ascii="Times New Roman" w:eastAsia="Times New Roman" w:hAnsi="Times New Roman" w:cs="Times New Roman"/>
                <w:sz w:val="20"/>
                <w:szCs w:val="20"/>
                <w:lang w:val="en-NZ" w:eastAsia="en-NZ"/>
              </w:rPr>
              <w:t>(41-60%)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0.5654***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0.4393***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(0.0098)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(0.0154)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Growth (61-80%)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0.6651***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0.574***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(0.0054)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(0.0174)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Aggressive (81-100%)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0.9249***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0.8196***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(0.0093)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(0.0129)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85"/>
        </w:trPr>
        <w:tc>
          <w:tcPr>
            <w:tcW w:w="3195" w:type="dxa"/>
            <w:gridSpan w:val="2"/>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Three factor model</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194"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49"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Moderate (21-40%)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0.3208***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0.0368***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-0.039***</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0.2189***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-0.057***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0.0273***</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(0.0075)</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(0.0064)</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(0.0057)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(0.0086)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(0.0065)</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E740E4">
              <w:rPr>
                <w:rFonts w:ascii="Times New Roman" w:eastAsia="Times New Roman" w:hAnsi="Times New Roman" w:cs="Times New Roman"/>
                <w:sz w:val="20"/>
                <w:szCs w:val="20"/>
                <w:lang w:val="en-NZ" w:eastAsia="en-NZ"/>
              </w:rPr>
              <w:t>(41-60%)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0.5532***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0.0693***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-0.028***</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0.4788***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-0.086***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0.0269***</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(0.0115)</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(0.0091)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(0.0073)</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(0.0064)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(0.0086)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(0.0066)</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Growth (61-80%)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0.5974***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0.123***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0.0455**</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0.6196***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-0.096***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0.0405**</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(0.0274)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(0.0206)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(0.0199)</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(0.0164)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(0.0226)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(0.0198)</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Aggressive (81-100%)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0.918***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0.1043***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-0.069***</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0.8627***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-0.072***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0.0558</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(0.0177)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(0.0135)</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(0.014)</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(0.0119)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(0.0179)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85"/>
        </w:trPr>
        <w:tc>
          <w:tcPr>
            <w:tcW w:w="2127"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Four factor model</w:t>
            </w:r>
          </w:p>
        </w:tc>
        <w:tc>
          <w:tcPr>
            <w:tcW w:w="1068"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194"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49"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Moderate (21-40%)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0.3181***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0.0364***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-0.039***</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0.2157***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-0.035***</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-0.061***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(0.0104)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(0.0071)</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(0.0053)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(0.0053)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(0.0078)</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(0.0049)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E740E4">
              <w:rPr>
                <w:rFonts w:ascii="Times New Roman" w:eastAsia="Times New Roman" w:hAnsi="Times New Roman" w:cs="Times New Roman"/>
                <w:sz w:val="20"/>
                <w:szCs w:val="20"/>
                <w:lang w:val="en-NZ" w:eastAsia="en-NZ"/>
              </w:rPr>
              <w:t>(41-60%)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0.5463***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0.0684***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-0.029***</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0.4723***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-0.121***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-0.076***</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-0.103***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(0.0108)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(0.0072)</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(0.0053)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(0.0059)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(0.009)</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(0.0063)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Growth (61-80%)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0.5894***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0.1227***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0.0452**</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0.6065***</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-0.135***</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-0.093***</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-0.132***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(0.0246)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(0.0186)</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(0.0129)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(0.0146)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(0.0194)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(0.0251)</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(0.0132)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Aggressive (81-100%)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0.8855***</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0.1003***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-0.075***</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-0.045***</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0.8539***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-0.131***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-0.12***</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-0.176***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(0.0176)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(0.0128)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(0.0139)</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(0.0114)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(0.0125)</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(0.0164)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(0.018)</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(0.0118)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r>
      <w:tr w:rsidR="007F433F" w:rsidRPr="00E740E4" w:rsidTr="00DA3A03">
        <w:trPr>
          <w:trHeight w:val="285"/>
        </w:trPr>
        <w:tc>
          <w:tcPr>
            <w:tcW w:w="2127"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lastRenderedPageBreak/>
              <w:t>Five factor model</w:t>
            </w:r>
          </w:p>
        </w:tc>
        <w:tc>
          <w:tcPr>
            <w:tcW w:w="1068"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194"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49"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c>
          <w:tcPr>
            <w:tcW w:w="1066" w:type="dxa"/>
            <w:tcBorders>
              <w:top w:val="single" w:sz="4" w:space="0" w:color="auto"/>
              <w:left w:val="nil"/>
              <w:bottom w:val="single" w:sz="4" w:space="0" w:color="auto"/>
              <w:right w:val="nil"/>
            </w:tcBorders>
            <w:shd w:val="clear" w:color="auto" w:fill="auto"/>
            <w:noWrap/>
            <w:vAlign w:val="center"/>
            <w:hideMark/>
          </w:tcPr>
          <w:p w:rsidR="007F433F" w:rsidRPr="00E740E4" w:rsidRDefault="007F433F" w:rsidP="00DA3A03">
            <w:pPr>
              <w:spacing w:after="0" w:line="240" w:lineRule="auto"/>
              <w:rPr>
                <w:rFonts w:ascii="Times New Roman" w:eastAsia="Times New Roman" w:hAnsi="Times New Roman" w:cs="Times New Roman"/>
                <w:b/>
                <w:bCs/>
                <w:color w:val="000000"/>
                <w:sz w:val="20"/>
                <w:szCs w:val="20"/>
                <w:lang w:val="en-NZ" w:eastAsia="en-NZ"/>
              </w:rPr>
            </w:pPr>
            <w:r w:rsidRPr="00E740E4">
              <w:rPr>
                <w:rFonts w:ascii="Times New Roman" w:eastAsia="Times New Roman" w:hAnsi="Times New Roman" w:cs="Times New Roman"/>
                <w:b/>
                <w:bCs/>
                <w:color w:val="000000"/>
                <w:sz w:val="20"/>
                <w:szCs w:val="20"/>
                <w:lang w:val="en-NZ" w:eastAsia="en-NZ"/>
              </w:rPr>
              <w:t> </w:t>
            </w: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Moderate (21-40%)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0.2701***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0.0503***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-0.005</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0.0663***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0.0429***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0.3661***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0.0521***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0.0327***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0.1537***</w:t>
            </w: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(0.0111)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(0.0065)</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(0.0116)</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(0.0081)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(0.0053)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(0.0092)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(0.0072)</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(0.009)</w:t>
            </w: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Balanced</w:t>
            </w:r>
            <w:r>
              <w:rPr>
                <w:rFonts w:ascii="Times New Roman" w:eastAsia="Times New Roman" w:hAnsi="Times New Roman" w:cs="Times New Roman"/>
                <w:sz w:val="20"/>
                <w:szCs w:val="20"/>
                <w:lang w:val="en-NZ" w:eastAsia="en-NZ"/>
              </w:rPr>
              <w:t xml:space="preserve"> </w:t>
            </w:r>
            <w:r w:rsidRPr="00E740E4">
              <w:rPr>
                <w:rFonts w:ascii="Times New Roman" w:eastAsia="Times New Roman" w:hAnsi="Times New Roman" w:cs="Times New Roman"/>
                <w:sz w:val="20"/>
                <w:szCs w:val="20"/>
                <w:lang w:val="en-NZ" w:eastAsia="en-NZ"/>
              </w:rPr>
              <w:t>(41-60%)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0.4881***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0.0911***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0.0109</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0.0964***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0.0302***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0.5518***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0.0761***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-0.018**</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0.0372***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0.2273***</w:t>
            </w: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(0.0094)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(0.0071)</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(0.0127)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(0.0084)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(0.0059)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(0.0113)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(0.0083)</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(0.0118)</w:t>
            </w: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Growth (61-80%)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0.54***</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0.1447***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0.0863***</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0.1049***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0.0288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0.7151***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0.1103***</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-0.025</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0.0487**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0.3011***</w:t>
            </w: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(0.0247)</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(0.0182)</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(0.0205)</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(0.0202)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(0.0318)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(0.0239)</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(0.0231)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(0.0345)</w:t>
            </w:r>
          </w:p>
        </w:tc>
      </w:tr>
      <w:tr w:rsidR="007F433F" w:rsidRPr="00E740E4" w:rsidTr="00DA3A03">
        <w:trPr>
          <w:trHeight w:val="255"/>
        </w:trPr>
        <w:tc>
          <w:tcPr>
            <w:tcW w:w="2127"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Aggressive (81-100%)</w:t>
            </w:r>
          </w:p>
        </w:tc>
        <w:tc>
          <w:tcPr>
            <w:tcW w:w="1068"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0.7751***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0.1589***</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0.0039</w:t>
            </w:r>
          </w:p>
        </w:tc>
        <w:tc>
          <w:tcPr>
            <w:tcW w:w="1194"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0.2638***</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0.9612***</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0.1705***</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-0.033*</w:t>
            </w:r>
          </w:p>
        </w:tc>
        <w:tc>
          <w:tcPr>
            <w:tcW w:w="1049"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0.1***</w:t>
            </w:r>
          </w:p>
        </w:tc>
        <w:tc>
          <w:tcPr>
            <w:tcW w:w="1066" w:type="dxa"/>
            <w:tcBorders>
              <w:top w:val="nil"/>
              <w:left w:val="nil"/>
              <w:bottom w:val="nil"/>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0.3213***</w:t>
            </w:r>
          </w:p>
        </w:tc>
      </w:tr>
      <w:tr w:rsidR="007F433F" w:rsidRPr="00E740E4" w:rsidTr="00DA3A03">
        <w:trPr>
          <w:trHeight w:val="255"/>
        </w:trPr>
        <w:tc>
          <w:tcPr>
            <w:tcW w:w="2127"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 </w:t>
            </w:r>
          </w:p>
        </w:tc>
        <w:tc>
          <w:tcPr>
            <w:tcW w:w="1068"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(0.0194)</w:t>
            </w:r>
          </w:p>
        </w:tc>
        <w:tc>
          <w:tcPr>
            <w:tcW w:w="1066"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(0.0154)</w:t>
            </w:r>
          </w:p>
        </w:tc>
        <w:tc>
          <w:tcPr>
            <w:tcW w:w="1066"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(0.0134)</w:t>
            </w:r>
          </w:p>
        </w:tc>
        <w:tc>
          <w:tcPr>
            <w:tcW w:w="1194"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 </w:t>
            </w:r>
          </w:p>
        </w:tc>
        <w:tc>
          <w:tcPr>
            <w:tcW w:w="1066"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(0.0236)</w:t>
            </w:r>
          </w:p>
        </w:tc>
        <w:tc>
          <w:tcPr>
            <w:tcW w:w="1066"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(0.0175)</w:t>
            </w:r>
          </w:p>
        </w:tc>
        <w:tc>
          <w:tcPr>
            <w:tcW w:w="1066"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(0.0135)</w:t>
            </w:r>
          </w:p>
        </w:tc>
        <w:tc>
          <w:tcPr>
            <w:tcW w:w="1066"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(0.0259)</w:t>
            </w:r>
          </w:p>
        </w:tc>
        <w:tc>
          <w:tcPr>
            <w:tcW w:w="1066"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(0.017)</w:t>
            </w:r>
          </w:p>
        </w:tc>
        <w:tc>
          <w:tcPr>
            <w:tcW w:w="1049"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 </w:t>
            </w:r>
          </w:p>
        </w:tc>
        <w:tc>
          <w:tcPr>
            <w:tcW w:w="1066"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(0.0166)</w:t>
            </w:r>
          </w:p>
        </w:tc>
        <w:tc>
          <w:tcPr>
            <w:tcW w:w="1066" w:type="dxa"/>
            <w:tcBorders>
              <w:top w:val="nil"/>
              <w:left w:val="nil"/>
              <w:bottom w:val="single" w:sz="4" w:space="0" w:color="auto"/>
              <w:right w:val="nil"/>
            </w:tcBorders>
            <w:shd w:val="clear" w:color="auto" w:fill="auto"/>
            <w:noWrap/>
            <w:vAlign w:val="bottom"/>
            <w:hideMark/>
          </w:tcPr>
          <w:p w:rsidR="007F433F" w:rsidRPr="00E740E4" w:rsidRDefault="007F433F" w:rsidP="00DA3A03">
            <w:pPr>
              <w:spacing w:after="0" w:line="240" w:lineRule="auto"/>
              <w:rPr>
                <w:rFonts w:ascii="Times New Roman" w:eastAsia="Times New Roman" w:hAnsi="Times New Roman" w:cs="Times New Roman"/>
                <w:sz w:val="20"/>
                <w:szCs w:val="20"/>
                <w:lang w:val="en-NZ" w:eastAsia="en-NZ"/>
              </w:rPr>
            </w:pPr>
            <w:r w:rsidRPr="00E740E4">
              <w:rPr>
                <w:rFonts w:ascii="Times New Roman" w:eastAsia="Times New Roman" w:hAnsi="Times New Roman" w:cs="Times New Roman"/>
                <w:sz w:val="20"/>
                <w:szCs w:val="20"/>
                <w:lang w:val="en-NZ" w:eastAsia="en-NZ"/>
              </w:rPr>
              <w:t>(0.0233)</w:t>
            </w:r>
          </w:p>
        </w:tc>
      </w:tr>
    </w:tbl>
    <w:p w:rsidR="007F433F" w:rsidRDefault="007F433F" w:rsidP="007F433F">
      <w:pPr>
        <w:snapToGrid w:val="0"/>
        <w:spacing w:after="0" w:line="240" w:lineRule="auto"/>
        <w:jc w:val="both"/>
      </w:pPr>
    </w:p>
    <w:bookmarkEnd w:id="0"/>
    <w:p w:rsidR="007F433F" w:rsidRPr="00C5793A" w:rsidRDefault="007F433F" w:rsidP="007F433F">
      <w:pPr>
        <w:snapToGrid w:val="0"/>
        <w:spacing w:after="0" w:line="240" w:lineRule="auto"/>
        <w:jc w:val="both"/>
        <w:rPr>
          <w:rFonts w:asciiTheme="majorBidi" w:eastAsia="SimSun" w:hAnsiTheme="majorBidi" w:cstheme="majorBidi"/>
          <w:sz w:val="24"/>
          <w:szCs w:val="24"/>
        </w:rPr>
      </w:pPr>
    </w:p>
    <w:p w:rsidR="00D03CE1" w:rsidRDefault="00D03CE1"/>
    <w:sectPr w:rsidR="00D03CE1" w:rsidSect="00AC22F6">
      <w:pgSz w:w="16838" w:h="11906" w:orient="landscape"/>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3F" w:rsidRDefault="007F433F" w:rsidP="007F433F">
      <w:pPr>
        <w:spacing w:after="0" w:line="240" w:lineRule="auto"/>
      </w:pPr>
      <w:r>
        <w:separator/>
      </w:r>
    </w:p>
  </w:endnote>
  <w:endnote w:type="continuationSeparator" w:id="0">
    <w:p w:rsidR="007F433F" w:rsidRDefault="007F433F" w:rsidP="007F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398432"/>
      <w:docPartObj>
        <w:docPartGallery w:val="Page Numbers (Bottom of Page)"/>
        <w:docPartUnique/>
      </w:docPartObj>
    </w:sdtPr>
    <w:sdtEndPr>
      <w:rPr>
        <w:rFonts w:ascii="Times New Roman" w:hAnsi="Times New Roman" w:cs="Times New Roman"/>
        <w:noProof/>
        <w:sz w:val="24"/>
        <w:szCs w:val="24"/>
      </w:rPr>
    </w:sdtEndPr>
    <w:sdtContent>
      <w:p w:rsidR="007F433F" w:rsidRPr="00307E6B" w:rsidRDefault="007F433F">
        <w:pPr>
          <w:pStyle w:val="Footer"/>
          <w:jc w:val="right"/>
          <w:rPr>
            <w:rFonts w:ascii="Times New Roman" w:hAnsi="Times New Roman" w:cs="Times New Roman"/>
            <w:sz w:val="24"/>
            <w:szCs w:val="24"/>
          </w:rPr>
        </w:pPr>
        <w:r w:rsidRPr="00307E6B">
          <w:rPr>
            <w:rFonts w:ascii="Times New Roman" w:hAnsi="Times New Roman" w:cs="Times New Roman"/>
            <w:sz w:val="24"/>
            <w:szCs w:val="24"/>
          </w:rPr>
          <w:fldChar w:fldCharType="begin"/>
        </w:r>
        <w:r w:rsidRPr="00307E6B">
          <w:rPr>
            <w:rFonts w:ascii="Times New Roman" w:hAnsi="Times New Roman" w:cs="Times New Roman"/>
            <w:sz w:val="24"/>
            <w:szCs w:val="24"/>
          </w:rPr>
          <w:instrText xml:space="preserve"> PAGE   \* MERGEFORMAT </w:instrText>
        </w:r>
        <w:r w:rsidRPr="00307E6B">
          <w:rPr>
            <w:rFonts w:ascii="Times New Roman" w:hAnsi="Times New Roman" w:cs="Times New Roman"/>
            <w:sz w:val="24"/>
            <w:szCs w:val="24"/>
          </w:rPr>
          <w:fldChar w:fldCharType="separate"/>
        </w:r>
        <w:r w:rsidR="00607D52">
          <w:rPr>
            <w:rFonts w:ascii="Times New Roman" w:hAnsi="Times New Roman" w:cs="Times New Roman"/>
            <w:noProof/>
            <w:sz w:val="24"/>
            <w:szCs w:val="24"/>
          </w:rPr>
          <w:t>22</w:t>
        </w:r>
        <w:r w:rsidRPr="00307E6B">
          <w:rPr>
            <w:rFonts w:ascii="Times New Roman" w:hAnsi="Times New Roman" w:cs="Times New Roman"/>
            <w:noProof/>
            <w:sz w:val="24"/>
            <w:szCs w:val="24"/>
          </w:rPr>
          <w:fldChar w:fldCharType="end"/>
        </w:r>
      </w:p>
    </w:sdtContent>
  </w:sdt>
  <w:p w:rsidR="007F433F" w:rsidRDefault="007F433F">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3F" w:rsidRDefault="007F433F" w:rsidP="007F433F">
      <w:pPr>
        <w:spacing w:after="0" w:line="240" w:lineRule="auto"/>
      </w:pPr>
      <w:r>
        <w:separator/>
      </w:r>
    </w:p>
  </w:footnote>
  <w:footnote w:type="continuationSeparator" w:id="0">
    <w:p w:rsidR="007F433F" w:rsidRDefault="007F433F" w:rsidP="007F433F">
      <w:pPr>
        <w:spacing w:after="0" w:line="240" w:lineRule="auto"/>
      </w:pPr>
      <w:r>
        <w:continuationSeparator/>
      </w:r>
    </w:p>
  </w:footnote>
  <w:footnote w:id="1">
    <w:p w:rsidR="007F433F" w:rsidRDefault="007F433F" w:rsidP="007F433F">
      <w:pPr>
        <w:pStyle w:val="FootnoteText"/>
        <w:jc w:val="both"/>
        <w:rPr>
          <w:rStyle w:val="Hyperlink"/>
          <w:rFonts w:asciiTheme="majorBidi" w:hAnsiTheme="majorBidi" w:cstheme="majorBidi"/>
        </w:rPr>
      </w:pPr>
      <w:r>
        <w:rPr>
          <w:rStyle w:val="FootnoteReference"/>
        </w:rPr>
        <w:footnoteRef/>
      </w:r>
      <w:r w:rsidRPr="00445AA7">
        <w:rPr>
          <w:rFonts w:asciiTheme="majorBidi" w:hAnsiTheme="majorBidi" w:cstheme="majorBidi"/>
        </w:rPr>
        <w:t>Corresponding Author:</w:t>
      </w:r>
      <w:r>
        <w:rPr>
          <w:rFonts w:asciiTheme="majorBidi" w:hAnsiTheme="majorBidi" w:cstheme="majorBidi"/>
        </w:rPr>
        <w:t xml:space="preserve"> Dr Hung Do</w:t>
      </w:r>
      <w:r w:rsidRPr="00445AA7">
        <w:rPr>
          <w:rFonts w:asciiTheme="majorBidi" w:hAnsiTheme="majorBidi" w:cstheme="majorBidi"/>
        </w:rPr>
        <w:t xml:space="preserve">, </w:t>
      </w:r>
      <w:r>
        <w:rPr>
          <w:rFonts w:asciiTheme="majorBidi" w:hAnsiTheme="majorBidi" w:cstheme="majorBidi"/>
        </w:rPr>
        <w:t>School of Economics and Finance (Albany), Massey Business School, Massey University</w:t>
      </w:r>
      <w:r w:rsidRPr="00445AA7">
        <w:rPr>
          <w:rFonts w:asciiTheme="majorBidi" w:hAnsiTheme="majorBidi" w:cstheme="majorBidi"/>
        </w:rPr>
        <w:t>. Email:</w:t>
      </w:r>
      <w:r>
        <w:rPr>
          <w:rStyle w:val="Hyperlink"/>
          <w:rFonts w:asciiTheme="majorBidi" w:hAnsiTheme="majorBidi" w:cstheme="majorBidi"/>
        </w:rPr>
        <w:t xml:space="preserve"> h.do@massey.ac.nz. </w:t>
      </w:r>
    </w:p>
    <w:p w:rsidR="007F433F" w:rsidRPr="005F2526" w:rsidRDefault="007F433F" w:rsidP="007F433F">
      <w:pPr>
        <w:pStyle w:val="FootnoteText"/>
        <w:jc w:val="both"/>
        <w:rPr>
          <w:rFonts w:asciiTheme="majorBidi" w:hAnsiTheme="majorBidi" w:cstheme="majorBidi"/>
        </w:rPr>
      </w:pPr>
      <w:r w:rsidRPr="005F2526">
        <w:rPr>
          <w:rStyle w:val="Hyperlink"/>
          <w:rFonts w:asciiTheme="majorBidi" w:hAnsiTheme="majorBidi" w:cstheme="majorBidi"/>
          <w:color w:val="auto"/>
          <w:u w:val="none"/>
        </w:rPr>
        <w:t xml:space="preserve">The authors wish to thank Dr </w:t>
      </w:r>
      <w:proofErr w:type="spellStart"/>
      <w:r w:rsidRPr="005F2526">
        <w:rPr>
          <w:rStyle w:val="Hyperlink"/>
          <w:rFonts w:asciiTheme="majorBidi" w:hAnsiTheme="majorBidi" w:cstheme="majorBidi"/>
          <w:color w:val="auto"/>
          <w:u w:val="none"/>
        </w:rPr>
        <w:t>Haotian</w:t>
      </w:r>
      <w:proofErr w:type="spellEnd"/>
      <w:r w:rsidRPr="005F2526">
        <w:rPr>
          <w:rStyle w:val="Hyperlink"/>
          <w:rFonts w:asciiTheme="majorBidi" w:hAnsiTheme="majorBidi" w:cstheme="majorBidi"/>
          <w:color w:val="auto"/>
          <w:u w:val="none"/>
        </w:rPr>
        <w:t xml:space="preserve"> Chan for research assistance in this project and this project was funded by the Australian Centre of Financial Studies</w:t>
      </w:r>
      <w:r>
        <w:rPr>
          <w:rStyle w:val="Hyperlink"/>
          <w:rFonts w:asciiTheme="majorBidi" w:hAnsiTheme="majorBidi" w:cstheme="majorBidi"/>
          <w:color w:val="auto"/>
          <w:u w:val="none"/>
        </w:rPr>
        <w:t xml:space="preserve">, Monash Business School. The authors also wish to thank Prof Phil Gray for providing the </w:t>
      </w:r>
      <w:proofErr w:type="spellStart"/>
      <w:r>
        <w:rPr>
          <w:rStyle w:val="Hyperlink"/>
          <w:rFonts w:asciiTheme="majorBidi" w:hAnsiTheme="majorBidi" w:cstheme="majorBidi"/>
          <w:color w:val="auto"/>
          <w:u w:val="none"/>
        </w:rPr>
        <w:t>Fama</w:t>
      </w:r>
      <w:proofErr w:type="spellEnd"/>
      <w:r>
        <w:rPr>
          <w:rStyle w:val="Hyperlink"/>
          <w:rFonts w:asciiTheme="majorBidi" w:hAnsiTheme="majorBidi" w:cstheme="majorBidi"/>
          <w:color w:val="auto"/>
          <w:u w:val="none"/>
        </w:rPr>
        <w:t xml:space="preserve"> French factors for the Australian market. We would like to thank Dr Bin Peng for kindly sharing the </w:t>
      </w:r>
      <w:proofErr w:type="spellStart"/>
      <w:r>
        <w:rPr>
          <w:rStyle w:val="Hyperlink"/>
          <w:rFonts w:asciiTheme="majorBidi" w:hAnsiTheme="majorBidi" w:cstheme="majorBidi"/>
          <w:color w:val="auto"/>
          <w:u w:val="none"/>
        </w:rPr>
        <w:t>Matlab</w:t>
      </w:r>
      <w:proofErr w:type="spellEnd"/>
      <w:r>
        <w:rPr>
          <w:rStyle w:val="Hyperlink"/>
          <w:rFonts w:asciiTheme="majorBidi" w:hAnsiTheme="majorBidi" w:cstheme="majorBidi"/>
          <w:color w:val="auto"/>
          <w:u w:val="none"/>
        </w:rPr>
        <w:t xml:space="preserve"> code to estimating the varying-coefficient panel model.</w:t>
      </w:r>
    </w:p>
    <w:p w:rsidR="007F433F" w:rsidRDefault="007F433F" w:rsidP="007F433F">
      <w:pPr>
        <w:pStyle w:val="FootnoteText"/>
      </w:pPr>
      <w:r>
        <w:t xml:space="preserve"> </w:t>
      </w:r>
    </w:p>
  </w:footnote>
  <w:footnote w:id="2">
    <w:p w:rsidR="007F433F" w:rsidRPr="00307E6B" w:rsidRDefault="007F433F" w:rsidP="007F433F">
      <w:pPr>
        <w:pStyle w:val="FootnoteText"/>
        <w:rPr>
          <w:rFonts w:ascii="Times New Roman" w:hAnsi="Times New Roman" w:cs="Times New Roman"/>
        </w:rPr>
      </w:pPr>
      <w:r w:rsidRPr="00307E6B">
        <w:rPr>
          <w:rStyle w:val="FootnoteReference"/>
          <w:rFonts w:ascii="Times New Roman" w:hAnsi="Times New Roman" w:cs="Times New Roman"/>
        </w:rPr>
        <w:footnoteRef/>
      </w:r>
      <w:r w:rsidRPr="00307E6B">
        <w:rPr>
          <w:rFonts w:ascii="Times New Roman" w:hAnsi="Times New Roman" w:cs="Times New Roman"/>
        </w:rPr>
        <w:t>See: https://www.moneysmart.gov.au/superannuation-and-retirement/how-super-works/super-investment-options</w:t>
      </w:r>
    </w:p>
  </w:footnote>
  <w:footnote w:id="3">
    <w:p w:rsidR="007F433F" w:rsidRPr="00307E6B" w:rsidRDefault="007F433F" w:rsidP="007F433F">
      <w:pPr>
        <w:pStyle w:val="FootnoteText"/>
        <w:jc w:val="both"/>
        <w:rPr>
          <w:rFonts w:ascii="Times New Roman" w:hAnsi="Times New Roman" w:cs="Times New Roman"/>
        </w:rPr>
      </w:pPr>
      <w:r w:rsidRPr="00307E6B">
        <w:rPr>
          <w:rStyle w:val="FootnoteReference"/>
          <w:rFonts w:ascii="Times New Roman" w:hAnsi="Times New Roman" w:cs="Times New Roman"/>
        </w:rPr>
        <w:footnoteRef/>
      </w:r>
      <w:r w:rsidRPr="00307E6B">
        <w:rPr>
          <w:rFonts w:ascii="Times New Roman" w:hAnsi="Times New Roman" w:cs="Times New Roman"/>
        </w:rPr>
        <w:t xml:space="preserve"> </w:t>
      </w:r>
      <w:hyperlink r:id="rId1" w:history="1">
        <w:r w:rsidRPr="00307E6B">
          <w:rPr>
            <w:rStyle w:val="Hyperlink"/>
            <w:rFonts w:ascii="Times New Roman" w:hAnsi="Times New Roman" w:cs="Times New Roman"/>
          </w:rPr>
          <w:t>http://www.afr.com/personal-finance/superannuation-and-smsfs/super-funds-accused-of-masking-portfolio-risks-20180105-h0dyxp</w:t>
        </w:r>
      </w:hyperlink>
    </w:p>
    <w:p w:rsidR="007F433F" w:rsidRDefault="007F433F" w:rsidP="007F433F">
      <w:pPr>
        <w:pStyle w:val="FootnoteText"/>
      </w:pPr>
    </w:p>
  </w:footnote>
  <w:footnote w:id="4">
    <w:p w:rsidR="007F433F" w:rsidRPr="00307E6B" w:rsidRDefault="007F433F" w:rsidP="007F433F">
      <w:pPr>
        <w:spacing w:line="240" w:lineRule="auto"/>
        <w:rPr>
          <w:rFonts w:ascii="Times New Roman" w:hAnsi="Times New Roman" w:cs="Times New Roman"/>
          <w:sz w:val="20"/>
          <w:szCs w:val="20"/>
        </w:rPr>
      </w:pPr>
      <w:r w:rsidRPr="00307E6B">
        <w:rPr>
          <w:rStyle w:val="FootnoteReference"/>
          <w:rFonts w:ascii="Times New Roman" w:hAnsi="Times New Roman" w:cs="Times New Roman"/>
          <w:sz w:val="20"/>
          <w:szCs w:val="20"/>
        </w:rPr>
        <w:footnoteRef/>
      </w:r>
      <w:r w:rsidRPr="00307E6B">
        <w:rPr>
          <w:rFonts w:ascii="Times New Roman" w:hAnsi="Times New Roman" w:cs="Times New Roman"/>
          <w:sz w:val="20"/>
          <w:szCs w:val="20"/>
        </w:rPr>
        <w:t xml:space="preserve">  </w:t>
      </w:r>
      <w:hyperlink r:id="rId2" w:history="1">
        <w:r w:rsidRPr="00307E6B">
          <w:rPr>
            <w:rStyle w:val="Hyperlink"/>
            <w:rFonts w:ascii="Times New Roman" w:hAnsi="Times New Roman" w:cs="Times New Roman"/>
            <w:sz w:val="20"/>
            <w:szCs w:val="20"/>
          </w:rPr>
          <w:t>https://www.superguide.com.au/comparing-super-funds/superannuation-investment-difference-balanced-growth-option</w:t>
        </w:r>
      </w:hyperlink>
    </w:p>
    <w:p w:rsidR="007F433F" w:rsidRDefault="007F433F" w:rsidP="007F433F">
      <w:pPr>
        <w:pStyle w:val="FootnoteText"/>
      </w:pPr>
    </w:p>
  </w:footnote>
  <w:footnote w:id="5">
    <w:p w:rsidR="007F433F" w:rsidRPr="00307E6B" w:rsidRDefault="007F433F" w:rsidP="007F433F">
      <w:pPr>
        <w:pStyle w:val="FootnoteText"/>
        <w:jc w:val="both"/>
        <w:rPr>
          <w:rFonts w:ascii="Times New Roman" w:hAnsi="Times New Roman" w:cs="Times New Roman"/>
        </w:rPr>
      </w:pPr>
      <w:r w:rsidRPr="00307E6B">
        <w:rPr>
          <w:rStyle w:val="FootnoteReference"/>
          <w:rFonts w:ascii="Times New Roman" w:hAnsi="Times New Roman" w:cs="Times New Roman"/>
        </w:rPr>
        <w:footnoteRef/>
      </w:r>
      <w:r w:rsidRPr="00307E6B">
        <w:rPr>
          <w:rFonts w:ascii="Times New Roman" w:hAnsi="Times New Roman" w:cs="Times New Roman"/>
        </w:rPr>
        <w:t xml:space="preserve"> </w:t>
      </w:r>
      <w:r w:rsidRPr="00797854">
        <w:rPr>
          <w:rFonts w:ascii="Times New Roman" w:hAnsi="Times New Roman" w:cs="Times New Roman"/>
          <w:bCs/>
          <w:lang w:eastAsia="en-US"/>
        </w:rPr>
        <w:t>See: OECD (2009), Pensions at a Glance: Retirement-Income Systems in OECD Countries, Figure 1.3</w:t>
      </w:r>
    </w:p>
  </w:footnote>
  <w:footnote w:id="6">
    <w:p w:rsidR="007F433F" w:rsidRPr="001962E0" w:rsidRDefault="007F433F" w:rsidP="007F433F">
      <w:pPr>
        <w:pStyle w:val="FootnoteText"/>
        <w:jc w:val="both"/>
        <w:rPr>
          <w:rFonts w:asciiTheme="majorBidi" w:hAnsiTheme="majorBidi" w:cstheme="majorBidi"/>
        </w:rPr>
      </w:pPr>
      <w:r w:rsidRPr="001962E0">
        <w:rPr>
          <w:rStyle w:val="FootnoteReference"/>
          <w:rFonts w:asciiTheme="majorBidi" w:hAnsiTheme="majorBidi" w:cstheme="majorBidi"/>
        </w:rPr>
        <w:footnoteRef/>
      </w:r>
      <w:r w:rsidRPr="001962E0">
        <w:rPr>
          <w:rFonts w:asciiTheme="majorBidi" w:hAnsiTheme="majorBidi" w:cstheme="majorBidi"/>
        </w:rPr>
        <w:t xml:space="preserve"> As of Sept 2017, for instance, </w:t>
      </w:r>
      <w:proofErr w:type="spellStart"/>
      <w:r w:rsidRPr="001962E0">
        <w:rPr>
          <w:rFonts w:asciiTheme="majorBidi" w:hAnsiTheme="majorBidi" w:cstheme="majorBidi"/>
        </w:rPr>
        <w:t>CareSuper</w:t>
      </w:r>
      <w:proofErr w:type="spellEnd"/>
      <w:r w:rsidRPr="001962E0">
        <w:rPr>
          <w:rFonts w:asciiTheme="majorBidi" w:hAnsiTheme="majorBidi" w:cstheme="majorBidi"/>
        </w:rPr>
        <w:t xml:space="preserve"> had 13 investment options, while Cbus had only 6 investment options. Source: AIST PD Programs</w:t>
      </w:r>
    </w:p>
  </w:footnote>
  <w:footnote w:id="7">
    <w:p w:rsidR="007F433F" w:rsidRPr="00307E6B" w:rsidRDefault="007F433F" w:rsidP="007F433F">
      <w:pPr>
        <w:pStyle w:val="FootnoteText"/>
        <w:jc w:val="both"/>
        <w:rPr>
          <w:rFonts w:ascii="Times New Roman" w:hAnsi="Times New Roman" w:cs="Times New Roman"/>
        </w:rPr>
      </w:pPr>
      <w:r w:rsidRPr="00307E6B">
        <w:rPr>
          <w:rStyle w:val="FootnoteReference"/>
          <w:rFonts w:ascii="Times New Roman" w:hAnsi="Times New Roman" w:cs="Times New Roman"/>
        </w:rPr>
        <w:footnoteRef/>
      </w:r>
      <w:r w:rsidRPr="00307E6B">
        <w:rPr>
          <w:rFonts w:ascii="Times New Roman" w:hAnsi="Times New Roman" w:cs="Times New Roman"/>
        </w:rPr>
        <w:t xml:space="preserve"> See </w:t>
      </w:r>
      <w:hyperlink r:id="rId3" w:history="1">
        <w:r w:rsidRPr="00307E6B">
          <w:rPr>
            <w:rStyle w:val="Hyperlink"/>
            <w:rFonts w:ascii="Times New Roman" w:hAnsi="Times New Roman" w:cs="Times New Roman"/>
          </w:rPr>
          <w:t>https://www.canstar.com.au/managed-funds/types-of-managed-funds-and-how-they-perform-long-term/</w:t>
        </w:r>
      </w:hyperlink>
      <w:r>
        <w:rPr>
          <w:rStyle w:val="Hyperlink"/>
          <w:rFonts w:ascii="Times New Roman" w:hAnsi="Times New Roman" w:cs="Times New Roman"/>
        </w:rPr>
        <w:t xml:space="preserve"> </w:t>
      </w:r>
    </w:p>
  </w:footnote>
  <w:footnote w:id="8">
    <w:p w:rsidR="007F433F" w:rsidRPr="00287A00" w:rsidRDefault="007F433F" w:rsidP="007F433F">
      <w:pPr>
        <w:pStyle w:val="FootnoteText"/>
        <w:jc w:val="both"/>
        <w:rPr>
          <w:rFonts w:asciiTheme="majorBidi" w:hAnsiTheme="majorBidi" w:cstheme="majorBidi"/>
        </w:rPr>
      </w:pPr>
      <w:r w:rsidRPr="00307E6B">
        <w:rPr>
          <w:rStyle w:val="FootnoteReference"/>
          <w:rFonts w:ascii="Times New Roman" w:hAnsi="Times New Roman" w:cs="Times New Roman"/>
        </w:rPr>
        <w:footnoteRef/>
      </w:r>
      <w:r w:rsidRPr="00307E6B">
        <w:rPr>
          <w:rFonts w:ascii="Times New Roman" w:hAnsi="Times New Roman" w:cs="Times New Roman"/>
        </w:rPr>
        <w:t xml:space="preserve"> Growth assets are includes domestic and international shares, listed and unlisted property. </w:t>
      </w:r>
    </w:p>
  </w:footnote>
  <w:footnote w:id="9">
    <w:p w:rsidR="007F433F" w:rsidRDefault="007F433F" w:rsidP="007F433F">
      <w:pPr>
        <w:spacing w:line="240" w:lineRule="auto"/>
        <w:jc w:val="both"/>
      </w:pPr>
      <w:r w:rsidRPr="00287A00">
        <w:rPr>
          <w:rStyle w:val="FootnoteReference"/>
          <w:rFonts w:asciiTheme="majorBidi" w:hAnsiTheme="majorBidi" w:cstheme="majorBidi"/>
          <w:sz w:val="20"/>
          <w:szCs w:val="20"/>
        </w:rPr>
        <w:footnoteRef/>
      </w:r>
      <w:r w:rsidRPr="00287A00">
        <w:rPr>
          <w:rFonts w:asciiTheme="majorBidi" w:hAnsiTheme="majorBidi" w:cstheme="majorBidi"/>
          <w:sz w:val="20"/>
          <w:szCs w:val="20"/>
        </w:rPr>
        <w:t xml:space="preserve"> </w:t>
      </w:r>
      <w:hyperlink r:id="rId4" w:history="1">
        <w:r w:rsidRPr="00287A00">
          <w:rPr>
            <w:rStyle w:val="Hyperlink"/>
            <w:rFonts w:asciiTheme="majorBidi" w:hAnsiTheme="majorBidi" w:cstheme="majorBidi"/>
            <w:sz w:val="20"/>
            <w:szCs w:val="20"/>
          </w:rPr>
          <w:t>https://www.moneysmart.gov.au/superannuation-and-retirement/how-super-works/super-investment-options</w:t>
        </w:r>
      </w:hyperlink>
    </w:p>
  </w:footnote>
  <w:footnote w:id="10">
    <w:p w:rsidR="007F433F" w:rsidRPr="004A14E5" w:rsidRDefault="007F433F" w:rsidP="007F433F">
      <w:pPr>
        <w:pStyle w:val="FootnoteText"/>
        <w:jc w:val="both"/>
        <w:rPr>
          <w:rFonts w:asciiTheme="majorBidi" w:hAnsiTheme="majorBidi" w:cstheme="majorBidi"/>
        </w:rPr>
      </w:pPr>
      <w:r w:rsidRPr="004A14E5">
        <w:rPr>
          <w:rStyle w:val="FootnoteReference"/>
          <w:rFonts w:asciiTheme="majorBidi" w:hAnsiTheme="majorBidi" w:cstheme="majorBidi"/>
        </w:rPr>
        <w:footnoteRef/>
      </w:r>
      <w:r w:rsidRPr="004A14E5">
        <w:rPr>
          <w:rFonts w:asciiTheme="majorBidi" w:hAnsiTheme="majorBidi" w:cstheme="majorBidi"/>
        </w:rPr>
        <w:t xml:space="preserve"> The initial sample from Morningstar include 1</w:t>
      </w:r>
      <w:r>
        <w:rPr>
          <w:rFonts w:asciiTheme="majorBidi" w:hAnsiTheme="majorBidi" w:cstheme="majorBidi"/>
        </w:rPr>
        <w:t>,</w:t>
      </w:r>
      <w:r w:rsidRPr="004A14E5">
        <w:rPr>
          <w:rFonts w:asciiTheme="majorBidi" w:hAnsiTheme="majorBidi" w:cstheme="majorBidi"/>
        </w:rPr>
        <w:t xml:space="preserve">213 options. Given we use the two methods of classification, the final numbers dropped to 862 options for the </w:t>
      </w:r>
      <w:proofErr w:type="spellStart"/>
      <w:r w:rsidRPr="004A14E5">
        <w:rPr>
          <w:rFonts w:asciiTheme="majorBidi" w:hAnsiTheme="majorBidi" w:cstheme="majorBidi"/>
        </w:rPr>
        <w:t>Canstar</w:t>
      </w:r>
      <w:proofErr w:type="spellEnd"/>
      <w:r w:rsidRPr="004A14E5">
        <w:rPr>
          <w:rFonts w:asciiTheme="majorBidi" w:hAnsiTheme="majorBidi" w:cstheme="majorBidi"/>
        </w:rPr>
        <w:t xml:space="preserve"> classification and ASIC classification drops to 995 options. </w:t>
      </w:r>
      <w:r>
        <w:rPr>
          <w:rFonts w:asciiTheme="majorBidi" w:hAnsiTheme="majorBidi" w:cstheme="majorBidi"/>
        </w:rPr>
        <w:t xml:space="preserve">Regarding the </w:t>
      </w:r>
      <w:proofErr w:type="spellStart"/>
      <w:r w:rsidRPr="004A14E5">
        <w:rPr>
          <w:rFonts w:asciiTheme="majorBidi" w:hAnsiTheme="majorBidi" w:cstheme="majorBidi"/>
        </w:rPr>
        <w:t>Canstar</w:t>
      </w:r>
      <w:proofErr w:type="spellEnd"/>
      <w:r>
        <w:rPr>
          <w:rFonts w:asciiTheme="majorBidi" w:hAnsiTheme="majorBidi" w:cstheme="majorBidi"/>
        </w:rPr>
        <w:t xml:space="preserve"> classification</w:t>
      </w:r>
      <w:r w:rsidRPr="004A14E5">
        <w:rPr>
          <w:rFonts w:asciiTheme="majorBidi" w:hAnsiTheme="majorBidi" w:cstheme="majorBidi"/>
        </w:rPr>
        <w:t xml:space="preserve">, we </w:t>
      </w:r>
      <w:r>
        <w:rPr>
          <w:rFonts w:asciiTheme="majorBidi" w:hAnsiTheme="majorBidi" w:cstheme="majorBidi"/>
        </w:rPr>
        <w:t>exclude</w:t>
      </w:r>
      <w:r w:rsidRPr="004A14E5">
        <w:rPr>
          <w:rFonts w:asciiTheme="majorBidi" w:hAnsiTheme="majorBidi" w:cstheme="majorBidi"/>
        </w:rPr>
        <w:t xml:space="preserve"> options wh</w:t>
      </w:r>
      <w:r>
        <w:rPr>
          <w:rFonts w:asciiTheme="majorBidi" w:hAnsiTheme="majorBidi" w:cstheme="majorBidi"/>
        </w:rPr>
        <w:t>i</w:t>
      </w:r>
      <w:r w:rsidRPr="004A14E5">
        <w:rPr>
          <w:rFonts w:asciiTheme="majorBidi" w:hAnsiTheme="majorBidi" w:cstheme="majorBidi"/>
        </w:rPr>
        <w:t>ch have less than 20% growth assets as per the definition (note moderate is 21-40%). For</w:t>
      </w:r>
      <w:r>
        <w:rPr>
          <w:rFonts w:asciiTheme="majorBidi" w:hAnsiTheme="majorBidi" w:cstheme="majorBidi"/>
        </w:rPr>
        <w:t xml:space="preserve"> the</w:t>
      </w:r>
      <w:r w:rsidRPr="004A14E5">
        <w:rPr>
          <w:rFonts w:asciiTheme="majorBidi" w:hAnsiTheme="majorBidi" w:cstheme="majorBidi"/>
        </w:rPr>
        <w:t xml:space="preserve"> ASIC classification, the initial sample of 1</w:t>
      </w:r>
      <w:r>
        <w:rPr>
          <w:rFonts w:asciiTheme="majorBidi" w:hAnsiTheme="majorBidi" w:cstheme="majorBidi"/>
        </w:rPr>
        <w:t>,</w:t>
      </w:r>
      <w:r w:rsidRPr="004A14E5">
        <w:rPr>
          <w:rFonts w:asciiTheme="majorBidi" w:hAnsiTheme="majorBidi" w:cstheme="majorBidi"/>
        </w:rPr>
        <w:t>213 options include</w:t>
      </w:r>
      <w:r>
        <w:rPr>
          <w:rFonts w:asciiTheme="majorBidi" w:hAnsiTheme="majorBidi" w:cstheme="majorBidi"/>
        </w:rPr>
        <w:t>s</w:t>
      </w:r>
      <w:r w:rsidRPr="004A14E5">
        <w:rPr>
          <w:rFonts w:asciiTheme="majorBidi" w:hAnsiTheme="majorBidi" w:cstheme="majorBidi"/>
        </w:rPr>
        <w:t xml:space="preserve"> a small number of 100% cash investment options, which is not </w:t>
      </w:r>
      <w:r>
        <w:rPr>
          <w:rFonts w:asciiTheme="majorBidi" w:hAnsiTheme="majorBidi" w:cstheme="majorBidi"/>
        </w:rPr>
        <w:t>included</w:t>
      </w:r>
      <w:r w:rsidRPr="004A14E5">
        <w:rPr>
          <w:rFonts w:asciiTheme="majorBidi" w:hAnsiTheme="majorBidi" w:cstheme="majorBidi"/>
        </w:rPr>
        <w:t xml:space="preserve"> </w:t>
      </w:r>
      <w:r>
        <w:rPr>
          <w:rFonts w:asciiTheme="majorBidi" w:hAnsiTheme="majorBidi" w:cstheme="majorBidi"/>
        </w:rPr>
        <w:t>as per the ASIC defined ranges.</w:t>
      </w:r>
      <w:r w:rsidRPr="004A14E5">
        <w:rPr>
          <w:rFonts w:asciiTheme="majorBidi" w:hAnsiTheme="majorBidi" w:cstheme="majorBidi"/>
        </w:rPr>
        <w:t xml:space="preserve"> </w:t>
      </w:r>
    </w:p>
  </w:footnote>
  <w:footnote w:id="11">
    <w:p w:rsidR="007F433F" w:rsidRPr="00307E6B" w:rsidRDefault="007F433F" w:rsidP="007F433F">
      <w:pPr>
        <w:pStyle w:val="FootnoteText"/>
        <w:jc w:val="both"/>
        <w:rPr>
          <w:rFonts w:ascii="Times New Roman" w:hAnsi="Times New Roman" w:cs="Times New Roman"/>
        </w:rPr>
      </w:pPr>
      <w:r w:rsidRPr="00307E6B">
        <w:rPr>
          <w:rStyle w:val="FootnoteReference"/>
          <w:rFonts w:ascii="Times New Roman" w:hAnsi="Times New Roman" w:cs="Times New Roman"/>
        </w:rPr>
        <w:footnoteRef/>
      </w:r>
      <w:r w:rsidRPr="00307E6B">
        <w:rPr>
          <w:rFonts w:ascii="Times New Roman" w:hAnsi="Times New Roman" w:cs="Times New Roman"/>
        </w:rPr>
        <w:t xml:space="preserve"> Monthly asset-pricing factors were kindly provided by Professor Philip Gray. Further details of their construction can be found in </w:t>
      </w:r>
      <w:proofErr w:type="spellStart"/>
      <w:r w:rsidRPr="00307E6B">
        <w:rPr>
          <w:rFonts w:ascii="Times New Roman" w:hAnsi="Times New Roman" w:cs="Times New Roman"/>
        </w:rPr>
        <w:t>Zhong</w:t>
      </w:r>
      <w:proofErr w:type="spellEnd"/>
      <w:r w:rsidRPr="00307E6B">
        <w:rPr>
          <w:rFonts w:ascii="Times New Roman" w:hAnsi="Times New Roman" w:cs="Times New Roman"/>
        </w:rPr>
        <w:t xml:space="preserve"> et al. (2014).</w:t>
      </w:r>
    </w:p>
  </w:footnote>
  <w:footnote w:id="12">
    <w:p w:rsidR="007F433F" w:rsidRPr="00FE302E" w:rsidRDefault="007F433F" w:rsidP="007F433F">
      <w:pPr>
        <w:pStyle w:val="FootnoteText"/>
        <w:jc w:val="both"/>
        <w:rPr>
          <w:lang w:val="en-NZ"/>
        </w:rPr>
      </w:pPr>
      <w:r w:rsidRPr="004B643C">
        <w:rPr>
          <w:rStyle w:val="FootnoteReference"/>
          <w:rFonts w:ascii="Times New Roman" w:hAnsi="Times New Roman" w:cs="Times New Roman"/>
        </w:rPr>
        <w:footnoteRef/>
      </w:r>
      <w:r w:rsidRPr="004B643C">
        <w:rPr>
          <w:rFonts w:ascii="Times New Roman" w:hAnsi="Times New Roman" w:cs="Times New Roman"/>
        </w:rPr>
        <w:t xml:space="preserve"> </w:t>
      </w:r>
      <w:r w:rsidRPr="004B643C">
        <w:rPr>
          <w:rFonts w:ascii="Times New Roman" w:hAnsi="Times New Roman" w:cs="Times New Roman"/>
          <w:lang w:val="en-NZ"/>
        </w:rPr>
        <w:t xml:space="preserve">Across four model specifications employed, we consider six factors in total, including performance of market portfolio (associated with systematic risk </w:t>
      </w:r>
      <w:proofErr w:type="gramStart"/>
      <w:r w:rsidRPr="004B643C">
        <w:rPr>
          <w:rFonts w:ascii="Times New Roman" w:hAnsi="Times New Roman" w:cs="Times New Roman"/>
          <w:lang w:val="en-NZ"/>
        </w:rPr>
        <w:t xml:space="preserve">estimate </w:t>
      </w:r>
      <w:proofErr w:type="gramEnd"/>
      <m:oMath>
        <m:sSub>
          <m:sSubPr>
            <m:ctrlPr>
              <w:rPr>
                <w:rFonts w:ascii="Cambria Math" w:hAnsi="Cambria Math" w:cs="Times New Roman"/>
                <w:i/>
                <w:lang w:val="en-NZ"/>
              </w:rPr>
            </m:ctrlPr>
          </m:sSubPr>
          <m:e>
            <m:r>
              <w:rPr>
                <w:rFonts w:ascii="Cambria Math" w:hAnsi="Cambria Math" w:cs="Times New Roman"/>
                <w:lang w:val="en-NZ"/>
              </w:rPr>
              <m:t>β</m:t>
            </m:r>
          </m:e>
          <m:sub>
            <m:r>
              <w:rPr>
                <w:rFonts w:ascii="Cambria Math" w:hAnsi="Cambria Math" w:cs="Times New Roman"/>
                <w:lang w:val="en-NZ"/>
              </w:rPr>
              <m:t>M</m:t>
            </m:r>
          </m:sub>
        </m:sSub>
      </m:oMath>
      <w:r w:rsidRPr="004B643C">
        <w:rPr>
          <w:rFonts w:ascii="Times New Roman" w:hAnsi="Times New Roman" w:cs="Times New Roman"/>
          <w:lang w:val="en-NZ"/>
        </w:rPr>
        <w:t xml:space="preserve">), SMB (associated with </w:t>
      </w:r>
      <m:oMath>
        <m:sSub>
          <m:sSubPr>
            <m:ctrlPr>
              <w:rPr>
                <w:rFonts w:ascii="Cambria Math" w:hAnsi="Cambria Math" w:cs="Times New Roman"/>
                <w:i/>
                <w:lang w:val="en-NZ"/>
              </w:rPr>
            </m:ctrlPr>
          </m:sSubPr>
          <m:e>
            <m:r>
              <w:rPr>
                <w:rFonts w:ascii="Cambria Math" w:hAnsi="Cambria Math" w:cs="Times New Roman"/>
                <w:lang w:val="en-NZ"/>
              </w:rPr>
              <m:t>β</m:t>
            </m:r>
          </m:e>
          <m:sub>
            <m:r>
              <w:rPr>
                <w:rFonts w:ascii="Cambria Math" w:hAnsi="Cambria Math" w:cs="Times New Roman"/>
                <w:lang w:val="en-NZ"/>
              </w:rPr>
              <m:t>SMB</m:t>
            </m:r>
          </m:sub>
        </m:sSub>
      </m:oMath>
      <w:r w:rsidRPr="004B643C">
        <w:rPr>
          <w:rFonts w:ascii="Times New Roman" w:hAnsi="Times New Roman" w:cs="Times New Roman"/>
          <w:lang w:val="en-NZ"/>
        </w:rPr>
        <w:t xml:space="preserve">), HML (associated with </w:t>
      </w:r>
      <m:oMath>
        <m:sSub>
          <m:sSubPr>
            <m:ctrlPr>
              <w:rPr>
                <w:rFonts w:ascii="Cambria Math" w:hAnsi="Cambria Math" w:cs="Times New Roman"/>
                <w:i/>
                <w:lang w:val="en-NZ"/>
              </w:rPr>
            </m:ctrlPr>
          </m:sSubPr>
          <m:e>
            <m:r>
              <w:rPr>
                <w:rFonts w:ascii="Cambria Math" w:hAnsi="Cambria Math" w:cs="Times New Roman"/>
                <w:lang w:val="en-NZ"/>
              </w:rPr>
              <m:t>β</m:t>
            </m:r>
          </m:e>
          <m:sub>
            <m:r>
              <w:rPr>
                <w:rFonts w:ascii="Cambria Math" w:hAnsi="Cambria Math" w:cs="Times New Roman"/>
                <w:lang w:val="en-NZ"/>
              </w:rPr>
              <m:t>HML</m:t>
            </m:r>
          </m:sub>
        </m:sSub>
      </m:oMath>
      <w:r w:rsidRPr="004B643C">
        <w:rPr>
          <w:rFonts w:ascii="Times New Roman" w:hAnsi="Times New Roman" w:cs="Times New Roman"/>
          <w:lang w:val="en-NZ"/>
        </w:rPr>
        <w:t xml:space="preserve">), UMD (associated with </w:t>
      </w:r>
      <m:oMath>
        <m:sSub>
          <m:sSubPr>
            <m:ctrlPr>
              <w:rPr>
                <w:rFonts w:ascii="Cambria Math" w:hAnsi="Cambria Math" w:cs="Times New Roman"/>
                <w:i/>
                <w:lang w:val="en-NZ"/>
              </w:rPr>
            </m:ctrlPr>
          </m:sSubPr>
          <m:e>
            <m:r>
              <w:rPr>
                <w:rFonts w:ascii="Cambria Math" w:hAnsi="Cambria Math" w:cs="Times New Roman"/>
                <w:lang w:val="en-NZ"/>
              </w:rPr>
              <m:t>β</m:t>
            </m:r>
          </m:e>
          <m:sub>
            <m:r>
              <w:rPr>
                <w:rFonts w:ascii="Cambria Math" w:hAnsi="Cambria Math" w:cs="Times New Roman"/>
                <w:lang w:val="en-NZ"/>
              </w:rPr>
              <m:t>UMD</m:t>
            </m:r>
          </m:sub>
        </m:sSub>
      </m:oMath>
      <w:r w:rsidRPr="004B643C">
        <w:rPr>
          <w:rFonts w:ascii="Times New Roman" w:hAnsi="Times New Roman" w:cs="Times New Roman"/>
          <w:lang w:val="en-NZ"/>
        </w:rPr>
        <w:t xml:space="preserve">), RMW (associated with </w:t>
      </w:r>
      <m:oMath>
        <m:sSub>
          <m:sSubPr>
            <m:ctrlPr>
              <w:rPr>
                <w:rFonts w:ascii="Cambria Math" w:hAnsi="Cambria Math" w:cs="Times New Roman"/>
                <w:i/>
                <w:lang w:val="en-NZ"/>
              </w:rPr>
            </m:ctrlPr>
          </m:sSubPr>
          <m:e>
            <m:r>
              <w:rPr>
                <w:rFonts w:ascii="Cambria Math" w:hAnsi="Cambria Math" w:cs="Times New Roman"/>
                <w:lang w:val="en-NZ"/>
              </w:rPr>
              <m:t>β</m:t>
            </m:r>
          </m:e>
          <m:sub>
            <m:r>
              <w:rPr>
                <w:rFonts w:ascii="Cambria Math" w:hAnsi="Cambria Math" w:cs="Times New Roman"/>
                <w:lang w:val="en-NZ"/>
              </w:rPr>
              <m:t>RMW</m:t>
            </m:r>
          </m:sub>
        </m:sSub>
      </m:oMath>
      <w:r w:rsidRPr="004B643C">
        <w:rPr>
          <w:rFonts w:ascii="Times New Roman" w:hAnsi="Times New Roman" w:cs="Times New Roman"/>
          <w:lang w:val="en-NZ"/>
        </w:rPr>
        <w:t xml:space="preserve">), and CMA (associated with </w:t>
      </w:r>
      <m:oMath>
        <m:sSub>
          <m:sSubPr>
            <m:ctrlPr>
              <w:rPr>
                <w:rFonts w:ascii="Cambria Math" w:hAnsi="Cambria Math" w:cs="Times New Roman"/>
                <w:i/>
                <w:lang w:val="en-NZ"/>
              </w:rPr>
            </m:ctrlPr>
          </m:sSubPr>
          <m:e>
            <m:r>
              <w:rPr>
                <w:rFonts w:ascii="Cambria Math" w:hAnsi="Cambria Math" w:cs="Times New Roman"/>
                <w:lang w:val="en-NZ"/>
              </w:rPr>
              <m:t>β</m:t>
            </m:r>
          </m:e>
          <m:sub>
            <m:r>
              <w:rPr>
                <w:rFonts w:ascii="Cambria Math" w:hAnsi="Cambria Math" w:cs="Times New Roman"/>
                <w:lang w:val="en-NZ"/>
              </w:rPr>
              <m:t>CMA</m:t>
            </m:r>
          </m:sub>
        </m:sSub>
      </m:oMath>
      <w:r w:rsidRPr="004B643C">
        <w:rPr>
          <w:rFonts w:ascii="Times New Roman" w:hAnsi="Times New Roman" w:cs="Times New Roman"/>
          <w:lang w:val="en-NZ"/>
        </w:rPr>
        <w:t>).</w:t>
      </w:r>
      <w:r>
        <w:rPr>
          <w:rFonts w:ascii="Times New Roman" w:hAnsi="Times New Roman" w:cs="Times New Roman"/>
          <w:lang w:val="en-NZ"/>
        </w:rPr>
        <w:t xml:space="preserve"> </w:t>
      </w:r>
      <w:r w:rsidRPr="004B643C">
        <w:rPr>
          <w:rFonts w:ascii="Times New Roman" w:hAnsi="Times New Roman" w:cs="Times New Roman"/>
          <w:lang w:val="en-NZ"/>
        </w:rPr>
        <w:t>We focus our discussion</w:t>
      </w:r>
      <w:r>
        <w:rPr>
          <w:rFonts w:ascii="Times New Roman" w:hAnsi="Times New Roman" w:cs="Times New Roman"/>
          <w:lang w:val="en-NZ"/>
        </w:rPr>
        <w:t xml:space="preserve"> of risk profile of investment options</w:t>
      </w:r>
      <w:r w:rsidRPr="004B643C">
        <w:rPr>
          <w:rFonts w:ascii="Times New Roman" w:hAnsi="Times New Roman" w:cs="Times New Roman"/>
          <w:lang w:val="en-NZ"/>
        </w:rPr>
        <w:t xml:space="preserve"> on </w:t>
      </w:r>
      <m:oMath>
        <m:sSub>
          <m:sSubPr>
            <m:ctrlPr>
              <w:rPr>
                <w:rFonts w:ascii="Cambria Math" w:hAnsi="Cambria Math" w:cs="Times New Roman"/>
                <w:i/>
                <w:lang w:val="en-NZ"/>
              </w:rPr>
            </m:ctrlPr>
          </m:sSubPr>
          <m:e>
            <m:r>
              <w:rPr>
                <w:rFonts w:ascii="Cambria Math" w:hAnsi="Cambria Math" w:cs="Times New Roman"/>
                <w:lang w:val="en-NZ"/>
              </w:rPr>
              <m:t>β</m:t>
            </m:r>
          </m:e>
          <m:sub>
            <m:r>
              <w:rPr>
                <w:rFonts w:ascii="Cambria Math" w:hAnsi="Cambria Math" w:cs="Times New Roman"/>
                <w:lang w:val="en-NZ"/>
              </w:rPr>
              <m:t>M</m:t>
            </m:r>
          </m:sub>
        </m:sSub>
      </m:oMath>
      <w:r w:rsidRPr="004B643C">
        <w:rPr>
          <w:rFonts w:ascii="Times New Roman" w:hAnsi="Times New Roman" w:cs="Times New Roman"/>
          <w:lang w:val="en-NZ"/>
        </w:rPr>
        <w:t xml:space="preserve"> since it represents the systematic risk of investment options. Other betas can be considered as impacts of con</w:t>
      </w:r>
      <w:proofErr w:type="spellStart"/>
      <w:r w:rsidRPr="004B643C">
        <w:rPr>
          <w:rFonts w:ascii="Times New Roman" w:hAnsi="Times New Roman" w:cs="Times New Roman"/>
          <w:lang w:val="en-NZ"/>
        </w:rPr>
        <w:t>trol</w:t>
      </w:r>
      <w:proofErr w:type="spellEnd"/>
      <w:r w:rsidRPr="004B643C">
        <w:rPr>
          <w:rFonts w:ascii="Times New Roman" w:hAnsi="Times New Roman" w:cs="Times New Roman"/>
          <w:lang w:val="en-NZ"/>
        </w:rPr>
        <w:t xml:space="preserve"> factors on performance of investment options. Henceforth, when we mention about beta, we refer </w:t>
      </w:r>
      <w:proofErr w:type="gramStart"/>
      <w:r w:rsidRPr="004B643C">
        <w:rPr>
          <w:rFonts w:ascii="Times New Roman" w:hAnsi="Times New Roman" w:cs="Times New Roman"/>
          <w:lang w:val="en-NZ"/>
        </w:rPr>
        <w:t xml:space="preserve">to </w:t>
      </w:r>
      <w:proofErr w:type="gramEnd"/>
      <m:oMath>
        <m:sSub>
          <m:sSubPr>
            <m:ctrlPr>
              <w:rPr>
                <w:rFonts w:ascii="Cambria Math" w:hAnsi="Cambria Math" w:cs="Times New Roman"/>
                <w:i/>
                <w:lang w:val="en-NZ"/>
              </w:rPr>
            </m:ctrlPr>
          </m:sSubPr>
          <m:e>
            <m:r>
              <w:rPr>
                <w:rFonts w:ascii="Cambria Math" w:hAnsi="Cambria Math" w:cs="Times New Roman"/>
                <w:lang w:val="en-NZ"/>
              </w:rPr>
              <m:t>β</m:t>
            </m:r>
          </m:e>
          <m:sub>
            <m:r>
              <w:rPr>
                <w:rFonts w:ascii="Cambria Math" w:hAnsi="Cambria Math" w:cs="Times New Roman"/>
                <w:lang w:val="en-NZ"/>
              </w:rPr>
              <m:t>M</m:t>
            </m:r>
          </m:sub>
        </m:sSub>
      </m:oMath>
      <w:r w:rsidRPr="004B643C">
        <w:rPr>
          <w:rFonts w:ascii="Times New Roman" w:hAnsi="Times New Roman" w:cs="Times New Roman"/>
          <w:lang w:val="en-NZ"/>
        </w:rPr>
        <w:t xml:space="preserve">.  </w:t>
      </w:r>
    </w:p>
  </w:footnote>
  <w:footnote w:id="13">
    <w:p w:rsidR="007F433F" w:rsidRPr="00D96C97" w:rsidRDefault="007F433F" w:rsidP="007F433F">
      <w:pPr>
        <w:pStyle w:val="FootnoteText"/>
        <w:jc w:val="both"/>
        <w:rPr>
          <w:rFonts w:ascii="Times New Roman" w:hAnsi="Times New Roman" w:cs="Times New Roman"/>
        </w:rPr>
      </w:pPr>
      <w:r w:rsidRPr="00D96C97">
        <w:rPr>
          <w:rStyle w:val="FootnoteReference"/>
          <w:rFonts w:ascii="Times New Roman" w:hAnsi="Times New Roman" w:cs="Times New Roman"/>
        </w:rPr>
        <w:footnoteRef/>
      </w:r>
      <w:r w:rsidRPr="00D96C97">
        <w:rPr>
          <w:rFonts w:ascii="Times New Roman" w:hAnsi="Times New Roman" w:cs="Times New Roman"/>
        </w:rPr>
        <w:t xml:space="preserve"> </w:t>
      </w:r>
      <w:hyperlink r:id="rId5" w:history="1">
        <w:r w:rsidRPr="00D96C97">
          <w:rPr>
            <w:rStyle w:val="Hyperlink"/>
            <w:rFonts w:ascii="Times New Roman" w:hAnsi="Times New Roman" w:cs="Times New Roman"/>
            <w:color w:val="auto"/>
          </w:rPr>
          <w:t>http://www.theaustralian.com.au/business/financial-services/super-funds-losses-among-worst-in-world/news-story/6a151a41e76c7c97f6c91f179b7e60d6</w:t>
        </w:r>
      </w:hyperlink>
    </w:p>
    <w:p w:rsidR="007F433F" w:rsidRPr="006A7469" w:rsidRDefault="007F433F" w:rsidP="007F433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B554E"/>
    <w:multiLevelType w:val="multilevel"/>
    <w:tmpl w:val="9A229C4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6F83514"/>
    <w:multiLevelType w:val="hybridMultilevel"/>
    <w:tmpl w:val="5972F6F8"/>
    <w:lvl w:ilvl="0" w:tplc="48D6AD48">
      <w:start w:val="1"/>
      <w:numFmt w:val="decimal"/>
      <w:lvlText w:val="%1."/>
      <w:lvlJc w:val="left"/>
      <w:pPr>
        <w:ind w:left="717" w:hanging="360"/>
      </w:pPr>
      <w:rPr>
        <w:rFonts w:hint="default"/>
      </w:rPr>
    </w:lvl>
    <w:lvl w:ilvl="1" w:tplc="0C090019">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 w15:restartNumberingAfterBreak="0">
    <w:nsid w:val="62104E05"/>
    <w:multiLevelType w:val="multilevel"/>
    <w:tmpl w:val="CBC251D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3F"/>
    <w:rsid w:val="00607D52"/>
    <w:rsid w:val="007E2BAA"/>
    <w:rsid w:val="007F433F"/>
    <w:rsid w:val="00D03C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7BFA9-98CD-42F4-807C-78953BE4B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F4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433F"/>
    <w:rPr>
      <w:sz w:val="20"/>
      <w:szCs w:val="20"/>
    </w:rPr>
  </w:style>
  <w:style w:type="character" w:styleId="FootnoteReference">
    <w:name w:val="footnote reference"/>
    <w:uiPriority w:val="99"/>
    <w:unhideWhenUsed/>
    <w:rsid w:val="007F433F"/>
    <w:rPr>
      <w:vertAlign w:val="superscript"/>
    </w:rPr>
  </w:style>
  <w:style w:type="character" w:styleId="Hyperlink">
    <w:name w:val="Hyperlink"/>
    <w:basedOn w:val="DefaultParagraphFont"/>
    <w:uiPriority w:val="99"/>
    <w:unhideWhenUsed/>
    <w:rsid w:val="007F433F"/>
    <w:rPr>
      <w:color w:val="0563C1" w:themeColor="hyperlink"/>
      <w:u w:val="single"/>
    </w:rPr>
  </w:style>
  <w:style w:type="paragraph" w:styleId="ListParagraph">
    <w:name w:val="List Paragraph"/>
    <w:basedOn w:val="Normal"/>
    <w:uiPriority w:val="34"/>
    <w:qFormat/>
    <w:rsid w:val="007F433F"/>
    <w:pPr>
      <w:ind w:left="720"/>
      <w:contextualSpacing/>
    </w:pPr>
  </w:style>
  <w:style w:type="paragraph" w:styleId="BodyText">
    <w:name w:val="Body Text"/>
    <w:basedOn w:val="Normal"/>
    <w:link w:val="BodyTextChar"/>
    <w:uiPriority w:val="99"/>
    <w:unhideWhenUsed/>
    <w:rsid w:val="007F433F"/>
    <w:pPr>
      <w:spacing w:after="120"/>
    </w:pPr>
  </w:style>
  <w:style w:type="character" w:customStyle="1" w:styleId="BodyTextChar">
    <w:name w:val="Body Text Char"/>
    <w:basedOn w:val="DefaultParagraphFont"/>
    <w:link w:val="BodyText"/>
    <w:uiPriority w:val="99"/>
    <w:rsid w:val="007F433F"/>
  </w:style>
  <w:style w:type="character" w:styleId="CommentReference">
    <w:name w:val="annotation reference"/>
    <w:basedOn w:val="DefaultParagraphFont"/>
    <w:uiPriority w:val="99"/>
    <w:semiHidden/>
    <w:unhideWhenUsed/>
    <w:rsid w:val="007F433F"/>
    <w:rPr>
      <w:sz w:val="16"/>
      <w:szCs w:val="16"/>
    </w:rPr>
  </w:style>
  <w:style w:type="paragraph" w:styleId="CommentText">
    <w:name w:val="annotation text"/>
    <w:basedOn w:val="Normal"/>
    <w:link w:val="CommentTextChar"/>
    <w:uiPriority w:val="99"/>
    <w:unhideWhenUsed/>
    <w:rsid w:val="007F433F"/>
    <w:pPr>
      <w:spacing w:line="240" w:lineRule="auto"/>
    </w:pPr>
    <w:rPr>
      <w:sz w:val="20"/>
      <w:szCs w:val="20"/>
    </w:rPr>
  </w:style>
  <w:style w:type="character" w:customStyle="1" w:styleId="CommentTextChar">
    <w:name w:val="Comment Text Char"/>
    <w:basedOn w:val="DefaultParagraphFont"/>
    <w:link w:val="CommentText"/>
    <w:uiPriority w:val="99"/>
    <w:rsid w:val="007F433F"/>
    <w:rPr>
      <w:sz w:val="20"/>
      <w:szCs w:val="20"/>
    </w:rPr>
  </w:style>
  <w:style w:type="paragraph" w:styleId="CommentSubject">
    <w:name w:val="annotation subject"/>
    <w:basedOn w:val="CommentText"/>
    <w:next w:val="CommentText"/>
    <w:link w:val="CommentSubjectChar"/>
    <w:uiPriority w:val="99"/>
    <w:semiHidden/>
    <w:unhideWhenUsed/>
    <w:rsid w:val="007F433F"/>
    <w:rPr>
      <w:b/>
      <w:bCs/>
    </w:rPr>
  </w:style>
  <w:style w:type="character" w:customStyle="1" w:styleId="CommentSubjectChar">
    <w:name w:val="Comment Subject Char"/>
    <w:basedOn w:val="CommentTextChar"/>
    <w:link w:val="CommentSubject"/>
    <w:uiPriority w:val="99"/>
    <w:semiHidden/>
    <w:rsid w:val="007F433F"/>
    <w:rPr>
      <w:b/>
      <w:bCs/>
      <w:sz w:val="20"/>
      <w:szCs w:val="20"/>
    </w:rPr>
  </w:style>
  <w:style w:type="paragraph" w:styleId="BalloonText">
    <w:name w:val="Balloon Text"/>
    <w:basedOn w:val="Normal"/>
    <w:link w:val="BalloonTextChar"/>
    <w:uiPriority w:val="99"/>
    <w:semiHidden/>
    <w:unhideWhenUsed/>
    <w:rsid w:val="007F4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33F"/>
    <w:rPr>
      <w:rFonts w:ascii="Segoe UI" w:hAnsi="Segoe UI" w:cs="Segoe UI"/>
      <w:sz w:val="18"/>
      <w:szCs w:val="18"/>
    </w:rPr>
  </w:style>
  <w:style w:type="character" w:customStyle="1" w:styleId="articlesmainbody1">
    <w:name w:val="articles_mainbody1"/>
    <w:rsid w:val="007F433F"/>
    <w:rPr>
      <w:rFonts w:ascii="Arial" w:hAnsi="Arial" w:cs="Arial" w:hint="default"/>
      <w:i w:val="0"/>
      <w:iCs w:val="0"/>
      <w:sz w:val="20"/>
      <w:szCs w:val="20"/>
    </w:rPr>
  </w:style>
  <w:style w:type="paragraph" w:styleId="Header">
    <w:name w:val="header"/>
    <w:basedOn w:val="Normal"/>
    <w:link w:val="HeaderChar"/>
    <w:uiPriority w:val="99"/>
    <w:unhideWhenUsed/>
    <w:rsid w:val="007F4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33F"/>
  </w:style>
  <w:style w:type="paragraph" w:styleId="Footer">
    <w:name w:val="footer"/>
    <w:basedOn w:val="Normal"/>
    <w:link w:val="FooterChar"/>
    <w:uiPriority w:val="99"/>
    <w:unhideWhenUsed/>
    <w:rsid w:val="007F4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33F"/>
  </w:style>
  <w:style w:type="paragraph" w:styleId="Revision">
    <w:name w:val="Revision"/>
    <w:hidden/>
    <w:uiPriority w:val="99"/>
    <w:semiHidden/>
    <w:rsid w:val="007F433F"/>
    <w:pPr>
      <w:spacing w:after="0" w:line="240" w:lineRule="auto"/>
    </w:pPr>
  </w:style>
  <w:style w:type="character" w:styleId="PlaceholderText">
    <w:name w:val="Placeholder Text"/>
    <w:basedOn w:val="DefaultParagraphFont"/>
    <w:uiPriority w:val="99"/>
    <w:semiHidden/>
    <w:rsid w:val="007F43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ry.web.unsw.edu.au/files/Growoldjppm.pdf" TargetMode="External"/><Relationship Id="rId3" Type="http://schemas.openxmlformats.org/officeDocument/2006/relationships/settings" Target="settings.xml"/><Relationship Id="rId7" Type="http://schemas.openxmlformats.org/officeDocument/2006/relationships/hyperlink" Target="https://www.moneysmart.gov.au/superannuation-and-retirement/how-super-works/super-investment-op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anstar.com.au/managed-funds/types-of-managed-funds-and-how-they-perform-long-term/" TargetMode="External"/><Relationship Id="rId2" Type="http://schemas.openxmlformats.org/officeDocument/2006/relationships/hyperlink" Target="https://www.superguide.com.au/comparing-super-funds/superannuation-investment-difference-balanced-growth-option" TargetMode="External"/><Relationship Id="rId1" Type="http://schemas.openxmlformats.org/officeDocument/2006/relationships/hyperlink" Target="http://www.afr.com/personal-finance/superannuation-and-smsfs/super-funds-accused-of-masking-portfolio-risks-20180105-h0dyxp" TargetMode="External"/><Relationship Id="rId5" Type="http://schemas.openxmlformats.org/officeDocument/2006/relationships/hyperlink" Target="http://www.theaustralian.com.au/business/financial-services/super-funds-losses-among-worst-in-world/news-story/6a151a41e76c7c97f6c91f179b7e60d6" TargetMode="External"/><Relationship Id="rId4" Type="http://schemas.openxmlformats.org/officeDocument/2006/relationships/hyperlink" Target="https://www.moneysmart.gov.au/superannuation-and-retirement/how-super-works/super-investment-o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10245</Words>
  <Characters>58403</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Banita Bissoondoyal-Bheenick</dc:creator>
  <cp:keywords/>
  <dc:description/>
  <cp:lastModifiedBy>Banita Bissoondoyal-Bheenick</cp:lastModifiedBy>
  <cp:revision>3</cp:revision>
  <dcterms:created xsi:type="dcterms:W3CDTF">2018-11-08T22:23:00Z</dcterms:created>
  <dcterms:modified xsi:type="dcterms:W3CDTF">2018-11-08T22:31:00Z</dcterms:modified>
</cp:coreProperties>
</file>