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6DA9" w14:textId="77777777" w:rsidR="00AC3708" w:rsidRPr="000F4D18" w:rsidRDefault="00AC3708" w:rsidP="00CA30E3">
      <w:pPr>
        <w:spacing w:line="240" w:lineRule="auto"/>
        <w:ind w:left="720" w:hanging="720"/>
        <w:jc w:val="center"/>
        <w:rPr>
          <w:rFonts w:ascii="Century Schoolbook" w:hAnsi="Century Schoolbook" w:cs="Times New Roman"/>
          <w:b/>
          <w:sz w:val="24"/>
          <w:szCs w:val="20"/>
        </w:rPr>
      </w:pPr>
      <w:r w:rsidRPr="000F4D18">
        <w:rPr>
          <w:rFonts w:ascii="Century Schoolbook" w:hAnsi="Century Schoolbook" w:cs="Times New Roman"/>
          <w:b/>
          <w:sz w:val="24"/>
          <w:szCs w:val="20"/>
        </w:rPr>
        <w:t>Speed and Expertise in Stock Picking:  Older, Slower, and Wiser?</w:t>
      </w:r>
    </w:p>
    <w:p w14:paraId="6015BEBD" w14:textId="77777777" w:rsidR="00AC3708" w:rsidRPr="000F4D18" w:rsidRDefault="00AC3708" w:rsidP="00AC3708">
      <w:pPr>
        <w:pStyle w:val="Default"/>
        <w:jc w:val="center"/>
        <w:rPr>
          <w:rFonts w:ascii="Century Schoolbook" w:hAnsi="Century Schoolbook" w:cs="Times New Roman"/>
          <w:b/>
          <w:sz w:val="20"/>
          <w:szCs w:val="20"/>
        </w:rPr>
      </w:pPr>
    </w:p>
    <w:p w14:paraId="3D434A67" w14:textId="77777777" w:rsidR="00AC3708" w:rsidRPr="000F4D18" w:rsidRDefault="00AC3708" w:rsidP="00AC3708">
      <w:pPr>
        <w:rPr>
          <w:rFonts w:ascii="Century Schoolbook" w:hAnsi="Century Schoolbook" w:cs="Times New Roman"/>
          <w:sz w:val="20"/>
          <w:szCs w:val="20"/>
        </w:rPr>
      </w:pPr>
    </w:p>
    <w:p w14:paraId="598A20EA" w14:textId="77777777" w:rsidR="00AC3708" w:rsidRPr="000F4D18" w:rsidRDefault="00AC3708" w:rsidP="00AC3708">
      <w:pPr>
        <w:rPr>
          <w:rFonts w:ascii="Century Schoolbook" w:hAnsi="Century Schoolbook" w:cs="Times New Roman"/>
          <w:sz w:val="20"/>
          <w:szCs w:val="20"/>
        </w:rPr>
      </w:pPr>
    </w:p>
    <w:p w14:paraId="231DA67F" w14:textId="77777777" w:rsidR="00AC3708" w:rsidRPr="004722C5" w:rsidRDefault="00AC3708" w:rsidP="00AC3708">
      <w:pPr>
        <w:jc w:val="center"/>
        <w:rPr>
          <w:rFonts w:ascii="Century Schoolbook" w:hAnsi="Century Schoolbook" w:cs="Times New Roman"/>
          <w:sz w:val="24"/>
          <w:szCs w:val="20"/>
        </w:rPr>
      </w:pPr>
      <w:proofErr w:type="spellStart"/>
      <w:r w:rsidRPr="004722C5">
        <w:rPr>
          <w:rFonts w:ascii="Century Schoolbook" w:hAnsi="Century Schoolbook" w:cs="Times New Roman"/>
          <w:sz w:val="24"/>
          <w:szCs w:val="20"/>
        </w:rPr>
        <w:t>Romain</w:t>
      </w:r>
      <w:proofErr w:type="spellEnd"/>
      <w:r w:rsidRPr="004722C5">
        <w:rPr>
          <w:rFonts w:ascii="Century Schoolbook" w:hAnsi="Century Schoolbook" w:cs="Times New Roman"/>
          <w:sz w:val="24"/>
          <w:szCs w:val="20"/>
        </w:rPr>
        <w:t xml:space="preserve"> </w:t>
      </w:r>
      <w:proofErr w:type="spellStart"/>
      <w:r w:rsidRPr="004722C5">
        <w:rPr>
          <w:rFonts w:ascii="Century Schoolbook" w:hAnsi="Century Schoolbook" w:cs="Times New Roman"/>
          <w:sz w:val="24"/>
          <w:szCs w:val="20"/>
        </w:rPr>
        <w:t>Boulland</w:t>
      </w:r>
      <w:proofErr w:type="spellEnd"/>
    </w:p>
    <w:p w14:paraId="438928C8" w14:textId="77777777" w:rsidR="00AC3708" w:rsidRPr="004722C5" w:rsidRDefault="00AC3708" w:rsidP="00AC3708">
      <w:pPr>
        <w:jc w:val="center"/>
        <w:rPr>
          <w:rFonts w:ascii="Century Schoolbook" w:hAnsi="Century Schoolbook" w:cs="Times New Roman"/>
          <w:sz w:val="24"/>
          <w:szCs w:val="20"/>
        </w:rPr>
      </w:pPr>
      <w:r w:rsidRPr="004722C5">
        <w:rPr>
          <w:rFonts w:ascii="Century Schoolbook" w:hAnsi="Century Schoolbook" w:cs="Times New Roman"/>
          <w:sz w:val="24"/>
          <w:szCs w:val="20"/>
        </w:rPr>
        <w:t>ESSEC Business School</w:t>
      </w:r>
    </w:p>
    <w:p w14:paraId="7FEE67E7" w14:textId="77777777" w:rsidR="00AC3708" w:rsidRPr="004722C5" w:rsidRDefault="00AC3708" w:rsidP="00AC3708">
      <w:pPr>
        <w:jc w:val="center"/>
        <w:rPr>
          <w:rFonts w:ascii="Century Schoolbook" w:hAnsi="Century Schoolbook" w:cs="Times New Roman"/>
          <w:sz w:val="24"/>
          <w:szCs w:val="20"/>
        </w:rPr>
      </w:pPr>
    </w:p>
    <w:p w14:paraId="781514A8" w14:textId="77777777" w:rsidR="00AC3708" w:rsidRPr="004722C5" w:rsidRDefault="00AC3708" w:rsidP="00AC3708">
      <w:pPr>
        <w:jc w:val="center"/>
        <w:rPr>
          <w:rFonts w:ascii="Century Schoolbook" w:hAnsi="Century Schoolbook" w:cs="Times New Roman"/>
          <w:sz w:val="24"/>
          <w:szCs w:val="20"/>
        </w:rPr>
      </w:pPr>
    </w:p>
    <w:p w14:paraId="5BC66817" w14:textId="77777777" w:rsidR="00AC3708" w:rsidRPr="004722C5" w:rsidRDefault="00AC3708" w:rsidP="00AC3708">
      <w:pPr>
        <w:jc w:val="center"/>
        <w:rPr>
          <w:rFonts w:ascii="Century Schoolbook" w:hAnsi="Century Schoolbook" w:cs="Times New Roman"/>
          <w:sz w:val="24"/>
          <w:szCs w:val="20"/>
        </w:rPr>
      </w:pPr>
      <w:r w:rsidRPr="004722C5">
        <w:rPr>
          <w:rFonts w:ascii="Century Schoolbook" w:hAnsi="Century Schoolbook" w:cs="Times New Roman"/>
          <w:sz w:val="24"/>
          <w:szCs w:val="20"/>
        </w:rPr>
        <w:t>Chay Ornthanalai</w:t>
      </w:r>
    </w:p>
    <w:p w14:paraId="65942C52" w14:textId="77777777" w:rsidR="00AC3708" w:rsidRPr="004722C5" w:rsidRDefault="00AC3708" w:rsidP="00AC3708">
      <w:pPr>
        <w:jc w:val="center"/>
        <w:rPr>
          <w:rFonts w:ascii="Century Schoolbook" w:hAnsi="Century Schoolbook" w:cs="Times New Roman"/>
          <w:sz w:val="24"/>
          <w:szCs w:val="20"/>
        </w:rPr>
      </w:pPr>
      <w:r w:rsidRPr="004722C5">
        <w:rPr>
          <w:rFonts w:ascii="Century Schoolbook" w:hAnsi="Century Schoolbook" w:cs="Times New Roman"/>
          <w:sz w:val="24"/>
          <w:szCs w:val="20"/>
        </w:rPr>
        <w:t>University of Toronto</w:t>
      </w:r>
    </w:p>
    <w:p w14:paraId="00752A32" w14:textId="77777777" w:rsidR="00AC3708" w:rsidRPr="004722C5" w:rsidRDefault="00AC3708" w:rsidP="00AC3708">
      <w:pPr>
        <w:jc w:val="center"/>
        <w:rPr>
          <w:rFonts w:ascii="Century Schoolbook" w:hAnsi="Century Schoolbook" w:cs="Times New Roman"/>
          <w:sz w:val="24"/>
          <w:szCs w:val="20"/>
        </w:rPr>
      </w:pPr>
    </w:p>
    <w:p w14:paraId="29E082ED" w14:textId="77777777" w:rsidR="00AC3708" w:rsidRPr="004722C5" w:rsidRDefault="00AC3708" w:rsidP="00AC3708">
      <w:pPr>
        <w:jc w:val="center"/>
        <w:rPr>
          <w:rFonts w:ascii="Century Schoolbook" w:hAnsi="Century Schoolbook" w:cs="Times New Roman"/>
          <w:sz w:val="24"/>
          <w:szCs w:val="20"/>
        </w:rPr>
      </w:pPr>
    </w:p>
    <w:p w14:paraId="250B91DF" w14:textId="77777777" w:rsidR="00AC3708" w:rsidRPr="004722C5" w:rsidRDefault="00AC3708" w:rsidP="00AC3708">
      <w:pPr>
        <w:jc w:val="center"/>
        <w:rPr>
          <w:rFonts w:ascii="Century Schoolbook" w:hAnsi="Century Schoolbook" w:cs="Times New Roman"/>
          <w:sz w:val="24"/>
          <w:szCs w:val="20"/>
        </w:rPr>
      </w:pPr>
      <w:r w:rsidRPr="004722C5">
        <w:rPr>
          <w:rFonts w:ascii="Century Schoolbook" w:hAnsi="Century Schoolbook" w:cs="Times New Roman"/>
          <w:sz w:val="24"/>
          <w:szCs w:val="20"/>
        </w:rPr>
        <w:t>Kent L. Womack</w:t>
      </w:r>
    </w:p>
    <w:p w14:paraId="47E7D9D6" w14:textId="77777777" w:rsidR="00AC3708" w:rsidRPr="004722C5" w:rsidRDefault="00AC3708" w:rsidP="00AC3708">
      <w:pPr>
        <w:jc w:val="center"/>
        <w:rPr>
          <w:rFonts w:ascii="Century Schoolbook" w:hAnsi="Century Schoolbook" w:cs="Times New Roman"/>
          <w:sz w:val="24"/>
          <w:szCs w:val="20"/>
        </w:rPr>
      </w:pPr>
      <w:r w:rsidRPr="004722C5">
        <w:rPr>
          <w:rFonts w:ascii="Century Schoolbook" w:hAnsi="Century Schoolbook" w:cs="Times New Roman"/>
          <w:sz w:val="24"/>
          <w:szCs w:val="20"/>
        </w:rPr>
        <w:t>University of Toronto</w:t>
      </w:r>
    </w:p>
    <w:p w14:paraId="20496BF0" w14:textId="77777777" w:rsidR="00AC3708" w:rsidRDefault="00AC3708" w:rsidP="00AC3708">
      <w:pPr>
        <w:spacing w:line="240" w:lineRule="auto"/>
        <w:jc w:val="both"/>
        <w:rPr>
          <w:rFonts w:ascii="Century Schoolbook" w:hAnsi="Century Schoolbook" w:cs="Times New Roman"/>
          <w:sz w:val="20"/>
          <w:szCs w:val="20"/>
        </w:rPr>
      </w:pPr>
    </w:p>
    <w:p w14:paraId="2821A5B0" w14:textId="77777777" w:rsidR="008718DF" w:rsidRPr="000F4D18" w:rsidRDefault="008718DF" w:rsidP="00AC3708">
      <w:pPr>
        <w:spacing w:line="240" w:lineRule="auto"/>
        <w:jc w:val="both"/>
        <w:rPr>
          <w:rFonts w:ascii="Century Schoolbook" w:hAnsi="Century Schoolbook" w:cs="Times New Roman"/>
          <w:sz w:val="20"/>
          <w:szCs w:val="20"/>
        </w:rPr>
      </w:pPr>
    </w:p>
    <w:p w14:paraId="6971C958" w14:textId="35CE1739" w:rsidR="00AC3708" w:rsidRDefault="00AC3708" w:rsidP="00AC3708">
      <w:pPr>
        <w:spacing w:line="240" w:lineRule="auto"/>
        <w:jc w:val="both"/>
        <w:rPr>
          <w:rFonts w:ascii="Century Schoolbook" w:hAnsi="Century Schoolbook" w:cs="Times New Roman"/>
          <w:sz w:val="20"/>
          <w:szCs w:val="20"/>
        </w:rPr>
      </w:pPr>
    </w:p>
    <w:p w14:paraId="3E5DBB0D" w14:textId="77777777" w:rsidR="00372BB0" w:rsidRDefault="00372BB0" w:rsidP="00AC3708">
      <w:pPr>
        <w:spacing w:line="240" w:lineRule="auto"/>
        <w:jc w:val="both"/>
        <w:rPr>
          <w:rFonts w:ascii="Century Schoolbook" w:hAnsi="Century Schoolbook" w:cs="Times New Roman"/>
          <w:sz w:val="20"/>
          <w:szCs w:val="20"/>
        </w:rPr>
      </w:pPr>
    </w:p>
    <w:p w14:paraId="17EBBC3F" w14:textId="066F2A98" w:rsidR="00AC3708" w:rsidRPr="00AC3708" w:rsidRDefault="00AC3708" w:rsidP="007F7672">
      <w:pPr>
        <w:pStyle w:val="PlainText"/>
        <w:jc w:val="both"/>
        <w:rPr>
          <w:rFonts w:ascii="Century Schoolbook" w:hAnsi="Century Schoolbook" w:cs="Times New Roman"/>
          <w:sz w:val="20"/>
          <w:szCs w:val="20"/>
        </w:rPr>
      </w:pPr>
      <w:r w:rsidRPr="00AC3708">
        <w:rPr>
          <w:rFonts w:ascii="Century Schoolbook" w:hAnsi="Century Schoolbook" w:cs="Times New Roman"/>
          <w:sz w:val="20"/>
          <w:szCs w:val="20"/>
        </w:rPr>
        <w:t xml:space="preserve">For helpful comments, we thank Daniel Bradley, Jonathan Clarke, Lily Fang, Jose </w:t>
      </w:r>
      <w:proofErr w:type="spellStart"/>
      <w:r w:rsidRPr="00AC3708">
        <w:rPr>
          <w:rFonts w:ascii="Century Schoolbook" w:hAnsi="Century Schoolbook" w:cs="Times New Roman"/>
          <w:sz w:val="20"/>
          <w:szCs w:val="20"/>
        </w:rPr>
        <w:t>Guedes</w:t>
      </w:r>
      <w:proofErr w:type="spellEnd"/>
      <w:r w:rsidRPr="00AC3708">
        <w:rPr>
          <w:rFonts w:ascii="Century Schoolbook" w:hAnsi="Century Schoolbook" w:cs="Times New Roman"/>
          <w:sz w:val="20"/>
          <w:szCs w:val="20"/>
        </w:rPr>
        <w:t xml:space="preserve">, </w:t>
      </w:r>
      <w:proofErr w:type="spellStart"/>
      <w:r w:rsidRPr="00AC3708">
        <w:rPr>
          <w:rFonts w:ascii="Century Schoolbook" w:hAnsi="Century Schoolbook" w:cs="Times New Roman"/>
          <w:sz w:val="20"/>
          <w:szCs w:val="20"/>
        </w:rPr>
        <w:t>Heiko</w:t>
      </w:r>
      <w:proofErr w:type="spellEnd"/>
      <w:r w:rsidRPr="00AC3708">
        <w:rPr>
          <w:rFonts w:ascii="Century Schoolbook" w:hAnsi="Century Schoolbook" w:cs="Times New Roman"/>
          <w:sz w:val="20"/>
          <w:szCs w:val="20"/>
        </w:rPr>
        <w:t xml:space="preserve"> Jacobs, Jennifer Jordan, </w:t>
      </w:r>
      <w:proofErr w:type="spellStart"/>
      <w:r w:rsidRPr="00AC3708">
        <w:rPr>
          <w:rFonts w:ascii="Century Schoolbook" w:hAnsi="Century Schoolbook" w:cs="Times New Roman"/>
          <w:sz w:val="20"/>
          <w:szCs w:val="20"/>
        </w:rPr>
        <w:t>Ohad</w:t>
      </w:r>
      <w:proofErr w:type="spellEnd"/>
      <w:r w:rsidRPr="00AC3708">
        <w:rPr>
          <w:rFonts w:ascii="Century Schoolbook" w:hAnsi="Century Schoolbook" w:cs="Times New Roman"/>
          <w:sz w:val="20"/>
          <w:szCs w:val="20"/>
        </w:rPr>
        <w:t xml:space="preserve"> </w:t>
      </w:r>
      <w:proofErr w:type="spellStart"/>
      <w:r w:rsidRPr="00AC3708">
        <w:rPr>
          <w:rFonts w:ascii="Century Schoolbook" w:hAnsi="Century Schoolbook" w:cs="Times New Roman"/>
          <w:sz w:val="20"/>
          <w:szCs w:val="20"/>
        </w:rPr>
        <w:t>Kadan</w:t>
      </w:r>
      <w:proofErr w:type="spellEnd"/>
      <w:r w:rsidRPr="00AC3708">
        <w:rPr>
          <w:rFonts w:ascii="Century Schoolbook" w:hAnsi="Century Schoolbook" w:cs="Times New Roman"/>
          <w:sz w:val="20"/>
          <w:szCs w:val="20"/>
        </w:rPr>
        <w:t xml:space="preserve">, Stefan </w:t>
      </w:r>
      <w:proofErr w:type="spellStart"/>
      <w:r w:rsidRPr="00AC3708">
        <w:rPr>
          <w:rFonts w:ascii="Century Schoolbook" w:hAnsi="Century Schoolbook" w:cs="Times New Roman"/>
          <w:sz w:val="20"/>
          <w:szCs w:val="20"/>
        </w:rPr>
        <w:t>Lewellen</w:t>
      </w:r>
      <w:proofErr w:type="spellEnd"/>
      <w:r w:rsidRPr="00AC3708">
        <w:rPr>
          <w:rFonts w:ascii="Century Schoolbook" w:hAnsi="Century Schoolbook" w:cs="Times New Roman"/>
          <w:sz w:val="20"/>
          <w:szCs w:val="20"/>
        </w:rPr>
        <w:t xml:space="preserve">, Roger </w:t>
      </w:r>
      <w:proofErr w:type="spellStart"/>
      <w:r w:rsidRPr="00AC3708">
        <w:rPr>
          <w:rFonts w:ascii="Century Schoolbook" w:hAnsi="Century Schoolbook" w:cs="Times New Roman"/>
          <w:sz w:val="20"/>
          <w:szCs w:val="20"/>
        </w:rPr>
        <w:t>Loh</w:t>
      </w:r>
      <w:proofErr w:type="spellEnd"/>
      <w:r w:rsidRPr="00AC3708">
        <w:rPr>
          <w:rFonts w:ascii="Century Schoolbook" w:hAnsi="Century Schoolbook" w:cs="Times New Roman"/>
          <w:sz w:val="20"/>
          <w:szCs w:val="20"/>
        </w:rPr>
        <w:t xml:space="preserve">, Jay Ritter, Maria </w:t>
      </w:r>
      <w:proofErr w:type="spellStart"/>
      <w:r w:rsidRPr="00AC3708">
        <w:rPr>
          <w:rFonts w:ascii="Century Schoolbook" w:hAnsi="Century Schoolbook" w:cs="Times New Roman"/>
          <w:sz w:val="20"/>
          <w:szCs w:val="20"/>
        </w:rPr>
        <w:t>Rotundo</w:t>
      </w:r>
      <w:proofErr w:type="spellEnd"/>
      <w:r w:rsidRPr="00AC3708">
        <w:rPr>
          <w:rFonts w:ascii="Century Schoolbook" w:hAnsi="Century Schoolbook" w:cs="Times New Roman"/>
          <w:sz w:val="20"/>
          <w:szCs w:val="20"/>
        </w:rPr>
        <w:t xml:space="preserve">, Richard </w:t>
      </w:r>
      <w:proofErr w:type="spellStart"/>
      <w:r w:rsidRPr="00AC3708">
        <w:rPr>
          <w:rFonts w:ascii="Century Schoolbook" w:hAnsi="Century Schoolbook" w:cs="Times New Roman"/>
          <w:sz w:val="20"/>
          <w:szCs w:val="20"/>
        </w:rPr>
        <w:t>Thaler</w:t>
      </w:r>
      <w:proofErr w:type="spellEnd"/>
      <w:r w:rsidRPr="00AC3708">
        <w:rPr>
          <w:rFonts w:ascii="Century Schoolbook" w:hAnsi="Century Schoolbook" w:cs="Times New Roman"/>
          <w:sz w:val="20"/>
          <w:szCs w:val="20"/>
        </w:rPr>
        <w:t xml:space="preserve">, David </w:t>
      </w:r>
      <w:proofErr w:type="spellStart"/>
      <w:r w:rsidRPr="00AC3708">
        <w:rPr>
          <w:rFonts w:ascii="Century Schoolbook" w:hAnsi="Century Schoolbook" w:cs="Times New Roman"/>
          <w:sz w:val="20"/>
          <w:szCs w:val="20"/>
        </w:rPr>
        <w:t>Veenman</w:t>
      </w:r>
      <w:proofErr w:type="spellEnd"/>
      <w:r w:rsidRPr="00AC3708">
        <w:rPr>
          <w:rFonts w:ascii="Century Schoolbook" w:hAnsi="Century Schoolbook" w:cs="Times New Roman"/>
          <w:sz w:val="20"/>
          <w:szCs w:val="20"/>
        </w:rPr>
        <w:t xml:space="preserve">, and Frank Zhang. We especially thank </w:t>
      </w:r>
      <w:proofErr w:type="spellStart"/>
      <w:r w:rsidRPr="00AC3708">
        <w:rPr>
          <w:rFonts w:ascii="Century Schoolbook" w:hAnsi="Century Schoolbook" w:cs="Times New Roman"/>
          <w:sz w:val="20"/>
          <w:szCs w:val="20"/>
        </w:rPr>
        <w:t>Alok</w:t>
      </w:r>
      <w:proofErr w:type="spellEnd"/>
      <w:r w:rsidRPr="00AC3708">
        <w:rPr>
          <w:rFonts w:ascii="Century Schoolbook" w:hAnsi="Century Schoolbook" w:cs="Times New Roman"/>
          <w:sz w:val="20"/>
          <w:szCs w:val="20"/>
        </w:rPr>
        <w:t xml:space="preserve"> Kumar and Kelvin Law for providing us with data on analysts’ gender, and thank Lily Fang and Ayako Yasuda for providing us with </w:t>
      </w:r>
      <w:r w:rsidRPr="00AC3708">
        <w:rPr>
          <w:rFonts w:ascii="Century Schoolbook" w:hAnsi="Century Schoolbook" w:cs="Times New Roman"/>
          <w:i/>
          <w:sz w:val="20"/>
          <w:szCs w:val="20"/>
        </w:rPr>
        <w:t>Institutional Investor’</w:t>
      </w:r>
      <w:r w:rsidRPr="00AC3708">
        <w:rPr>
          <w:rFonts w:ascii="Century Schoolbook" w:hAnsi="Century Schoolbook" w:cs="Times New Roman"/>
          <w:sz w:val="20"/>
          <w:szCs w:val="20"/>
        </w:rPr>
        <w:t xml:space="preserve">s all-star analyst data. This paper has benefited from comments by conference and seminar participants at </w:t>
      </w:r>
      <w:r w:rsidR="00BC3F33">
        <w:rPr>
          <w:rFonts w:ascii="Century Schoolbook" w:hAnsi="Century Schoolbook" w:cs="Times New Roman"/>
          <w:sz w:val="20"/>
          <w:szCs w:val="20"/>
        </w:rPr>
        <w:t xml:space="preserve">AFA 2017, </w:t>
      </w:r>
      <w:r w:rsidRPr="00AC3708">
        <w:rPr>
          <w:rFonts w:ascii="Century Schoolbook" w:hAnsi="Century Schoolbook" w:cs="Times New Roman"/>
          <w:sz w:val="20"/>
          <w:szCs w:val="20"/>
        </w:rPr>
        <w:t>EFA 2015, ESSEC, MIT-Asia 2015, NFA 2015, FMA 2015, NTU, HKUST, Singapore Management University, University Paris-Dauphine, University of Alberta, University of Arizona, University of Oklahoma, and University of Flor</w:t>
      </w:r>
      <w:r w:rsidR="003907A6">
        <w:rPr>
          <w:rFonts w:ascii="Century Schoolbook" w:hAnsi="Century Schoolbook" w:cs="Times New Roman"/>
          <w:sz w:val="20"/>
          <w:szCs w:val="20"/>
        </w:rPr>
        <w:t xml:space="preserve">ida. </w:t>
      </w:r>
      <w:proofErr w:type="spellStart"/>
      <w:r w:rsidR="003907A6">
        <w:rPr>
          <w:rFonts w:ascii="Century Schoolbook" w:hAnsi="Century Schoolbook" w:cs="Times New Roman"/>
          <w:sz w:val="20"/>
          <w:szCs w:val="20"/>
        </w:rPr>
        <w:t>Romain</w:t>
      </w:r>
      <w:proofErr w:type="spellEnd"/>
      <w:r w:rsidR="003907A6">
        <w:rPr>
          <w:rFonts w:ascii="Century Schoolbook" w:hAnsi="Century Schoolbook" w:cs="Times New Roman"/>
          <w:sz w:val="20"/>
          <w:szCs w:val="20"/>
        </w:rPr>
        <w:t xml:space="preserve"> </w:t>
      </w:r>
      <w:proofErr w:type="spellStart"/>
      <w:r w:rsidR="003907A6">
        <w:rPr>
          <w:rFonts w:ascii="Century Schoolbook" w:hAnsi="Century Schoolbook" w:cs="Times New Roman"/>
          <w:sz w:val="20"/>
          <w:szCs w:val="20"/>
        </w:rPr>
        <w:t>Boulland</w:t>
      </w:r>
      <w:proofErr w:type="spellEnd"/>
      <w:r w:rsidR="003907A6">
        <w:rPr>
          <w:rFonts w:ascii="Century Schoolbook" w:hAnsi="Century Schoolbook" w:cs="Times New Roman"/>
          <w:sz w:val="20"/>
          <w:szCs w:val="20"/>
        </w:rPr>
        <w:t xml:space="preserve"> is at ESSEC</w:t>
      </w:r>
      <w:r w:rsidRPr="00AC3708">
        <w:rPr>
          <w:rFonts w:ascii="Century Schoolbook" w:hAnsi="Century Schoolbook" w:cs="Times New Roman"/>
          <w:sz w:val="20"/>
          <w:szCs w:val="20"/>
        </w:rPr>
        <w:t xml:space="preserve"> Business School. Chay Ornthanalai is at the Rotman School of Management, University of Toronto. Kent Womack was affiliated with the Rotman School of Management, University of Toronto. </w:t>
      </w:r>
      <w:r w:rsidR="004C7B65">
        <w:rPr>
          <w:rFonts w:ascii="Century Schoolbook" w:hAnsi="Century Schoolbook" w:cs="Times New Roman"/>
          <w:sz w:val="20"/>
          <w:szCs w:val="20"/>
        </w:rPr>
        <w:t xml:space="preserve">We thank </w:t>
      </w:r>
      <w:r w:rsidR="008D1C99" w:rsidRPr="004C7B65">
        <w:rPr>
          <w:rFonts w:ascii="Century Schoolbook" w:hAnsi="Century Schoolbook"/>
          <w:sz w:val="20"/>
          <w:szCs w:val="20"/>
        </w:rPr>
        <w:t xml:space="preserve">Valerie Zhang, </w:t>
      </w:r>
      <w:proofErr w:type="spellStart"/>
      <w:r w:rsidR="008D1C99" w:rsidRPr="004C7B65">
        <w:rPr>
          <w:rFonts w:ascii="Century Schoolbook" w:hAnsi="Century Schoolbook"/>
          <w:sz w:val="20"/>
          <w:szCs w:val="20"/>
        </w:rPr>
        <w:t>Ching</w:t>
      </w:r>
      <w:proofErr w:type="spellEnd"/>
      <w:r w:rsidR="008D1C99" w:rsidRPr="004C7B65">
        <w:rPr>
          <w:rFonts w:ascii="Century Schoolbook" w:hAnsi="Century Schoolbook"/>
          <w:sz w:val="20"/>
          <w:szCs w:val="20"/>
        </w:rPr>
        <w:t xml:space="preserve"> </w:t>
      </w:r>
      <w:proofErr w:type="spellStart"/>
      <w:r w:rsidR="008D1C99" w:rsidRPr="004C7B65">
        <w:rPr>
          <w:rFonts w:ascii="Century Schoolbook" w:hAnsi="Century Schoolbook"/>
          <w:sz w:val="20"/>
          <w:szCs w:val="20"/>
        </w:rPr>
        <w:t>Tse</w:t>
      </w:r>
      <w:proofErr w:type="spellEnd"/>
      <w:r w:rsidR="008D1C99" w:rsidRPr="004C7B65">
        <w:rPr>
          <w:rFonts w:ascii="Century Schoolbook" w:hAnsi="Century Schoolbook"/>
          <w:sz w:val="20"/>
          <w:szCs w:val="20"/>
        </w:rPr>
        <w:t xml:space="preserve"> Chen, </w:t>
      </w:r>
      <w:proofErr w:type="spellStart"/>
      <w:r w:rsidR="008D1C99" w:rsidRPr="004C7B65">
        <w:rPr>
          <w:rFonts w:ascii="Century Schoolbook" w:hAnsi="Century Schoolbook"/>
          <w:sz w:val="20"/>
          <w:szCs w:val="20"/>
        </w:rPr>
        <w:t>Talha</w:t>
      </w:r>
      <w:proofErr w:type="spellEnd"/>
      <w:r w:rsidR="004C7B65" w:rsidRPr="004C7B65">
        <w:rPr>
          <w:rFonts w:ascii="Century Schoolbook" w:hAnsi="Century Schoolbook"/>
          <w:sz w:val="20"/>
          <w:szCs w:val="20"/>
        </w:rPr>
        <w:t xml:space="preserve"> </w:t>
      </w:r>
      <w:proofErr w:type="spellStart"/>
      <w:r w:rsidR="004C7B65" w:rsidRPr="004C7B65">
        <w:rPr>
          <w:rFonts w:ascii="Century Schoolbook" w:hAnsi="Century Schoolbook"/>
          <w:sz w:val="20"/>
          <w:szCs w:val="20"/>
        </w:rPr>
        <w:t>Irshad</w:t>
      </w:r>
      <w:proofErr w:type="spellEnd"/>
      <w:r w:rsidR="004C7B65" w:rsidRPr="004C7B65">
        <w:rPr>
          <w:rFonts w:ascii="Century Schoolbook" w:hAnsi="Century Schoolbook"/>
          <w:sz w:val="20"/>
          <w:szCs w:val="20"/>
        </w:rPr>
        <w:t>, and Yang (Karl) Qu</w:t>
      </w:r>
      <w:r w:rsidR="004C7B65">
        <w:rPr>
          <w:rFonts w:ascii="Century Schoolbook" w:hAnsi="Century Schoolbook"/>
          <w:sz w:val="20"/>
          <w:szCs w:val="20"/>
        </w:rPr>
        <w:t xml:space="preserve"> for their</w:t>
      </w:r>
      <w:r w:rsidR="008D1C99" w:rsidRPr="004C7B65">
        <w:rPr>
          <w:rFonts w:ascii="Century Schoolbook" w:hAnsi="Century Schoolbook"/>
          <w:sz w:val="20"/>
          <w:szCs w:val="20"/>
        </w:rPr>
        <w:t xml:space="preserve"> excellent research assistance</w:t>
      </w:r>
      <w:r w:rsidR="007F7672" w:rsidRPr="004C7B65">
        <w:rPr>
          <w:rFonts w:ascii="Century Schoolbook" w:hAnsi="Century Schoolbook"/>
          <w:sz w:val="20"/>
          <w:szCs w:val="20"/>
        </w:rPr>
        <w:t xml:space="preserve"> on this paper</w:t>
      </w:r>
      <w:r w:rsidR="008D1C99" w:rsidRPr="004C7B65">
        <w:rPr>
          <w:rFonts w:ascii="Century Schoolbook" w:hAnsi="Century Schoolbook"/>
          <w:sz w:val="20"/>
          <w:szCs w:val="20"/>
        </w:rPr>
        <w:t xml:space="preserve">. </w:t>
      </w:r>
      <w:r w:rsidR="00CF6B5F">
        <w:rPr>
          <w:rFonts w:ascii="Century Schoolbook" w:hAnsi="Century Schoolbook"/>
          <w:sz w:val="20"/>
          <w:szCs w:val="20"/>
        </w:rPr>
        <w:t xml:space="preserve">Ornthanalai </w:t>
      </w:r>
      <w:r w:rsidR="00372BB0">
        <w:rPr>
          <w:rFonts w:ascii="Century Schoolbook" w:hAnsi="Century Schoolbook"/>
          <w:sz w:val="20"/>
          <w:szCs w:val="20"/>
        </w:rPr>
        <w:t>gratefully acknowledge</w:t>
      </w:r>
      <w:r w:rsidR="00CF6B5F">
        <w:rPr>
          <w:rFonts w:ascii="Century Schoolbook" w:hAnsi="Century Schoolbook"/>
          <w:sz w:val="20"/>
          <w:szCs w:val="20"/>
        </w:rPr>
        <w:t>s</w:t>
      </w:r>
      <w:r w:rsidR="00372BB0">
        <w:rPr>
          <w:rFonts w:ascii="Century Schoolbook" w:hAnsi="Century Schoolbook"/>
          <w:sz w:val="20"/>
          <w:szCs w:val="20"/>
        </w:rPr>
        <w:t xml:space="preserve"> financial support from the Social Science and Humanities Research Council (SSHRC). </w:t>
      </w:r>
      <w:r w:rsidRPr="00AC3708">
        <w:rPr>
          <w:rFonts w:ascii="Century Schoolbook" w:hAnsi="Century Schoolbook" w:cs="Times New Roman"/>
          <w:sz w:val="20"/>
          <w:szCs w:val="20"/>
        </w:rPr>
        <w:t xml:space="preserve">Please send correspondence to Chay Ornthanalai at 105 St. George Street, Toronto, ON, M5S 3E6, Canada; </w:t>
      </w:r>
      <w:hyperlink r:id="rId8" w:history="1">
        <w:r w:rsidRPr="00AC3708">
          <w:rPr>
            <w:rStyle w:val="Hyperlink"/>
            <w:rFonts w:ascii="Century Schoolbook" w:hAnsi="Century Schoolbook" w:cs="Times New Roman"/>
            <w:sz w:val="20"/>
            <w:szCs w:val="20"/>
          </w:rPr>
          <w:t>chay.ornthanalai@rotman.utoronto.ca</w:t>
        </w:r>
      </w:hyperlink>
      <w:r w:rsidRPr="00AC3708">
        <w:rPr>
          <w:rFonts w:ascii="Century Schoolbook" w:hAnsi="Century Schoolbook" w:cs="Times New Roman"/>
          <w:sz w:val="20"/>
          <w:szCs w:val="20"/>
        </w:rPr>
        <w:t xml:space="preserve">. We are responsible for all inadequacies.  </w:t>
      </w:r>
    </w:p>
    <w:p w14:paraId="49A1874A" w14:textId="77777777" w:rsidR="00AC3708" w:rsidRPr="00DB2794" w:rsidRDefault="00AC3708" w:rsidP="00AC3708">
      <w:pPr>
        <w:spacing w:line="240" w:lineRule="auto"/>
        <w:jc w:val="center"/>
        <w:rPr>
          <w:rFonts w:ascii="Century Schoolbook" w:hAnsi="Century Schoolbook" w:cs="Times New Roman"/>
          <w:b/>
          <w:sz w:val="26"/>
          <w:szCs w:val="26"/>
        </w:rPr>
      </w:pPr>
      <w:r w:rsidRPr="00DB2794">
        <w:rPr>
          <w:rFonts w:ascii="Century Schoolbook" w:hAnsi="Century Schoolbook" w:cs="Times New Roman"/>
          <w:sz w:val="20"/>
          <w:szCs w:val="20"/>
        </w:rPr>
        <w:br w:type="page"/>
      </w:r>
      <w:r w:rsidRPr="00DB2794">
        <w:rPr>
          <w:rFonts w:ascii="Century Schoolbook" w:hAnsi="Century Schoolbook" w:cs="Times New Roman"/>
          <w:b/>
          <w:sz w:val="24"/>
          <w:szCs w:val="26"/>
        </w:rPr>
        <w:lastRenderedPageBreak/>
        <w:t>Speed and Expertise in Stock Picking:  Older, Slower, and Wiser?</w:t>
      </w:r>
    </w:p>
    <w:p w14:paraId="54D009E2" w14:textId="77777777" w:rsidR="00AC3708" w:rsidRPr="00DB2794" w:rsidRDefault="00AC3708" w:rsidP="00AC3708">
      <w:pPr>
        <w:pStyle w:val="Default"/>
        <w:jc w:val="center"/>
        <w:rPr>
          <w:rFonts w:ascii="Century Schoolbook" w:hAnsi="Century Schoolbook" w:cs="Times New Roman"/>
          <w:b/>
          <w:sz w:val="20"/>
          <w:szCs w:val="20"/>
        </w:rPr>
      </w:pPr>
    </w:p>
    <w:p w14:paraId="4C180170" w14:textId="77777777" w:rsidR="00AC3708" w:rsidRPr="00DB2794" w:rsidRDefault="00AC3708" w:rsidP="00AC3708">
      <w:pPr>
        <w:pStyle w:val="Default"/>
        <w:jc w:val="center"/>
        <w:rPr>
          <w:rFonts w:ascii="Century Schoolbook" w:hAnsi="Century Schoolbook" w:cs="Times New Roman"/>
          <w:b/>
          <w:sz w:val="20"/>
          <w:szCs w:val="20"/>
        </w:rPr>
      </w:pPr>
    </w:p>
    <w:p w14:paraId="4FFBF376" w14:textId="77777777" w:rsidR="00AC3708" w:rsidRPr="00DB2794" w:rsidRDefault="00AC3708" w:rsidP="00AC3708">
      <w:pPr>
        <w:pStyle w:val="Default"/>
        <w:rPr>
          <w:rFonts w:ascii="Century Schoolbook" w:hAnsi="Century Schoolbook" w:cs="Times New Roman"/>
          <w:b/>
          <w:sz w:val="20"/>
          <w:szCs w:val="20"/>
        </w:rPr>
      </w:pPr>
    </w:p>
    <w:p w14:paraId="0FB7E48A" w14:textId="77777777" w:rsidR="00AC3708" w:rsidRPr="00DB2794" w:rsidRDefault="00AC3708" w:rsidP="00AC3708">
      <w:pPr>
        <w:pStyle w:val="Default"/>
        <w:spacing w:after="120" w:line="276" w:lineRule="auto"/>
        <w:jc w:val="center"/>
        <w:rPr>
          <w:rFonts w:ascii="Century Schoolbook" w:eastAsiaTheme="minorHAnsi" w:hAnsi="Century Schoolbook" w:cstheme="minorBidi"/>
          <w:b/>
          <w:color w:val="auto"/>
          <w:sz w:val="22"/>
          <w:szCs w:val="22"/>
          <w:lang w:eastAsia="en-US"/>
        </w:rPr>
      </w:pPr>
      <w:r w:rsidRPr="00DB2794">
        <w:rPr>
          <w:rFonts w:ascii="Century Schoolbook" w:eastAsiaTheme="minorHAnsi" w:hAnsi="Century Schoolbook" w:cstheme="minorBidi"/>
          <w:b/>
          <w:color w:val="auto"/>
          <w:sz w:val="22"/>
          <w:szCs w:val="22"/>
          <w:lang w:eastAsia="en-US"/>
        </w:rPr>
        <w:t>Abstract</w:t>
      </w:r>
    </w:p>
    <w:p w14:paraId="1B589598" w14:textId="77777777" w:rsidR="00926178" w:rsidRPr="007C5EE3" w:rsidRDefault="00926178" w:rsidP="00926178">
      <w:pPr>
        <w:pStyle w:val="Default"/>
        <w:spacing w:after="120"/>
        <w:jc w:val="both"/>
        <w:rPr>
          <w:rFonts w:ascii="Century Schoolbook" w:hAnsi="Century Schoolbook"/>
          <w:sz w:val="20"/>
          <w:szCs w:val="22"/>
        </w:rPr>
      </w:pPr>
    </w:p>
    <w:p w14:paraId="1CC7407A" w14:textId="71477606" w:rsidR="00AC3708" w:rsidRPr="007C5EE3" w:rsidRDefault="00DA4A73" w:rsidP="00F602B8">
      <w:pPr>
        <w:pStyle w:val="Default"/>
        <w:spacing w:after="120" w:line="360" w:lineRule="auto"/>
        <w:jc w:val="both"/>
        <w:rPr>
          <w:rFonts w:ascii="Century Schoolbook" w:hAnsi="Century Schoolbook"/>
          <w:sz w:val="22"/>
        </w:rPr>
      </w:pPr>
      <w:r w:rsidRPr="007C5EE3">
        <w:rPr>
          <w:rFonts w:ascii="Century Schoolbook" w:hAnsi="Century Schoolbook"/>
          <w:sz w:val="22"/>
        </w:rPr>
        <w:t>There are</w:t>
      </w:r>
      <w:r w:rsidR="00AC3708" w:rsidRPr="007C5EE3">
        <w:rPr>
          <w:rFonts w:ascii="Century Schoolbook" w:hAnsi="Century Schoolbook"/>
          <w:sz w:val="22"/>
        </w:rPr>
        <w:t xml:space="preserve"> significant differences among sell-side analysts in how frequently they </w:t>
      </w:r>
      <w:r w:rsidR="008873A5">
        <w:rPr>
          <w:rFonts w:ascii="Century Schoolbook" w:hAnsi="Century Schoolbook"/>
          <w:sz w:val="22"/>
        </w:rPr>
        <w:t xml:space="preserve">revise </w:t>
      </w:r>
      <w:r w:rsidR="00AC3708" w:rsidRPr="007C5EE3">
        <w:rPr>
          <w:rFonts w:ascii="Century Schoolbook" w:hAnsi="Century Schoolbook"/>
          <w:sz w:val="22"/>
        </w:rPr>
        <w:t>recommendations</w:t>
      </w:r>
      <w:r w:rsidR="000B2DF8" w:rsidRPr="007C5EE3">
        <w:rPr>
          <w:rFonts w:ascii="Century Schoolbook" w:hAnsi="Century Schoolbook"/>
          <w:sz w:val="22"/>
        </w:rPr>
        <w:t xml:space="preserve">. </w:t>
      </w:r>
      <w:r w:rsidR="006D0252" w:rsidRPr="007C5EE3">
        <w:rPr>
          <w:rFonts w:ascii="Century Schoolbook" w:hAnsi="Century Schoolbook"/>
          <w:sz w:val="22"/>
        </w:rPr>
        <w:t>We</w:t>
      </w:r>
      <w:r w:rsidR="00967283" w:rsidRPr="007C5EE3">
        <w:rPr>
          <w:rFonts w:ascii="Century Schoolbook" w:hAnsi="Century Schoolbook"/>
          <w:sz w:val="22"/>
        </w:rPr>
        <w:t xml:space="preserve"> show</w:t>
      </w:r>
      <w:r w:rsidR="00D85CE5" w:rsidRPr="007C5EE3">
        <w:rPr>
          <w:rFonts w:ascii="Century Schoolbook" w:hAnsi="Century Schoolbook" w:cs="Times New Roman"/>
          <w:sz w:val="22"/>
        </w:rPr>
        <w:t xml:space="preserve"> that</w:t>
      </w:r>
      <w:r w:rsidR="005924AD" w:rsidRPr="007C5EE3">
        <w:rPr>
          <w:rFonts w:ascii="Century Schoolbook" w:hAnsi="Century Schoolbook"/>
          <w:sz w:val="22"/>
        </w:rPr>
        <w:t xml:space="preserve"> much of </w:t>
      </w:r>
      <w:r w:rsidR="00D85CE5" w:rsidRPr="007C5EE3">
        <w:rPr>
          <w:rFonts w:ascii="Century Schoolbook" w:hAnsi="Century Schoolbook"/>
          <w:sz w:val="22"/>
        </w:rPr>
        <w:t>t</w:t>
      </w:r>
      <w:r w:rsidR="006D0252" w:rsidRPr="007C5EE3">
        <w:rPr>
          <w:rFonts w:ascii="Century Schoolbook" w:hAnsi="Century Schoolbook"/>
          <w:sz w:val="22"/>
        </w:rPr>
        <w:t xml:space="preserve">his </w:t>
      </w:r>
      <w:r w:rsidR="00D85CE5" w:rsidRPr="007C5EE3">
        <w:rPr>
          <w:rFonts w:ascii="Century Schoolbook" w:hAnsi="Century Schoolbook"/>
          <w:sz w:val="22"/>
        </w:rPr>
        <w:t xml:space="preserve">variation </w:t>
      </w:r>
      <w:r w:rsidR="005924AD" w:rsidRPr="007C5EE3">
        <w:rPr>
          <w:rFonts w:ascii="Century Schoolbook" w:hAnsi="Century Schoolbook"/>
          <w:sz w:val="22"/>
        </w:rPr>
        <w:t xml:space="preserve">is an analyst-individual trait. </w:t>
      </w:r>
      <w:r w:rsidR="000C441C" w:rsidRPr="007C5EE3">
        <w:rPr>
          <w:rFonts w:ascii="Century Schoolbook" w:hAnsi="Century Schoolbook"/>
          <w:sz w:val="22"/>
        </w:rPr>
        <w:t>Analysts</w:t>
      </w:r>
      <w:r w:rsidR="000073C6" w:rsidRPr="007C5EE3">
        <w:rPr>
          <w:rFonts w:ascii="Century Schoolbook" w:hAnsi="Century Schoolbook"/>
          <w:sz w:val="22"/>
        </w:rPr>
        <w:t xml:space="preserve"> who </w:t>
      </w:r>
      <w:r w:rsidR="00DA2655" w:rsidRPr="007C5EE3">
        <w:rPr>
          <w:rFonts w:ascii="Century Schoolbook" w:hAnsi="Century Schoolbook"/>
          <w:sz w:val="22"/>
        </w:rPr>
        <w:t>change</w:t>
      </w:r>
      <w:r w:rsidR="000073C6" w:rsidRPr="007C5EE3">
        <w:rPr>
          <w:rFonts w:ascii="Century Schoolbook" w:hAnsi="Century Schoolbook"/>
          <w:sz w:val="22"/>
        </w:rPr>
        <w:t xml:space="preserve"> their recommendations more slowly make </w:t>
      </w:r>
      <w:r w:rsidR="00DA2655" w:rsidRPr="007C5EE3">
        <w:rPr>
          <w:rFonts w:ascii="Century Schoolbook" w:hAnsi="Century Schoolbook"/>
          <w:sz w:val="22"/>
        </w:rPr>
        <w:t>recommendations that are more influential</w:t>
      </w:r>
      <w:r w:rsidR="000073C6" w:rsidRPr="007C5EE3">
        <w:rPr>
          <w:rFonts w:ascii="Century Schoolbook" w:hAnsi="Century Schoolbook"/>
          <w:sz w:val="22"/>
        </w:rPr>
        <w:t xml:space="preserve"> and generate better portfolio returns. </w:t>
      </w:r>
      <w:r w:rsidR="002A1B43" w:rsidRPr="007C5EE3">
        <w:rPr>
          <w:rFonts w:ascii="Century Schoolbook" w:hAnsi="Century Schoolbook"/>
          <w:sz w:val="22"/>
        </w:rPr>
        <w:t>Ex</w:t>
      </w:r>
      <w:r w:rsidR="008454C1" w:rsidRPr="007C5EE3">
        <w:rPr>
          <w:rFonts w:ascii="Century Schoolbook" w:hAnsi="Century Schoolbook"/>
          <w:sz w:val="22"/>
        </w:rPr>
        <w:t xml:space="preserve">amining </w:t>
      </w:r>
      <w:r w:rsidR="00EB4628" w:rsidRPr="007C5EE3">
        <w:rPr>
          <w:rFonts w:ascii="Century Schoolbook" w:hAnsi="Century Schoolbook"/>
          <w:sz w:val="22"/>
        </w:rPr>
        <w:t>the sources of differing investment value,</w:t>
      </w:r>
      <w:r w:rsidR="002A1B43" w:rsidRPr="007C5EE3">
        <w:rPr>
          <w:rFonts w:ascii="Century Schoolbook" w:hAnsi="Century Schoolbook"/>
          <w:sz w:val="22"/>
        </w:rPr>
        <w:t xml:space="preserve"> w</w:t>
      </w:r>
      <w:r w:rsidR="00BB5ABF" w:rsidRPr="007C5EE3">
        <w:rPr>
          <w:rFonts w:ascii="Century Schoolbook" w:hAnsi="Century Schoolbook"/>
          <w:sz w:val="22"/>
        </w:rPr>
        <w:t xml:space="preserve">e find that </w:t>
      </w:r>
      <w:r w:rsidR="00EB4628" w:rsidRPr="007C5EE3">
        <w:rPr>
          <w:rFonts w:ascii="Century Schoolbook" w:hAnsi="Century Schoolbook"/>
          <w:sz w:val="22"/>
        </w:rPr>
        <w:t>recommendations of</w:t>
      </w:r>
      <w:r w:rsidR="000073C6" w:rsidRPr="007C5EE3">
        <w:rPr>
          <w:rFonts w:ascii="Century Schoolbook" w:hAnsi="Century Schoolbook"/>
          <w:sz w:val="22"/>
        </w:rPr>
        <w:t xml:space="preserve"> slower-revising analysts </w:t>
      </w:r>
      <w:r w:rsidR="005C7EAB" w:rsidRPr="007C5EE3">
        <w:rPr>
          <w:rFonts w:ascii="Century Schoolbook" w:hAnsi="Century Schoolbook"/>
          <w:sz w:val="22"/>
        </w:rPr>
        <w:t xml:space="preserve">are </w:t>
      </w:r>
      <w:r w:rsidR="00BB5ABF" w:rsidRPr="007C5EE3">
        <w:rPr>
          <w:rFonts w:ascii="Century Schoolbook" w:hAnsi="Century Schoolbook"/>
          <w:sz w:val="22"/>
        </w:rPr>
        <w:t>more likely to “lead the pack</w:t>
      </w:r>
      <w:r w:rsidR="00FF38A9" w:rsidRPr="007C5EE3">
        <w:rPr>
          <w:rFonts w:ascii="Century Schoolbook" w:hAnsi="Century Schoolbook"/>
          <w:sz w:val="22"/>
        </w:rPr>
        <w:t xml:space="preserve">,” and </w:t>
      </w:r>
      <w:r w:rsidR="00BF4639" w:rsidRPr="007C5EE3">
        <w:rPr>
          <w:rFonts w:ascii="Century Schoolbook" w:hAnsi="Century Schoolbook"/>
          <w:sz w:val="22"/>
        </w:rPr>
        <w:t xml:space="preserve">revised </w:t>
      </w:r>
      <w:r w:rsidR="00A22F14" w:rsidRPr="007C5EE3">
        <w:rPr>
          <w:rFonts w:ascii="Century Schoolbook" w:hAnsi="Century Schoolbook"/>
          <w:sz w:val="22"/>
        </w:rPr>
        <w:t>following</w:t>
      </w:r>
      <w:r w:rsidR="000073C6" w:rsidRPr="007C5EE3">
        <w:rPr>
          <w:rFonts w:ascii="Century Schoolbook" w:hAnsi="Century Schoolbook"/>
          <w:sz w:val="22"/>
        </w:rPr>
        <w:t xml:space="preserve"> </w:t>
      </w:r>
      <w:r w:rsidR="00744970" w:rsidRPr="007C5EE3">
        <w:rPr>
          <w:rFonts w:ascii="Century Schoolbook" w:hAnsi="Century Schoolbook"/>
          <w:sz w:val="22"/>
        </w:rPr>
        <w:t xml:space="preserve">corporate </w:t>
      </w:r>
      <w:r w:rsidR="00BF4639" w:rsidRPr="007C5EE3">
        <w:rPr>
          <w:rFonts w:ascii="Century Schoolbook" w:hAnsi="Century Schoolbook"/>
          <w:sz w:val="22"/>
        </w:rPr>
        <w:t>disclosures</w:t>
      </w:r>
      <w:r w:rsidR="005C7EAB" w:rsidRPr="007C5EE3">
        <w:rPr>
          <w:rFonts w:ascii="Century Schoolbook" w:hAnsi="Century Schoolbook"/>
          <w:sz w:val="22"/>
        </w:rPr>
        <w:t xml:space="preserve"> </w:t>
      </w:r>
      <w:r w:rsidR="00314300" w:rsidRPr="007C5EE3">
        <w:rPr>
          <w:rFonts w:ascii="Century Schoolbook" w:hAnsi="Century Schoolbook"/>
          <w:sz w:val="22"/>
        </w:rPr>
        <w:t>that are harder to assess by non-stock experts</w:t>
      </w:r>
      <w:r w:rsidR="005C7EAB" w:rsidRPr="007C5EE3">
        <w:rPr>
          <w:rFonts w:ascii="Century Schoolbook" w:hAnsi="Century Schoolbook"/>
          <w:sz w:val="22"/>
        </w:rPr>
        <w:t xml:space="preserve">. </w:t>
      </w:r>
      <w:r w:rsidR="00ED2A29">
        <w:rPr>
          <w:rFonts w:ascii="Century Schoolbook" w:hAnsi="Century Schoolbook"/>
          <w:sz w:val="22"/>
        </w:rPr>
        <w:t>Analysts tend</w:t>
      </w:r>
      <w:r w:rsidR="00E66853" w:rsidRPr="007C5EE3">
        <w:rPr>
          <w:rFonts w:ascii="Century Schoolbook" w:hAnsi="Century Schoolbook"/>
          <w:sz w:val="22"/>
        </w:rPr>
        <w:t xml:space="preserve"> to</w:t>
      </w:r>
      <w:r w:rsidR="009C1F23" w:rsidRPr="007C5EE3">
        <w:rPr>
          <w:rFonts w:ascii="Century Schoolbook" w:hAnsi="Century Schoolbook"/>
          <w:sz w:val="22"/>
        </w:rPr>
        <w:t xml:space="preserve"> change </w:t>
      </w:r>
      <w:r w:rsidR="00E66853" w:rsidRPr="007C5EE3">
        <w:rPr>
          <w:rFonts w:ascii="Century Schoolbook" w:hAnsi="Century Schoolbook"/>
          <w:sz w:val="22"/>
        </w:rPr>
        <w:t xml:space="preserve">recommendations </w:t>
      </w:r>
      <w:r w:rsidR="003E47F3" w:rsidRPr="007C5EE3">
        <w:rPr>
          <w:rFonts w:ascii="Century Schoolbook" w:hAnsi="Century Schoolbook"/>
          <w:sz w:val="22"/>
        </w:rPr>
        <w:t xml:space="preserve">less </w:t>
      </w:r>
      <w:r w:rsidR="00FB530A" w:rsidRPr="007C5EE3">
        <w:rPr>
          <w:rFonts w:ascii="Century Schoolbook" w:hAnsi="Century Schoolbook"/>
          <w:sz w:val="22"/>
        </w:rPr>
        <w:t xml:space="preserve">frequently </w:t>
      </w:r>
      <w:r w:rsidR="002A1B43" w:rsidRPr="007C5EE3">
        <w:rPr>
          <w:rFonts w:ascii="Century Schoolbook" w:hAnsi="Century Schoolbook"/>
          <w:sz w:val="22"/>
        </w:rPr>
        <w:t>as their career progresses</w:t>
      </w:r>
      <w:r w:rsidR="005C7EAB" w:rsidRPr="007C5EE3">
        <w:rPr>
          <w:rFonts w:ascii="Century Schoolbook" w:hAnsi="Century Schoolbook"/>
          <w:sz w:val="22"/>
        </w:rPr>
        <w:t xml:space="preserve">; </w:t>
      </w:r>
      <w:r w:rsidR="00ED06D3" w:rsidRPr="007C5EE3">
        <w:rPr>
          <w:rFonts w:ascii="Century Schoolbook" w:hAnsi="Century Schoolbook"/>
          <w:sz w:val="22"/>
        </w:rPr>
        <w:t>h</w:t>
      </w:r>
      <w:r w:rsidR="005C7EAB" w:rsidRPr="007C5EE3">
        <w:rPr>
          <w:rFonts w:ascii="Century Schoolbook" w:hAnsi="Century Schoolbook"/>
          <w:sz w:val="22"/>
        </w:rPr>
        <w:t xml:space="preserve">owever, recommendation </w:t>
      </w:r>
      <w:r w:rsidR="00E66853" w:rsidRPr="007C5EE3">
        <w:rPr>
          <w:rFonts w:ascii="Century Schoolbook" w:hAnsi="Century Schoolbook" w:cs="Arial"/>
          <w:color w:val="222222"/>
          <w:sz w:val="22"/>
        </w:rPr>
        <w:t>speed-styl</w:t>
      </w:r>
      <w:r w:rsidR="00591E5A" w:rsidRPr="007C5EE3">
        <w:rPr>
          <w:rFonts w:ascii="Century Schoolbook" w:hAnsi="Century Schoolbook" w:cs="Arial"/>
          <w:color w:val="222222"/>
          <w:sz w:val="22"/>
        </w:rPr>
        <w:t xml:space="preserve">e is the </w:t>
      </w:r>
      <w:r w:rsidR="003E47F3" w:rsidRPr="007C5EE3">
        <w:rPr>
          <w:rFonts w:ascii="Century Schoolbook" w:hAnsi="Century Schoolbook" w:cs="Arial"/>
          <w:color w:val="222222"/>
          <w:sz w:val="22"/>
        </w:rPr>
        <w:t>only robust predictor</w:t>
      </w:r>
      <w:r w:rsidR="00E66853" w:rsidRPr="007C5EE3">
        <w:rPr>
          <w:rFonts w:ascii="Century Schoolbook" w:hAnsi="Century Schoolbook" w:cs="Arial"/>
          <w:color w:val="222222"/>
          <w:sz w:val="22"/>
        </w:rPr>
        <w:t xml:space="preserve"> </w:t>
      </w:r>
      <w:r w:rsidR="005C7EAB" w:rsidRPr="007C5EE3">
        <w:rPr>
          <w:rFonts w:ascii="Century Schoolbook" w:hAnsi="Century Schoolbook" w:cs="Arial"/>
          <w:color w:val="222222"/>
          <w:sz w:val="22"/>
        </w:rPr>
        <w:t xml:space="preserve">of </w:t>
      </w:r>
      <w:r w:rsidR="00967283" w:rsidRPr="007C5EE3">
        <w:rPr>
          <w:rFonts w:ascii="Century Schoolbook" w:hAnsi="Century Schoolbook" w:cs="Arial"/>
          <w:color w:val="222222"/>
          <w:sz w:val="22"/>
        </w:rPr>
        <w:t xml:space="preserve">their </w:t>
      </w:r>
      <w:r w:rsidR="005C7EAB" w:rsidRPr="007C5EE3">
        <w:rPr>
          <w:rFonts w:ascii="Century Schoolbook" w:hAnsi="Century Schoolbook" w:cs="Arial"/>
          <w:color w:val="222222"/>
          <w:sz w:val="22"/>
        </w:rPr>
        <w:t xml:space="preserve">recommendation </w:t>
      </w:r>
      <w:r w:rsidR="00E66853" w:rsidRPr="007C5EE3">
        <w:rPr>
          <w:rFonts w:ascii="Century Schoolbook" w:hAnsi="Century Schoolbook" w:cs="Arial"/>
          <w:color w:val="222222"/>
          <w:sz w:val="22"/>
        </w:rPr>
        <w:t>value.</w:t>
      </w:r>
    </w:p>
    <w:p w14:paraId="669F1839" w14:textId="77777777" w:rsidR="00E354EB" w:rsidRPr="002011D8" w:rsidRDefault="00E354EB" w:rsidP="00E354EB">
      <w:pPr>
        <w:rPr>
          <w:rFonts w:ascii="Century Schoolbook" w:hAnsi="Century Schoolbook" w:cs="Times New Roman"/>
        </w:rPr>
      </w:pPr>
      <w:r w:rsidRPr="002011D8">
        <w:rPr>
          <w:rFonts w:ascii="Century Schoolbook" w:hAnsi="Century Schoolbook" w:cs="Times New Roman"/>
          <w:b/>
        </w:rPr>
        <w:br w:type="page"/>
      </w:r>
    </w:p>
    <w:p w14:paraId="00712491" w14:textId="77777777" w:rsidR="00E354EB" w:rsidRPr="002011D8" w:rsidRDefault="00E354EB" w:rsidP="00E354EB">
      <w:pPr>
        <w:pStyle w:val="ListParagraph"/>
        <w:numPr>
          <w:ilvl w:val="0"/>
          <w:numId w:val="3"/>
        </w:numPr>
        <w:ind w:left="426"/>
        <w:rPr>
          <w:rFonts w:ascii="Century Schoolbook" w:hAnsi="Century Schoolbook" w:cs="Times New Roman"/>
          <w:b/>
        </w:rPr>
        <w:sectPr w:rsidR="00E354EB" w:rsidRPr="002011D8" w:rsidSect="00C667B7">
          <w:footerReference w:type="default" r:id="rId9"/>
          <w:pgSz w:w="12240" w:h="15840"/>
          <w:pgMar w:top="1411" w:right="1411" w:bottom="1411" w:left="1411" w:header="706" w:footer="706" w:gutter="0"/>
          <w:pgNumType w:start="0"/>
          <w:cols w:space="708"/>
          <w:docGrid w:linePitch="360"/>
        </w:sectPr>
      </w:pPr>
    </w:p>
    <w:p w14:paraId="0F948AB2" w14:textId="77777777" w:rsidR="00E354EB" w:rsidRPr="002011D8" w:rsidRDefault="00E354EB" w:rsidP="00672757">
      <w:pPr>
        <w:pStyle w:val="ListParagraph"/>
        <w:numPr>
          <w:ilvl w:val="0"/>
          <w:numId w:val="3"/>
        </w:numPr>
        <w:spacing w:line="360" w:lineRule="auto"/>
        <w:ind w:left="426"/>
        <w:rPr>
          <w:rFonts w:ascii="Century Schoolbook" w:hAnsi="Century Schoolbook" w:cs="Times New Roman"/>
          <w:b/>
        </w:rPr>
      </w:pPr>
      <w:r w:rsidRPr="002011D8">
        <w:rPr>
          <w:rFonts w:ascii="Century Schoolbook" w:hAnsi="Century Schoolbook" w:cs="Times New Roman"/>
          <w:b/>
        </w:rPr>
        <w:lastRenderedPageBreak/>
        <w:t>Introduction</w:t>
      </w:r>
    </w:p>
    <w:p w14:paraId="2C480123" w14:textId="34FA2E30" w:rsidR="00E963BF" w:rsidRDefault="007F5F24" w:rsidP="00711035">
      <w:pPr>
        <w:pStyle w:val="ListParagraph"/>
        <w:spacing w:line="360" w:lineRule="auto"/>
        <w:ind w:left="450" w:right="148"/>
        <w:jc w:val="center"/>
        <w:rPr>
          <w:rFonts w:ascii="Century Schoolbook" w:hAnsi="Century Schoolbook" w:cs="Times New Roman"/>
        </w:rPr>
      </w:pPr>
      <w:r w:rsidRPr="000A767D">
        <w:rPr>
          <w:rFonts w:ascii="Century Schoolbook" w:hAnsi="Century Schoolbook" w:cs="Times New Roman"/>
        </w:rPr>
        <w:t>“All of us would be better investors if we just made fewer decisions.”</w:t>
      </w:r>
      <w:r w:rsidRPr="002011D8">
        <w:rPr>
          <w:rFonts w:ascii="Century Schoolbook" w:hAnsi="Century Schoolbook" w:cs="Times New Roman"/>
        </w:rPr>
        <w:t xml:space="preserve">                                                                          </w:t>
      </w:r>
    </w:p>
    <w:p w14:paraId="1B75A008" w14:textId="6160548C" w:rsidR="007F5F24" w:rsidRPr="002011D8" w:rsidRDefault="007F5F24" w:rsidP="00E963BF">
      <w:pPr>
        <w:pStyle w:val="ListParagraph"/>
        <w:spacing w:line="360" w:lineRule="auto"/>
        <w:ind w:left="426"/>
        <w:jc w:val="right"/>
        <w:rPr>
          <w:rFonts w:ascii="Century Schoolbook" w:hAnsi="Century Schoolbook" w:cs="Times New Roman"/>
        </w:rPr>
      </w:pPr>
      <w:r w:rsidRPr="002011D8">
        <w:rPr>
          <w:rFonts w:ascii="Century Schoolbook" w:hAnsi="Century Schoolbook" w:cs="Times New Roman"/>
        </w:rPr>
        <w:t>–— Daniel Kahneman</w:t>
      </w:r>
      <w:r w:rsidR="006C50E3" w:rsidRPr="002011D8">
        <w:rPr>
          <w:rStyle w:val="FootnoteReference"/>
          <w:rFonts w:ascii="Century Schoolbook" w:hAnsi="Century Schoolbook" w:cs="Times New Roman"/>
        </w:rPr>
        <w:footnoteReference w:id="1"/>
      </w:r>
    </w:p>
    <w:p w14:paraId="50999519" w14:textId="51E68726" w:rsidR="00E354EB" w:rsidRPr="001B6525" w:rsidRDefault="00E354EB" w:rsidP="00711035">
      <w:pPr>
        <w:pStyle w:val="Default"/>
        <w:spacing w:after="120" w:line="480" w:lineRule="auto"/>
        <w:jc w:val="both"/>
        <w:rPr>
          <w:rFonts w:ascii="Century Schoolbook" w:hAnsi="Century Schoolbook" w:cs="Times New Roman"/>
          <w:sz w:val="22"/>
          <w:szCs w:val="22"/>
        </w:rPr>
      </w:pPr>
      <w:r w:rsidRPr="00C667B7">
        <w:rPr>
          <w:rFonts w:ascii="Century Schoolbook" w:hAnsi="Century Schoolbook" w:cs="Times New Roman"/>
          <w:sz w:val="22"/>
          <w:szCs w:val="22"/>
        </w:rPr>
        <w:t>Two decades of academic research support the view that sell</w:t>
      </w:r>
      <w:r w:rsidR="00827B73" w:rsidRPr="00C667B7">
        <w:rPr>
          <w:rFonts w:ascii="Century Schoolbook" w:hAnsi="Century Schoolbook" w:cs="Times New Roman"/>
          <w:sz w:val="22"/>
          <w:szCs w:val="22"/>
        </w:rPr>
        <w:t>-</w:t>
      </w:r>
      <w:r w:rsidRPr="00C667B7">
        <w:rPr>
          <w:rFonts w:ascii="Century Schoolbook" w:hAnsi="Century Schoolbook" w:cs="Times New Roman"/>
          <w:sz w:val="22"/>
          <w:szCs w:val="22"/>
        </w:rPr>
        <w:t>side analysts play an important role in collecting, digesting, and disseminating value</w:t>
      </w:r>
      <w:r w:rsidR="00827B73" w:rsidRPr="00C667B7">
        <w:rPr>
          <w:rFonts w:ascii="Century Schoolbook" w:hAnsi="Century Schoolbook" w:cs="Times New Roman"/>
          <w:sz w:val="22"/>
          <w:szCs w:val="22"/>
        </w:rPr>
        <w:t>-</w:t>
      </w:r>
      <w:r w:rsidRPr="00C667B7">
        <w:rPr>
          <w:rFonts w:ascii="Century Schoolbook" w:hAnsi="Century Schoolbook" w:cs="Times New Roman"/>
          <w:sz w:val="22"/>
          <w:szCs w:val="22"/>
        </w:rPr>
        <w:t>relevant market knowledge to investors.</w:t>
      </w:r>
      <w:r w:rsidR="008D1229" w:rsidRPr="00C667B7">
        <w:rPr>
          <w:rStyle w:val="FootnoteReference"/>
          <w:rFonts w:ascii="Century Schoolbook" w:hAnsi="Century Schoolbook" w:cs="Times New Roman"/>
          <w:sz w:val="22"/>
          <w:szCs w:val="22"/>
        </w:rPr>
        <w:footnoteReference w:id="2"/>
      </w:r>
      <w:r w:rsidRPr="00C667B7">
        <w:rPr>
          <w:rFonts w:ascii="Century Schoolbook" w:hAnsi="Century Schoolbook" w:cs="Times New Roman"/>
          <w:sz w:val="22"/>
          <w:szCs w:val="22"/>
        </w:rPr>
        <w:t xml:space="preserve"> As information processing agents who are surely monitor</w:t>
      </w:r>
      <w:r w:rsidR="00FC63C1">
        <w:rPr>
          <w:rFonts w:ascii="Century Schoolbook" w:hAnsi="Century Schoolbook" w:cs="Times New Roman"/>
          <w:sz w:val="22"/>
          <w:szCs w:val="22"/>
        </w:rPr>
        <w:t xml:space="preserve">ed by their own firms and their </w:t>
      </w:r>
      <w:r w:rsidR="00D67AC6" w:rsidRPr="00C667B7">
        <w:rPr>
          <w:rFonts w:ascii="Century Schoolbook" w:hAnsi="Century Schoolbook" w:cs="Times New Roman"/>
          <w:sz w:val="22"/>
          <w:szCs w:val="22"/>
        </w:rPr>
        <w:t>clients</w:t>
      </w:r>
      <w:r w:rsidRPr="00C667B7">
        <w:rPr>
          <w:rFonts w:ascii="Century Schoolbook" w:hAnsi="Century Schoolbook" w:cs="Times New Roman"/>
          <w:sz w:val="22"/>
          <w:szCs w:val="22"/>
        </w:rPr>
        <w:t>,</w:t>
      </w:r>
      <w:r w:rsidR="00A1246A">
        <w:rPr>
          <w:rFonts w:ascii="Century Schoolbook" w:hAnsi="Century Schoolbook" w:cs="Times New Roman"/>
          <w:sz w:val="22"/>
          <w:szCs w:val="22"/>
        </w:rPr>
        <w:t xml:space="preserve"> </w:t>
      </w:r>
      <w:r w:rsidR="00E963BF">
        <w:rPr>
          <w:rFonts w:ascii="Century Schoolbook" w:hAnsi="Century Schoolbook" w:cs="Times New Roman"/>
          <w:sz w:val="22"/>
          <w:szCs w:val="22"/>
        </w:rPr>
        <w:t xml:space="preserve">these </w:t>
      </w:r>
      <w:r w:rsidR="00A1246A">
        <w:rPr>
          <w:rFonts w:ascii="Century Schoolbook" w:hAnsi="Century Schoolbook" w:cs="Times New Roman"/>
          <w:sz w:val="22"/>
          <w:szCs w:val="22"/>
        </w:rPr>
        <w:t xml:space="preserve">analysts </w:t>
      </w:r>
      <w:r w:rsidRPr="00C667B7">
        <w:rPr>
          <w:rFonts w:ascii="Century Schoolbook" w:hAnsi="Century Schoolbook" w:cs="Times New Roman"/>
          <w:sz w:val="22"/>
          <w:szCs w:val="22"/>
        </w:rPr>
        <w:t xml:space="preserve">have incentives to be accurate and </w:t>
      </w:r>
      <w:r w:rsidR="00B413A3" w:rsidRPr="00C667B7">
        <w:rPr>
          <w:rFonts w:ascii="Century Schoolbook" w:hAnsi="Century Schoolbook" w:cs="Times New Roman"/>
          <w:sz w:val="22"/>
          <w:szCs w:val="22"/>
        </w:rPr>
        <w:t xml:space="preserve">to </w:t>
      </w:r>
      <w:r w:rsidRPr="00C667B7">
        <w:rPr>
          <w:rFonts w:ascii="Century Schoolbook" w:hAnsi="Century Schoolbook" w:cs="Times New Roman"/>
          <w:sz w:val="22"/>
          <w:szCs w:val="22"/>
        </w:rPr>
        <w:t xml:space="preserve">predict the future corporate activities and stock prices of their target firms. And, as documented in an important stream of the literature, analysts’ attention to their own reputations and career concerns affect their decisions </w:t>
      </w:r>
      <w:r w:rsidRPr="00C667B7">
        <w:rPr>
          <w:rFonts w:ascii="Century Schoolbook" w:hAnsi="Century Schoolbook" w:cs="Arial"/>
          <w:color w:val="222222"/>
          <w:sz w:val="22"/>
          <w:szCs w:val="22"/>
        </w:rPr>
        <w:t xml:space="preserve">(Hong and </w:t>
      </w:r>
      <w:proofErr w:type="spellStart"/>
      <w:r w:rsidRPr="00C667B7">
        <w:rPr>
          <w:rFonts w:ascii="Century Schoolbook" w:hAnsi="Century Schoolbook" w:cs="Arial"/>
          <w:color w:val="222222"/>
          <w:sz w:val="22"/>
          <w:szCs w:val="22"/>
        </w:rPr>
        <w:t>Kubik</w:t>
      </w:r>
      <w:proofErr w:type="spellEnd"/>
      <w:r w:rsidRPr="00C667B7">
        <w:rPr>
          <w:rFonts w:ascii="Century Schoolbook" w:hAnsi="Century Schoolbook" w:cs="Arial"/>
          <w:color w:val="222222"/>
          <w:sz w:val="22"/>
          <w:szCs w:val="22"/>
        </w:rPr>
        <w:t xml:space="preserve">, 2003; </w:t>
      </w:r>
      <w:r w:rsidR="00BE28D9" w:rsidRPr="00C667B7">
        <w:rPr>
          <w:rFonts w:ascii="Century Schoolbook" w:hAnsi="Century Schoolbook" w:cs="Arial"/>
          <w:color w:val="222222"/>
          <w:sz w:val="22"/>
          <w:szCs w:val="22"/>
        </w:rPr>
        <w:t>Clement and Tse, 2005;</w:t>
      </w:r>
      <w:r w:rsidR="00D674D2" w:rsidRPr="00C667B7">
        <w:rPr>
          <w:rFonts w:ascii="Century Schoolbook" w:hAnsi="Century Schoolbook" w:cs="Arial"/>
          <w:color w:val="222222"/>
          <w:sz w:val="22"/>
          <w:szCs w:val="22"/>
        </w:rPr>
        <w:t xml:space="preserve"> </w:t>
      </w:r>
      <w:r w:rsidR="00D674D2" w:rsidRPr="00C667B7">
        <w:rPr>
          <w:rFonts w:ascii="Century Schoolbook" w:hAnsi="Century Schoolbook" w:cs="Times New Roman"/>
          <w:sz w:val="22"/>
          <w:szCs w:val="22"/>
        </w:rPr>
        <w:t>Hilary and Hsu, 2013</w:t>
      </w:r>
      <w:r w:rsidRPr="00C667B7">
        <w:rPr>
          <w:rFonts w:ascii="Century Schoolbook" w:hAnsi="Century Schoolbook" w:cs="Arial"/>
          <w:color w:val="222222"/>
          <w:sz w:val="22"/>
          <w:szCs w:val="22"/>
        </w:rPr>
        <w:t>).</w:t>
      </w:r>
    </w:p>
    <w:p w14:paraId="30490C4A" w14:textId="6324D87C" w:rsidR="00F42303" w:rsidRDefault="00E354EB" w:rsidP="00A00DFF">
      <w:pPr>
        <w:pStyle w:val="Default"/>
        <w:spacing w:after="120" w:line="480" w:lineRule="auto"/>
        <w:ind w:firstLine="284"/>
        <w:jc w:val="both"/>
        <w:rPr>
          <w:rFonts w:ascii="Century Schoolbook" w:hAnsi="Century Schoolbook" w:cs="Times New Roman"/>
          <w:sz w:val="22"/>
          <w:szCs w:val="22"/>
        </w:rPr>
      </w:pPr>
      <w:r w:rsidRPr="00C667B7">
        <w:rPr>
          <w:rFonts w:ascii="Century Schoolbook" w:hAnsi="Century Schoolbook" w:cs="Times New Roman"/>
          <w:sz w:val="22"/>
          <w:szCs w:val="22"/>
        </w:rPr>
        <w:t xml:space="preserve">This study examines speed as an important </w:t>
      </w:r>
      <w:r w:rsidR="00EA7D9E" w:rsidRPr="00C667B7">
        <w:rPr>
          <w:rFonts w:ascii="Century Schoolbook" w:hAnsi="Century Schoolbook" w:cs="Times New Roman"/>
          <w:sz w:val="22"/>
          <w:szCs w:val="22"/>
        </w:rPr>
        <w:t>decision-making-</w:t>
      </w:r>
      <w:r w:rsidRPr="00C667B7">
        <w:rPr>
          <w:rFonts w:ascii="Century Schoolbook" w:hAnsi="Century Schoolbook" w:cs="Times New Roman"/>
          <w:sz w:val="22"/>
          <w:szCs w:val="22"/>
        </w:rPr>
        <w:t xml:space="preserve">process choice of individual analysts. </w:t>
      </w:r>
      <w:r w:rsidR="00E963BF">
        <w:rPr>
          <w:rFonts w:ascii="Century Schoolbook" w:hAnsi="Century Schoolbook" w:cs="Times New Roman"/>
          <w:sz w:val="22"/>
          <w:szCs w:val="22"/>
        </w:rPr>
        <w:t>All else equal, one</w:t>
      </w:r>
      <w:r w:rsidRPr="00C667B7">
        <w:rPr>
          <w:rFonts w:ascii="Century Schoolbook" w:hAnsi="Century Schoolbook" w:cs="Times New Roman"/>
          <w:sz w:val="22"/>
          <w:szCs w:val="22"/>
        </w:rPr>
        <w:t xml:space="preserve"> might hypothesize that reputation would be enhanced by “getting there first,” i.e. beating </w:t>
      </w:r>
      <w:r w:rsidR="00E963BF">
        <w:rPr>
          <w:rFonts w:ascii="Century Schoolbook" w:hAnsi="Century Schoolbook" w:cs="Times New Roman"/>
          <w:sz w:val="22"/>
          <w:szCs w:val="22"/>
        </w:rPr>
        <w:t xml:space="preserve">industry </w:t>
      </w:r>
      <w:r w:rsidRPr="00C667B7">
        <w:rPr>
          <w:rFonts w:ascii="Century Schoolbook" w:hAnsi="Century Schoolbook" w:cs="Times New Roman"/>
          <w:sz w:val="22"/>
          <w:szCs w:val="22"/>
        </w:rPr>
        <w:t xml:space="preserve">competitors </w:t>
      </w:r>
      <w:r w:rsidR="006E2C85" w:rsidRPr="00C667B7">
        <w:rPr>
          <w:rFonts w:ascii="Century Schoolbook" w:hAnsi="Century Schoolbook" w:cs="Times New Roman"/>
          <w:sz w:val="22"/>
          <w:szCs w:val="22"/>
        </w:rPr>
        <w:t>by reacting quicker to new</w:t>
      </w:r>
      <w:r w:rsidRPr="00C667B7">
        <w:rPr>
          <w:rFonts w:ascii="Century Schoolbook" w:hAnsi="Century Schoolbook" w:cs="Times New Roman"/>
          <w:sz w:val="22"/>
          <w:szCs w:val="22"/>
        </w:rPr>
        <w:t xml:space="preserve"> information. </w:t>
      </w:r>
      <w:r w:rsidR="00E963BF">
        <w:rPr>
          <w:rFonts w:ascii="Century Schoolbook" w:hAnsi="Century Schoolbook" w:cs="Times New Roman"/>
          <w:sz w:val="22"/>
          <w:szCs w:val="22"/>
        </w:rPr>
        <w:t xml:space="preserve">Even in more traditional information-based investing, virtually all event-based trading rules are less profitable if the decision maker’s reaction to the event is delayed. </w:t>
      </w:r>
      <w:r w:rsidRPr="00C667B7">
        <w:rPr>
          <w:rFonts w:ascii="Century Schoolbook" w:hAnsi="Century Schoolbook" w:cs="Times New Roman"/>
          <w:sz w:val="22"/>
          <w:szCs w:val="22"/>
        </w:rPr>
        <w:t xml:space="preserve">But there is another side to the speed story. Warren Buffet’s famous line, “Wait for the fat pitch,” is a decision maxim urging investors </w:t>
      </w:r>
      <w:r w:rsidRPr="00C667B7">
        <w:rPr>
          <w:rFonts w:ascii="Century Schoolbook" w:hAnsi="Century Schoolbook" w:cs="Times New Roman"/>
          <w:i/>
          <w:sz w:val="22"/>
          <w:szCs w:val="22"/>
        </w:rPr>
        <w:t>not</w:t>
      </w:r>
      <w:r w:rsidRPr="00C667B7">
        <w:rPr>
          <w:rFonts w:ascii="Century Schoolbook" w:hAnsi="Century Schoolbook" w:cs="Times New Roman"/>
          <w:sz w:val="22"/>
          <w:szCs w:val="22"/>
        </w:rPr>
        <w:t xml:space="preserve"> to be in a hurry</w:t>
      </w:r>
      <w:r w:rsidR="00E963BF">
        <w:rPr>
          <w:rFonts w:ascii="Century Schoolbook" w:hAnsi="Century Schoolbook" w:cs="Times New Roman"/>
          <w:sz w:val="22"/>
          <w:szCs w:val="22"/>
        </w:rPr>
        <w:t xml:space="preserve"> </w:t>
      </w:r>
      <w:r w:rsidRPr="00C667B7">
        <w:rPr>
          <w:rFonts w:ascii="Century Schoolbook" w:hAnsi="Century Schoolbook" w:cs="Times New Roman"/>
          <w:sz w:val="22"/>
          <w:szCs w:val="22"/>
        </w:rPr>
        <w:t xml:space="preserve">because there are many investment opportunities, but not many good ones. </w:t>
      </w:r>
      <w:r w:rsidR="005D385D">
        <w:rPr>
          <w:rFonts w:ascii="Century Schoolbook" w:hAnsi="Century Schoolbook" w:cs="Times New Roman"/>
          <w:sz w:val="22"/>
          <w:szCs w:val="22"/>
        </w:rPr>
        <w:t>There</w:t>
      </w:r>
      <w:r w:rsidR="007E0B1E">
        <w:rPr>
          <w:rFonts w:ascii="Century Schoolbook" w:hAnsi="Century Schoolbook" w:cs="Times New Roman"/>
          <w:sz w:val="22"/>
          <w:szCs w:val="22"/>
        </w:rPr>
        <w:t xml:space="preserve"> may</w:t>
      </w:r>
      <w:r w:rsidR="005D385D">
        <w:rPr>
          <w:rFonts w:ascii="Century Schoolbook" w:hAnsi="Century Schoolbook" w:cs="Times New Roman"/>
          <w:sz w:val="22"/>
          <w:szCs w:val="22"/>
        </w:rPr>
        <w:t xml:space="preserve"> also</w:t>
      </w:r>
      <w:r w:rsidR="007E0B1E">
        <w:rPr>
          <w:rFonts w:ascii="Century Schoolbook" w:hAnsi="Century Schoolbook" w:cs="Times New Roman"/>
          <w:sz w:val="22"/>
          <w:szCs w:val="22"/>
        </w:rPr>
        <w:t xml:space="preserve"> be other cogent reasons for slower </w:t>
      </w:r>
      <w:r w:rsidR="003F0C3E">
        <w:rPr>
          <w:rFonts w:ascii="Century Schoolbook" w:hAnsi="Century Schoolbook" w:cs="Times New Roman"/>
          <w:sz w:val="22"/>
          <w:szCs w:val="22"/>
        </w:rPr>
        <w:t>decision-making</w:t>
      </w:r>
      <w:r w:rsidR="007E0B1E">
        <w:rPr>
          <w:rFonts w:ascii="Century Schoolbook" w:hAnsi="Century Schoolbook" w:cs="Times New Roman"/>
          <w:sz w:val="22"/>
          <w:szCs w:val="22"/>
        </w:rPr>
        <w:t>. If an analyst is really talented, his previous recommendation</w:t>
      </w:r>
      <w:r w:rsidR="00E72855">
        <w:rPr>
          <w:rFonts w:ascii="Century Schoolbook" w:hAnsi="Century Schoolbook" w:cs="Times New Roman"/>
          <w:sz w:val="22"/>
          <w:szCs w:val="22"/>
        </w:rPr>
        <w:t>s</w:t>
      </w:r>
      <w:r w:rsidR="007E0B1E">
        <w:rPr>
          <w:rFonts w:ascii="Century Schoolbook" w:hAnsi="Century Schoolbook" w:cs="Times New Roman"/>
          <w:sz w:val="22"/>
          <w:szCs w:val="22"/>
        </w:rPr>
        <w:t xml:space="preserve"> will remai</w:t>
      </w:r>
      <w:r w:rsidR="00F42303">
        <w:rPr>
          <w:rFonts w:ascii="Century Schoolbook" w:hAnsi="Century Schoolbook" w:cs="Times New Roman"/>
          <w:sz w:val="22"/>
          <w:szCs w:val="22"/>
        </w:rPr>
        <w:t>n accurate longer</w:t>
      </w:r>
      <w:r w:rsidR="002C6BD2">
        <w:rPr>
          <w:rFonts w:ascii="Century Schoolbook" w:hAnsi="Century Schoolbook" w:cs="Times New Roman"/>
          <w:sz w:val="22"/>
          <w:szCs w:val="22"/>
        </w:rPr>
        <w:t xml:space="preserve">. Thus, a truly talented analyst </w:t>
      </w:r>
      <w:r w:rsidR="0059421C">
        <w:rPr>
          <w:rFonts w:ascii="Century Schoolbook" w:hAnsi="Century Schoolbook" w:cs="Times New Roman"/>
          <w:sz w:val="22"/>
          <w:szCs w:val="22"/>
        </w:rPr>
        <w:t>should have</w:t>
      </w:r>
      <w:r w:rsidR="0027796D">
        <w:rPr>
          <w:rFonts w:ascii="Century Schoolbook" w:hAnsi="Century Schoolbook" w:cs="Times New Roman"/>
          <w:sz w:val="22"/>
          <w:szCs w:val="22"/>
        </w:rPr>
        <w:t xml:space="preserve"> less need to change them freq</w:t>
      </w:r>
      <w:r w:rsidR="00C57ED6">
        <w:rPr>
          <w:rFonts w:ascii="Century Schoolbook" w:hAnsi="Century Schoolbook" w:cs="Times New Roman"/>
          <w:sz w:val="22"/>
          <w:szCs w:val="22"/>
        </w:rPr>
        <w:t>uently.</w:t>
      </w:r>
    </w:p>
    <w:p w14:paraId="704CE129" w14:textId="477D5EF6" w:rsidR="000853DA" w:rsidRDefault="000853DA" w:rsidP="00EA026A">
      <w:pPr>
        <w:pStyle w:val="Default"/>
        <w:spacing w:after="120" w:line="480" w:lineRule="auto"/>
        <w:ind w:firstLine="284"/>
        <w:jc w:val="both"/>
        <w:rPr>
          <w:rFonts w:ascii="Century Schoolbook" w:hAnsi="Century Schoolbook" w:cs="Times New Roman"/>
          <w:sz w:val="22"/>
          <w:szCs w:val="22"/>
        </w:rPr>
      </w:pPr>
      <w:r>
        <w:rPr>
          <w:rFonts w:ascii="Century Schoolbook" w:hAnsi="Century Schoolbook" w:cs="Times New Roman"/>
          <w:sz w:val="22"/>
          <w:szCs w:val="22"/>
        </w:rPr>
        <w:t>Several factors could affect when analysts revise their recommendations. Intuitively, an analyst would change a stock recommendation when his assessment of the stock value (</w:t>
      </w:r>
      <w:r w:rsidRPr="00FF22BD">
        <w:rPr>
          <w:rFonts w:ascii="Century Schoolbook" w:hAnsi="Century Schoolbook" w:cs="Times New Roman"/>
          <w:i/>
          <w:sz w:val="22"/>
          <w:szCs w:val="22"/>
        </w:rPr>
        <w:t>V</w:t>
      </w:r>
      <w:r>
        <w:rPr>
          <w:rFonts w:ascii="Century Schoolbook" w:hAnsi="Century Schoolbook" w:cs="Times New Roman"/>
          <w:sz w:val="22"/>
          <w:szCs w:val="22"/>
        </w:rPr>
        <w:t>) sufficiently deviates from the current share price (</w:t>
      </w:r>
      <w:r w:rsidRPr="00FF22BD">
        <w:rPr>
          <w:rFonts w:ascii="Century Schoolbook" w:hAnsi="Century Schoolbook" w:cs="Times New Roman"/>
          <w:i/>
          <w:sz w:val="22"/>
          <w:szCs w:val="22"/>
        </w:rPr>
        <w:t>P</w:t>
      </w:r>
      <w:r>
        <w:rPr>
          <w:rFonts w:ascii="Century Schoolbook" w:hAnsi="Century Schoolbook" w:cs="Times New Roman"/>
          <w:sz w:val="22"/>
          <w:szCs w:val="22"/>
        </w:rPr>
        <w:t xml:space="preserve">). If the ratio of an analyst’s stock </w:t>
      </w:r>
      <w:r>
        <w:rPr>
          <w:rFonts w:ascii="Century Schoolbook" w:hAnsi="Century Schoolbook" w:cs="Times New Roman"/>
          <w:sz w:val="22"/>
          <w:szCs w:val="22"/>
        </w:rPr>
        <w:lastRenderedPageBreak/>
        <w:t>valuation to price (</w:t>
      </w:r>
      <w:r w:rsidRPr="00175708">
        <w:rPr>
          <w:rFonts w:ascii="Century Schoolbook" w:hAnsi="Century Schoolbook" w:cs="Times New Roman"/>
          <w:i/>
          <w:sz w:val="22"/>
          <w:szCs w:val="22"/>
        </w:rPr>
        <w:t>V/P</w:t>
      </w:r>
      <w:r>
        <w:rPr>
          <w:rFonts w:ascii="Century Schoolbook" w:hAnsi="Century Schoolbook" w:cs="Times New Roman"/>
          <w:sz w:val="22"/>
          <w:szCs w:val="22"/>
        </w:rPr>
        <w:t xml:space="preserve">) exceeds or falls below a certain threshold, then a recommendation is triggered. Under this framework, variations in the timing of recommendation changes can come through four channels. The first is the arrival of new information </w:t>
      </w:r>
      <w:r w:rsidR="00E50905">
        <w:rPr>
          <w:rFonts w:ascii="Century Schoolbook" w:hAnsi="Century Schoolbook" w:cs="Times New Roman"/>
          <w:sz w:val="22"/>
          <w:szCs w:val="22"/>
        </w:rPr>
        <w:t>that alter</w:t>
      </w:r>
      <w:r w:rsidR="008B39EE">
        <w:rPr>
          <w:rFonts w:ascii="Century Schoolbook" w:hAnsi="Century Schoolbook" w:cs="Times New Roman"/>
          <w:sz w:val="22"/>
          <w:szCs w:val="22"/>
        </w:rPr>
        <w:t>s</w:t>
      </w:r>
      <w:r w:rsidR="00E50905">
        <w:rPr>
          <w:rFonts w:ascii="Century Schoolbook" w:hAnsi="Century Schoolbook" w:cs="Times New Roman"/>
          <w:sz w:val="22"/>
          <w:szCs w:val="22"/>
        </w:rPr>
        <w:t xml:space="preserve"> an analyst’s </w:t>
      </w:r>
      <w:r>
        <w:rPr>
          <w:rFonts w:ascii="Century Schoolbook" w:hAnsi="Century Schoolbook" w:cs="Times New Roman"/>
          <w:sz w:val="22"/>
          <w:szCs w:val="22"/>
        </w:rPr>
        <w:t xml:space="preserve">assessment of the stock value </w:t>
      </w:r>
      <w:r w:rsidRPr="00674761">
        <w:rPr>
          <w:rFonts w:ascii="Century Schoolbook" w:hAnsi="Century Schoolbook" w:cs="Times New Roman"/>
          <w:i/>
          <w:sz w:val="22"/>
          <w:szCs w:val="22"/>
        </w:rPr>
        <w:t>(V</w:t>
      </w:r>
      <w:r>
        <w:rPr>
          <w:rFonts w:ascii="Century Schoolbook" w:hAnsi="Century Schoolbook" w:cs="Times New Roman"/>
          <w:i/>
          <w:sz w:val="22"/>
          <w:szCs w:val="22"/>
        </w:rPr>
        <w:t>).</w:t>
      </w:r>
      <w:r>
        <w:rPr>
          <w:rFonts w:ascii="Century Schoolbook" w:hAnsi="Century Schoolbook" w:cs="Times New Roman"/>
          <w:sz w:val="22"/>
          <w:szCs w:val="22"/>
        </w:rPr>
        <w:t xml:space="preserve"> Th</w:t>
      </w:r>
      <w:r w:rsidR="008B39EE">
        <w:rPr>
          <w:rFonts w:ascii="Century Schoolbook" w:hAnsi="Century Schoolbook" w:cs="Times New Roman"/>
          <w:sz w:val="22"/>
          <w:szCs w:val="22"/>
        </w:rPr>
        <w:t>is</w:t>
      </w:r>
      <w:r>
        <w:rPr>
          <w:rFonts w:ascii="Century Schoolbook" w:hAnsi="Century Schoolbook" w:cs="Times New Roman"/>
          <w:sz w:val="22"/>
          <w:szCs w:val="22"/>
        </w:rPr>
        <w:t xml:space="preserve"> </w:t>
      </w:r>
      <w:r w:rsidR="008B39EE">
        <w:rPr>
          <w:rFonts w:ascii="Century Schoolbook" w:hAnsi="Century Schoolbook" w:cs="Times New Roman"/>
          <w:sz w:val="22"/>
          <w:szCs w:val="22"/>
        </w:rPr>
        <w:t>new information</w:t>
      </w:r>
      <w:r>
        <w:rPr>
          <w:rFonts w:ascii="Century Schoolbook" w:hAnsi="Century Schoolbook" w:cs="Times New Roman"/>
          <w:sz w:val="22"/>
          <w:szCs w:val="22"/>
        </w:rPr>
        <w:t xml:space="preserve"> could be in the form of public news about the company (e.g., earnings announcements) or news about</w:t>
      </w:r>
      <w:r w:rsidR="009A2DA6">
        <w:rPr>
          <w:rFonts w:ascii="Century Schoolbook" w:hAnsi="Century Schoolbook" w:cs="Times New Roman"/>
          <w:sz w:val="22"/>
          <w:szCs w:val="22"/>
        </w:rPr>
        <w:t xml:space="preserve"> the industry. Also, t</w:t>
      </w:r>
      <w:r>
        <w:rPr>
          <w:rFonts w:ascii="Century Schoolbook" w:hAnsi="Century Schoolbook" w:cs="Times New Roman"/>
          <w:sz w:val="22"/>
          <w:szCs w:val="22"/>
        </w:rPr>
        <w:t xml:space="preserve">he information that analysts </w:t>
      </w:r>
      <w:r w:rsidR="002F2D87">
        <w:rPr>
          <w:rFonts w:ascii="Century Schoolbook" w:hAnsi="Century Schoolbook" w:cs="Times New Roman"/>
          <w:sz w:val="22"/>
          <w:szCs w:val="22"/>
        </w:rPr>
        <w:t>acquire</w:t>
      </w:r>
      <w:r>
        <w:rPr>
          <w:rFonts w:ascii="Century Schoolbook" w:hAnsi="Century Schoolbook" w:cs="Times New Roman"/>
          <w:sz w:val="22"/>
          <w:szCs w:val="22"/>
        </w:rPr>
        <w:t xml:space="preserve"> </w:t>
      </w:r>
      <w:r w:rsidR="009A2DA6">
        <w:rPr>
          <w:rFonts w:ascii="Century Schoolbook" w:hAnsi="Century Schoolbook" w:cs="Times New Roman"/>
          <w:sz w:val="22"/>
          <w:szCs w:val="22"/>
        </w:rPr>
        <w:t xml:space="preserve">need not be publicly observable but </w:t>
      </w:r>
      <w:r w:rsidR="007F528F">
        <w:rPr>
          <w:rFonts w:ascii="Century Schoolbook" w:hAnsi="Century Schoolbook" w:cs="Times New Roman"/>
          <w:sz w:val="22"/>
          <w:szCs w:val="22"/>
        </w:rPr>
        <w:t xml:space="preserve">arrive </w:t>
      </w:r>
      <w:r w:rsidR="009A2DA6">
        <w:rPr>
          <w:rFonts w:ascii="Century Schoolbook" w:hAnsi="Century Schoolbook" w:cs="Times New Roman"/>
          <w:sz w:val="22"/>
          <w:szCs w:val="22"/>
        </w:rPr>
        <w:t xml:space="preserve">through private </w:t>
      </w:r>
      <w:r>
        <w:rPr>
          <w:rFonts w:ascii="Century Schoolbook" w:hAnsi="Century Schoolbook" w:cs="Times New Roman"/>
          <w:sz w:val="22"/>
          <w:szCs w:val="22"/>
        </w:rPr>
        <w:t>channels such as their interaction with firm managers. The second channel for which variations in the recommendation speed can arise is through the publicly traded share price (</w:t>
      </w:r>
      <w:r>
        <w:rPr>
          <w:rFonts w:ascii="Century Schoolbook" w:hAnsi="Century Schoolbook" w:cs="Times New Roman"/>
          <w:i/>
          <w:sz w:val="22"/>
          <w:szCs w:val="22"/>
        </w:rPr>
        <w:t>P</w:t>
      </w:r>
      <w:r>
        <w:rPr>
          <w:rFonts w:ascii="Century Schoolbook" w:hAnsi="Century Schoolbook" w:cs="Times New Roman"/>
          <w:sz w:val="22"/>
          <w:szCs w:val="22"/>
        </w:rPr>
        <w:t xml:space="preserve">). </w:t>
      </w:r>
      <w:r w:rsidR="007F528F">
        <w:rPr>
          <w:rFonts w:ascii="Century Schoolbook" w:hAnsi="Century Schoolbook" w:cs="Times New Roman"/>
          <w:sz w:val="22"/>
          <w:szCs w:val="22"/>
        </w:rPr>
        <w:t>For instance, a</w:t>
      </w:r>
      <w:r w:rsidR="00C3018F">
        <w:rPr>
          <w:rFonts w:ascii="Century Schoolbook" w:hAnsi="Century Schoolbook" w:cs="Times New Roman"/>
          <w:sz w:val="22"/>
          <w:szCs w:val="22"/>
        </w:rPr>
        <w:t xml:space="preserve"> </w:t>
      </w:r>
      <w:r>
        <w:rPr>
          <w:rFonts w:ascii="Century Schoolbook" w:hAnsi="Century Schoolbook" w:cs="Times New Roman"/>
          <w:sz w:val="22"/>
          <w:szCs w:val="22"/>
        </w:rPr>
        <w:t>sudden stock price jump</w:t>
      </w:r>
      <w:r w:rsidR="00C3018F">
        <w:rPr>
          <w:rFonts w:ascii="Century Schoolbook" w:hAnsi="Century Schoolbook" w:cs="Times New Roman"/>
          <w:sz w:val="22"/>
          <w:szCs w:val="22"/>
        </w:rPr>
        <w:t xml:space="preserve"> can trigger a recommendation</w:t>
      </w:r>
      <w:r w:rsidR="00EA026A">
        <w:rPr>
          <w:rFonts w:ascii="Century Schoolbook" w:hAnsi="Century Schoolbook" w:cs="Times New Roman"/>
          <w:sz w:val="22"/>
          <w:szCs w:val="22"/>
        </w:rPr>
        <w:t xml:space="preserve"> change</w:t>
      </w:r>
      <w:r w:rsidR="00EF046B">
        <w:rPr>
          <w:rFonts w:ascii="Century Schoolbook" w:hAnsi="Century Schoolbook" w:cs="Times New Roman"/>
          <w:sz w:val="22"/>
          <w:szCs w:val="22"/>
        </w:rPr>
        <w:t xml:space="preserve"> which can</w:t>
      </w:r>
      <w:r>
        <w:rPr>
          <w:rFonts w:ascii="Century Schoolbook" w:hAnsi="Century Schoolbook" w:cs="Times New Roman"/>
          <w:sz w:val="22"/>
          <w:szCs w:val="22"/>
        </w:rPr>
        <w:t xml:space="preserve"> occur </w:t>
      </w:r>
      <w:r w:rsidR="00EF046B">
        <w:rPr>
          <w:rFonts w:ascii="Century Schoolbook" w:hAnsi="Century Schoolbook" w:cs="Times New Roman"/>
          <w:sz w:val="22"/>
          <w:szCs w:val="22"/>
        </w:rPr>
        <w:t>with</w:t>
      </w:r>
      <w:r w:rsidR="00DC79F6">
        <w:rPr>
          <w:rFonts w:ascii="Century Schoolbook" w:hAnsi="Century Schoolbook" w:cs="Times New Roman"/>
          <w:sz w:val="22"/>
          <w:szCs w:val="22"/>
        </w:rPr>
        <w:t xml:space="preserve"> </w:t>
      </w:r>
      <w:r w:rsidR="00C24888">
        <w:rPr>
          <w:rFonts w:ascii="Century Schoolbook" w:hAnsi="Century Schoolbook" w:cs="Times New Roman"/>
          <w:sz w:val="22"/>
          <w:szCs w:val="22"/>
        </w:rPr>
        <w:t xml:space="preserve">news arrival, </w:t>
      </w:r>
      <w:r w:rsidR="00EA026A">
        <w:rPr>
          <w:rFonts w:ascii="Century Schoolbook" w:hAnsi="Century Schoolbook" w:cs="Times New Roman"/>
          <w:sz w:val="22"/>
          <w:szCs w:val="22"/>
        </w:rPr>
        <w:t xml:space="preserve">as well as in its absence. </w:t>
      </w:r>
      <w:r>
        <w:rPr>
          <w:rFonts w:ascii="Century Schoolbook" w:hAnsi="Century Schoolbook" w:cs="Times New Roman"/>
          <w:sz w:val="22"/>
          <w:szCs w:val="22"/>
        </w:rPr>
        <w:t>The third channel</w:t>
      </w:r>
      <w:r w:rsidR="00EA026A">
        <w:rPr>
          <w:rFonts w:ascii="Century Schoolbook" w:hAnsi="Century Schoolbook" w:cs="Times New Roman"/>
          <w:sz w:val="22"/>
          <w:szCs w:val="22"/>
        </w:rPr>
        <w:t xml:space="preserve"> that can explain </w:t>
      </w:r>
      <w:r>
        <w:rPr>
          <w:rFonts w:ascii="Century Schoolbook" w:hAnsi="Century Schoolbook" w:cs="Times New Roman"/>
          <w:sz w:val="22"/>
          <w:szCs w:val="22"/>
        </w:rPr>
        <w:t xml:space="preserve">variations </w:t>
      </w:r>
      <w:r w:rsidR="00EA026A">
        <w:rPr>
          <w:rFonts w:ascii="Century Schoolbook" w:hAnsi="Century Schoolbook" w:cs="Times New Roman"/>
          <w:sz w:val="22"/>
          <w:szCs w:val="22"/>
        </w:rPr>
        <w:t>in recommendation-</w:t>
      </w:r>
      <w:r w:rsidR="00350B6A">
        <w:rPr>
          <w:rFonts w:ascii="Century Schoolbook" w:hAnsi="Century Schoolbook" w:cs="Times New Roman"/>
          <w:sz w:val="22"/>
          <w:szCs w:val="22"/>
        </w:rPr>
        <w:t>change</w:t>
      </w:r>
      <w:r w:rsidR="00EA026A">
        <w:rPr>
          <w:rFonts w:ascii="Century Schoolbook" w:hAnsi="Century Schoolbook" w:cs="Times New Roman"/>
          <w:sz w:val="22"/>
          <w:szCs w:val="22"/>
        </w:rPr>
        <w:t xml:space="preserve"> speed relates to the</w:t>
      </w:r>
      <w:r>
        <w:rPr>
          <w:rFonts w:ascii="Century Schoolbook" w:hAnsi="Century Schoolbook" w:cs="Times New Roman"/>
          <w:sz w:val="22"/>
          <w:szCs w:val="22"/>
        </w:rPr>
        <w:t xml:space="preserve"> </w:t>
      </w:r>
      <w:r w:rsidR="00DC79F6">
        <w:rPr>
          <w:rFonts w:ascii="Century Schoolbook" w:hAnsi="Century Schoolbook" w:cs="Times New Roman"/>
          <w:sz w:val="22"/>
          <w:szCs w:val="22"/>
        </w:rPr>
        <w:t xml:space="preserve">nature </w:t>
      </w:r>
      <w:r>
        <w:rPr>
          <w:rFonts w:ascii="Century Schoolbook" w:hAnsi="Century Schoolbook" w:cs="Times New Roman"/>
          <w:sz w:val="22"/>
          <w:szCs w:val="22"/>
        </w:rPr>
        <w:t xml:space="preserve">of </w:t>
      </w:r>
      <w:r w:rsidR="00DC79F6">
        <w:rPr>
          <w:rFonts w:ascii="Century Schoolbook" w:hAnsi="Century Schoolbook" w:cs="Times New Roman"/>
          <w:sz w:val="22"/>
          <w:szCs w:val="22"/>
        </w:rPr>
        <w:t xml:space="preserve">a </w:t>
      </w:r>
      <w:r>
        <w:rPr>
          <w:rFonts w:ascii="Century Schoolbook" w:hAnsi="Century Schoolbook" w:cs="Times New Roman"/>
          <w:sz w:val="22"/>
          <w:szCs w:val="22"/>
        </w:rPr>
        <w:t xml:space="preserve">new recommendation that the analyst is evaluating. This includes the magnitude of recommendation changes that the analyst is contemplating, as well as the current recommendation level. </w:t>
      </w:r>
    </w:p>
    <w:p w14:paraId="5066DD87" w14:textId="4CBE9BBE" w:rsidR="000853DA" w:rsidRDefault="000853DA" w:rsidP="000853DA">
      <w:pPr>
        <w:pStyle w:val="Default"/>
        <w:spacing w:after="120" w:line="480" w:lineRule="auto"/>
        <w:ind w:firstLine="284"/>
        <w:jc w:val="both"/>
        <w:rPr>
          <w:rFonts w:ascii="Century Schoolbook" w:hAnsi="Century Schoolbook" w:cs="Times New Roman"/>
          <w:sz w:val="22"/>
          <w:szCs w:val="22"/>
        </w:rPr>
      </w:pPr>
      <w:r>
        <w:rPr>
          <w:rFonts w:ascii="Century Schoolbook" w:hAnsi="Century Schoolbook" w:cs="Times New Roman"/>
          <w:sz w:val="22"/>
          <w:szCs w:val="22"/>
        </w:rPr>
        <w:t xml:space="preserve">Finally, the fourth channel that can explain </w:t>
      </w:r>
      <w:r w:rsidRPr="00F56015">
        <w:rPr>
          <w:rFonts w:ascii="Century Schoolbook" w:hAnsi="Century Schoolbook" w:cs="Times New Roman"/>
          <w:sz w:val="22"/>
          <w:szCs w:val="22"/>
        </w:rPr>
        <w:t>v</w:t>
      </w:r>
      <w:r>
        <w:rPr>
          <w:rFonts w:ascii="Century Schoolbook" w:hAnsi="Century Schoolbook" w:cs="Times New Roman"/>
          <w:sz w:val="22"/>
          <w:szCs w:val="22"/>
        </w:rPr>
        <w:t>ariations in</w:t>
      </w:r>
      <w:r w:rsidR="00DC79F6">
        <w:rPr>
          <w:rFonts w:ascii="Century Schoolbook" w:hAnsi="Century Schoolbook" w:cs="Times New Roman"/>
          <w:sz w:val="22"/>
          <w:szCs w:val="22"/>
        </w:rPr>
        <w:t xml:space="preserve"> the </w:t>
      </w:r>
      <w:r w:rsidR="001D11E9">
        <w:rPr>
          <w:rFonts w:ascii="Century Schoolbook" w:hAnsi="Century Schoolbook" w:cs="Times New Roman"/>
          <w:sz w:val="22"/>
          <w:szCs w:val="22"/>
        </w:rPr>
        <w:t>recommendation-</w:t>
      </w:r>
      <w:r w:rsidR="00DC79F6">
        <w:rPr>
          <w:rFonts w:ascii="Century Schoolbook" w:hAnsi="Century Schoolbook" w:cs="Times New Roman"/>
          <w:sz w:val="22"/>
          <w:szCs w:val="22"/>
        </w:rPr>
        <w:t xml:space="preserve">speed </w:t>
      </w:r>
      <w:r>
        <w:rPr>
          <w:rFonts w:ascii="Century Schoolbook" w:hAnsi="Century Schoolbook" w:cs="Times New Roman"/>
          <w:sz w:val="22"/>
          <w:szCs w:val="22"/>
        </w:rPr>
        <w:t xml:space="preserve">is </w:t>
      </w:r>
      <w:r w:rsidRPr="00F56015">
        <w:rPr>
          <w:rFonts w:ascii="Century Schoolbook" w:hAnsi="Century Schoolbook" w:cs="Times New Roman"/>
          <w:sz w:val="22"/>
          <w:szCs w:val="22"/>
        </w:rPr>
        <w:t xml:space="preserve">the </w:t>
      </w:r>
      <w:r>
        <w:rPr>
          <w:rFonts w:ascii="Century Schoolbook" w:hAnsi="Century Schoolbook" w:cs="Times New Roman"/>
          <w:sz w:val="22"/>
          <w:szCs w:val="22"/>
        </w:rPr>
        <w:t>analyst-person characteristic. This may be due</w:t>
      </w:r>
      <w:r w:rsidRPr="00F56015">
        <w:rPr>
          <w:rFonts w:ascii="Century Schoolbook" w:hAnsi="Century Schoolbook" w:cs="Times New Roman"/>
          <w:sz w:val="22"/>
          <w:szCs w:val="22"/>
        </w:rPr>
        <w:t xml:space="preserve"> to the speed </w:t>
      </w:r>
      <w:r w:rsidR="00D83AFF">
        <w:rPr>
          <w:rFonts w:ascii="Century Schoolbook" w:hAnsi="Century Schoolbook" w:cs="Times New Roman"/>
          <w:sz w:val="22"/>
          <w:szCs w:val="22"/>
        </w:rPr>
        <w:t>at</w:t>
      </w:r>
      <w:r w:rsidRPr="00F56015">
        <w:rPr>
          <w:rFonts w:ascii="Century Schoolbook" w:hAnsi="Century Schoolbook" w:cs="Times New Roman"/>
          <w:sz w:val="22"/>
          <w:szCs w:val="22"/>
        </w:rPr>
        <w:t xml:space="preserve"> which </w:t>
      </w:r>
      <w:r>
        <w:rPr>
          <w:rFonts w:ascii="Century Schoolbook" w:hAnsi="Century Schoolbook" w:cs="Times New Roman"/>
          <w:sz w:val="22"/>
          <w:szCs w:val="22"/>
        </w:rPr>
        <w:t>some analysts</w:t>
      </w:r>
      <w:r w:rsidRPr="00F56015">
        <w:rPr>
          <w:rFonts w:ascii="Century Schoolbook" w:hAnsi="Century Schoolbook" w:cs="Times New Roman"/>
          <w:sz w:val="22"/>
          <w:szCs w:val="22"/>
        </w:rPr>
        <w:t xml:space="preserve"> collect </w:t>
      </w:r>
      <w:r>
        <w:rPr>
          <w:rFonts w:ascii="Century Schoolbook" w:hAnsi="Century Schoolbook" w:cs="Times New Roman"/>
          <w:sz w:val="22"/>
          <w:szCs w:val="22"/>
        </w:rPr>
        <w:t xml:space="preserve">and absorb information, as well as the difference in their valuation approaches (Kahneman, 2011). </w:t>
      </w:r>
      <w:r w:rsidR="00AA06C5">
        <w:rPr>
          <w:rFonts w:ascii="Century Schoolbook" w:hAnsi="Century Schoolbook" w:cs="Times New Roman"/>
          <w:sz w:val="22"/>
          <w:szCs w:val="22"/>
        </w:rPr>
        <w:t xml:space="preserve">The </w:t>
      </w:r>
      <w:r>
        <w:rPr>
          <w:rFonts w:ascii="Century Schoolbook" w:hAnsi="Century Schoolbook" w:cs="Times New Roman"/>
          <w:sz w:val="22"/>
          <w:szCs w:val="22"/>
        </w:rPr>
        <w:t xml:space="preserve">speed at which </w:t>
      </w:r>
      <w:r w:rsidR="00350B6A">
        <w:rPr>
          <w:rFonts w:ascii="Century Schoolbook" w:hAnsi="Century Schoolbook" w:cs="Times New Roman"/>
          <w:sz w:val="22"/>
          <w:szCs w:val="22"/>
        </w:rPr>
        <w:t xml:space="preserve">analysts revise their </w:t>
      </w:r>
      <w:r>
        <w:rPr>
          <w:rFonts w:ascii="Century Schoolbook" w:hAnsi="Century Schoolbook" w:cs="Times New Roman"/>
          <w:sz w:val="22"/>
          <w:szCs w:val="22"/>
        </w:rPr>
        <w:t xml:space="preserve">recommendations may </w:t>
      </w:r>
      <w:r w:rsidR="00AA06C5">
        <w:rPr>
          <w:rFonts w:ascii="Century Schoolbook" w:hAnsi="Century Schoolbook" w:cs="Times New Roman"/>
          <w:sz w:val="22"/>
          <w:szCs w:val="22"/>
        </w:rPr>
        <w:t xml:space="preserve">also </w:t>
      </w:r>
      <w:r>
        <w:rPr>
          <w:rFonts w:ascii="Century Schoolbook" w:hAnsi="Century Schoolbook" w:cs="Times New Roman"/>
          <w:sz w:val="22"/>
          <w:szCs w:val="22"/>
        </w:rPr>
        <w:t>be a strategic choice</w:t>
      </w:r>
      <w:r w:rsidR="00AB1E8B">
        <w:rPr>
          <w:rFonts w:ascii="Century Schoolbook" w:hAnsi="Century Schoolbook" w:cs="Times New Roman"/>
          <w:sz w:val="22"/>
          <w:szCs w:val="22"/>
        </w:rPr>
        <w:t xml:space="preserve">. </w:t>
      </w:r>
      <w:r w:rsidR="00564D72">
        <w:rPr>
          <w:rFonts w:ascii="Century Schoolbook" w:hAnsi="Century Schoolbook" w:cs="Times New Roman"/>
          <w:sz w:val="22"/>
          <w:szCs w:val="22"/>
        </w:rPr>
        <w:t>As shown in</w:t>
      </w:r>
      <w:r>
        <w:rPr>
          <w:rFonts w:ascii="Century Schoolbook" w:hAnsi="Century Schoolbook" w:cs="Times New Roman"/>
          <w:sz w:val="22"/>
          <w:szCs w:val="22"/>
        </w:rPr>
        <w:t xml:space="preserve"> Bernhardt, Wan and Xiao</w:t>
      </w:r>
      <w:r w:rsidR="00564D72">
        <w:rPr>
          <w:rFonts w:ascii="Century Schoolbook" w:hAnsi="Century Schoolbook" w:cs="Times New Roman"/>
          <w:sz w:val="22"/>
          <w:szCs w:val="22"/>
        </w:rPr>
        <w:t xml:space="preserve"> (</w:t>
      </w:r>
      <w:r w:rsidRPr="001C34BE">
        <w:rPr>
          <w:rFonts w:ascii="Century Schoolbook" w:hAnsi="Century Schoolbook" w:cs="Times New Roman"/>
          <w:sz w:val="22"/>
          <w:szCs w:val="22"/>
        </w:rPr>
        <w:t>2016</w:t>
      </w:r>
      <w:r w:rsidR="00350B6A">
        <w:rPr>
          <w:rFonts w:ascii="Century Schoolbook" w:hAnsi="Century Schoolbook" w:cs="Times New Roman"/>
          <w:sz w:val="22"/>
          <w:szCs w:val="22"/>
        </w:rPr>
        <w:t>)</w:t>
      </w:r>
      <w:r w:rsidR="00564D72">
        <w:rPr>
          <w:rFonts w:ascii="Century Schoolbook" w:hAnsi="Century Schoolbook" w:cs="Times New Roman"/>
          <w:sz w:val="22"/>
          <w:szCs w:val="22"/>
        </w:rPr>
        <w:t xml:space="preserve">, </w:t>
      </w:r>
      <w:r w:rsidR="00387AF7">
        <w:rPr>
          <w:rFonts w:ascii="Century Schoolbook" w:hAnsi="Century Schoolbook" w:cs="Times New Roman"/>
          <w:sz w:val="22"/>
          <w:szCs w:val="22"/>
        </w:rPr>
        <w:t>frictions in recommendation revisions</w:t>
      </w:r>
      <w:r w:rsidR="00AB1E8B">
        <w:rPr>
          <w:rFonts w:ascii="Century Schoolbook" w:hAnsi="Century Schoolbook" w:cs="Times New Roman"/>
          <w:sz w:val="22"/>
          <w:szCs w:val="22"/>
        </w:rPr>
        <w:t xml:space="preserve"> can arise through</w:t>
      </w:r>
      <w:r w:rsidR="00387AF7">
        <w:rPr>
          <w:rFonts w:ascii="Century Schoolbook" w:hAnsi="Century Schoolbook" w:cs="Times New Roman"/>
          <w:sz w:val="22"/>
          <w:szCs w:val="22"/>
        </w:rPr>
        <w:t xml:space="preserve"> the </w:t>
      </w:r>
      <w:r w:rsidR="00564D72">
        <w:rPr>
          <w:rFonts w:ascii="Century Schoolbook" w:hAnsi="Century Schoolbook" w:cs="Times New Roman"/>
          <w:sz w:val="22"/>
          <w:szCs w:val="22"/>
        </w:rPr>
        <w:t>threshold</w:t>
      </w:r>
      <w:r>
        <w:rPr>
          <w:rFonts w:ascii="Century Schoolbook" w:hAnsi="Century Schoolbook" w:cs="Times New Roman"/>
          <w:sz w:val="22"/>
          <w:szCs w:val="22"/>
        </w:rPr>
        <w:t xml:space="preserve"> in the valuation-to-price ratio (</w:t>
      </w:r>
      <w:r>
        <w:rPr>
          <w:rFonts w:ascii="Century Schoolbook" w:hAnsi="Century Schoolbook" w:cs="Times New Roman"/>
          <w:i/>
          <w:sz w:val="22"/>
          <w:szCs w:val="22"/>
        </w:rPr>
        <w:t>V/P)</w:t>
      </w:r>
      <w:r>
        <w:rPr>
          <w:rFonts w:ascii="Century Schoolbook" w:hAnsi="Century Schoolbook" w:cs="Times New Roman"/>
          <w:sz w:val="22"/>
          <w:szCs w:val="22"/>
        </w:rPr>
        <w:t xml:space="preserve"> that an analyst requires to exceed or fall below before a new recommendation is warranted. This “revision threshold” is likely to differ across analysts.</w:t>
      </w:r>
    </w:p>
    <w:p w14:paraId="713AB979" w14:textId="7F60DC97" w:rsidR="00E50905" w:rsidRDefault="00E50905" w:rsidP="00E50905">
      <w:pPr>
        <w:pStyle w:val="Default"/>
        <w:spacing w:after="120" w:line="480" w:lineRule="auto"/>
        <w:ind w:firstLine="360"/>
        <w:jc w:val="both"/>
        <w:rPr>
          <w:rFonts w:ascii="Century Schoolbook" w:hAnsi="Century Schoolbook" w:cs="Times New Roman"/>
          <w:sz w:val="22"/>
          <w:szCs w:val="22"/>
        </w:rPr>
      </w:pPr>
      <w:r w:rsidRPr="00C667B7">
        <w:rPr>
          <w:rFonts w:ascii="Century Schoolbook" w:hAnsi="Century Schoolbook" w:cs="Times New Roman"/>
          <w:sz w:val="22"/>
          <w:szCs w:val="22"/>
        </w:rPr>
        <w:t xml:space="preserve">In this paper, </w:t>
      </w:r>
      <w:r>
        <w:rPr>
          <w:rFonts w:ascii="Century Schoolbook" w:hAnsi="Century Schoolbook" w:cs="Times New Roman"/>
          <w:sz w:val="22"/>
          <w:szCs w:val="22"/>
        </w:rPr>
        <w:t>w</w:t>
      </w:r>
      <w:r w:rsidRPr="0064763B">
        <w:rPr>
          <w:rFonts w:ascii="Century Schoolbook" w:hAnsi="Century Schoolbook" w:cs="Times New Roman"/>
          <w:sz w:val="22"/>
          <w:szCs w:val="22"/>
        </w:rPr>
        <w:t>e show that variation</w:t>
      </w:r>
      <w:r w:rsidR="009D44D6">
        <w:rPr>
          <w:rFonts w:ascii="Century Schoolbook" w:hAnsi="Century Schoolbook" w:cs="Times New Roman"/>
          <w:sz w:val="22"/>
          <w:szCs w:val="22"/>
        </w:rPr>
        <w:t>s</w:t>
      </w:r>
      <w:r>
        <w:rPr>
          <w:rFonts w:ascii="Century Schoolbook" w:hAnsi="Century Schoolbook" w:cs="Times New Roman"/>
          <w:sz w:val="22"/>
          <w:szCs w:val="22"/>
        </w:rPr>
        <w:t xml:space="preserve"> in </w:t>
      </w:r>
      <w:r w:rsidR="005668B5">
        <w:rPr>
          <w:rFonts w:ascii="Century Schoolbook" w:hAnsi="Century Schoolbook" w:cs="Times New Roman"/>
          <w:sz w:val="22"/>
          <w:szCs w:val="22"/>
        </w:rPr>
        <w:t>the speed at which analysts revise</w:t>
      </w:r>
      <w:r w:rsidR="009D44D6">
        <w:rPr>
          <w:rFonts w:ascii="Century Schoolbook" w:hAnsi="Century Schoolbook" w:cs="Times New Roman"/>
          <w:sz w:val="22"/>
          <w:szCs w:val="22"/>
        </w:rPr>
        <w:t xml:space="preserve"> </w:t>
      </w:r>
      <w:r w:rsidR="005668B5">
        <w:rPr>
          <w:rFonts w:ascii="Century Schoolbook" w:hAnsi="Century Schoolbook" w:cs="Times New Roman"/>
          <w:sz w:val="22"/>
          <w:szCs w:val="22"/>
        </w:rPr>
        <w:t xml:space="preserve">their </w:t>
      </w:r>
      <w:r>
        <w:rPr>
          <w:rFonts w:ascii="Century Schoolbook" w:hAnsi="Century Schoolbook" w:cs="Times New Roman"/>
          <w:sz w:val="22"/>
          <w:szCs w:val="22"/>
        </w:rPr>
        <w:t>recommendation</w:t>
      </w:r>
      <w:r w:rsidR="009D44D6">
        <w:rPr>
          <w:rFonts w:ascii="Century Schoolbook" w:hAnsi="Century Schoolbook" w:cs="Times New Roman"/>
          <w:sz w:val="22"/>
          <w:szCs w:val="22"/>
        </w:rPr>
        <w:t>s</w:t>
      </w:r>
      <w:r w:rsidRPr="002011D8">
        <w:rPr>
          <w:rFonts w:ascii="Century Schoolbook" w:hAnsi="Century Schoolbook" w:cs="Times New Roman"/>
          <w:sz w:val="22"/>
          <w:szCs w:val="22"/>
        </w:rPr>
        <w:t xml:space="preserve"> </w:t>
      </w:r>
      <w:r>
        <w:rPr>
          <w:rFonts w:ascii="Century Schoolbook" w:hAnsi="Century Schoolbook" w:cs="Times New Roman"/>
          <w:sz w:val="22"/>
          <w:szCs w:val="22"/>
        </w:rPr>
        <w:t>is</w:t>
      </w:r>
      <w:r w:rsidRPr="0064763B">
        <w:rPr>
          <w:rFonts w:ascii="Century Schoolbook" w:hAnsi="Century Schoolbook" w:cs="Times New Roman"/>
          <w:sz w:val="22"/>
          <w:szCs w:val="22"/>
        </w:rPr>
        <w:t xml:space="preserve"> </w:t>
      </w:r>
      <w:r w:rsidR="009D44D6">
        <w:rPr>
          <w:rFonts w:ascii="Century Schoolbook" w:hAnsi="Century Schoolbook" w:cs="Times New Roman"/>
          <w:sz w:val="22"/>
          <w:szCs w:val="22"/>
        </w:rPr>
        <w:t xml:space="preserve">substantially </w:t>
      </w:r>
      <w:r w:rsidRPr="0064763B">
        <w:rPr>
          <w:rFonts w:ascii="Century Schoolbook" w:hAnsi="Century Schoolbook" w:cs="Times New Roman"/>
          <w:sz w:val="22"/>
          <w:szCs w:val="22"/>
        </w:rPr>
        <w:t>explained by the “speed-style” of individual analyst</w:t>
      </w:r>
      <w:r w:rsidR="00C316AA">
        <w:rPr>
          <w:rFonts w:ascii="Century Schoolbook" w:hAnsi="Century Schoolbook" w:cs="Times New Roman"/>
          <w:sz w:val="22"/>
          <w:szCs w:val="22"/>
        </w:rPr>
        <w:t>s</w:t>
      </w:r>
      <w:r>
        <w:rPr>
          <w:rFonts w:ascii="Century Schoolbook" w:hAnsi="Century Schoolbook" w:cs="Times New Roman"/>
          <w:sz w:val="22"/>
          <w:szCs w:val="22"/>
        </w:rPr>
        <w:t xml:space="preserve">. After, we </w:t>
      </w:r>
      <w:r w:rsidRPr="00C667B7">
        <w:rPr>
          <w:rFonts w:ascii="Century Schoolbook" w:hAnsi="Century Schoolbook" w:cs="Times New Roman"/>
          <w:sz w:val="22"/>
          <w:szCs w:val="22"/>
        </w:rPr>
        <w:t xml:space="preserve">analyze the investment value of the differing, inherent, decision-speed styles employed </w:t>
      </w:r>
      <w:r>
        <w:rPr>
          <w:rFonts w:ascii="Century Schoolbook" w:hAnsi="Century Schoolbook" w:cs="Times New Roman"/>
          <w:sz w:val="22"/>
          <w:szCs w:val="22"/>
        </w:rPr>
        <w:t>by stock experts</w:t>
      </w:r>
      <w:r w:rsidR="00D172CB">
        <w:rPr>
          <w:rFonts w:ascii="Century Schoolbook" w:hAnsi="Century Schoolbook" w:cs="Times New Roman"/>
          <w:sz w:val="22"/>
          <w:szCs w:val="22"/>
        </w:rPr>
        <w:t>.</w:t>
      </w:r>
    </w:p>
    <w:p w14:paraId="63DC50E4" w14:textId="5D7B2C7B" w:rsidR="00AC4E98" w:rsidRDefault="002F2D87" w:rsidP="007F528F">
      <w:pPr>
        <w:pStyle w:val="Default"/>
        <w:spacing w:after="120" w:line="480" w:lineRule="auto"/>
        <w:ind w:firstLine="360"/>
        <w:jc w:val="both"/>
        <w:rPr>
          <w:rFonts w:ascii="Century Schoolbook" w:hAnsi="Century Schoolbook" w:cs="Times New Roman"/>
          <w:sz w:val="22"/>
          <w:szCs w:val="22"/>
        </w:rPr>
      </w:pPr>
      <w:r w:rsidRPr="0064763B">
        <w:rPr>
          <w:rFonts w:ascii="Century Schoolbook" w:hAnsi="Century Schoolbook" w:cs="Times New Roman"/>
          <w:sz w:val="22"/>
          <w:szCs w:val="22"/>
        </w:rPr>
        <w:lastRenderedPageBreak/>
        <w:t xml:space="preserve">We introduce a methodology to </w:t>
      </w:r>
      <w:r>
        <w:rPr>
          <w:rFonts w:ascii="Century Schoolbook" w:hAnsi="Century Schoolbook" w:cs="Times New Roman"/>
          <w:sz w:val="22"/>
          <w:szCs w:val="22"/>
        </w:rPr>
        <w:t>identify</w:t>
      </w:r>
      <w:r w:rsidRPr="0064763B">
        <w:rPr>
          <w:rFonts w:ascii="Century Schoolbook" w:hAnsi="Century Schoolbook" w:cs="Times New Roman"/>
          <w:sz w:val="22"/>
          <w:szCs w:val="22"/>
        </w:rPr>
        <w:t xml:space="preserve"> an analyst’s propensity to update his recommendations on the spectrum of fast to slo</w:t>
      </w:r>
      <w:r>
        <w:rPr>
          <w:rFonts w:ascii="Century Schoolbook" w:hAnsi="Century Schoolbook" w:cs="Times New Roman"/>
          <w:sz w:val="22"/>
          <w:szCs w:val="22"/>
        </w:rPr>
        <w:t xml:space="preserve">w, relative to his competitors covering a similar portfolio of firms. </w:t>
      </w:r>
      <w:r w:rsidR="00087781" w:rsidRPr="0064763B">
        <w:rPr>
          <w:rFonts w:ascii="Century Schoolbook" w:hAnsi="Century Schoolbook" w:cs="Times New Roman"/>
          <w:sz w:val="22"/>
          <w:szCs w:val="22"/>
        </w:rPr>
        <w:t xml:space="preserve">We denote this speed-style </w:t>
      </w:r>
      <w:r w:rsidR="002C6450">
        <w:rPr>
          <w:rFonts w:ascii="Century Schoolbook" w:hAnsi="Century Schoolbook" w:cs="Times New Roman"/>
          <w:sz w:val="22"/>
          <w:szCs w:val="22"/>
        </w:rPr>
        <w:t>as the</w:t>
      </w:r>
      <w:r w:rsidR="00087781" w:rsidRPr="0064763B">
        <w:rPr>
          <w:rFonts w:ascii="Century Schoolbook" w:hAnsi="Century Schoolbook" w:cs="Times New Roman"/>
          <w:sz w:val="22"/>
          <w:szCs w:val="22"/>
        </w:rPr>
        <w:t xml:space="preserve"> “recommendation turnover,” representing how often the analyst </w:t>
      </w:r>
      <w:r w:rsidR="00087781" w:rsidRPr="0064763B">
        <w:rPr>
          <w:rFonts w:ascii="Century Schoolbook" w:hAnsi="Century Schoolbook" w:cs="Times New Roman"/>
          <w:i/>
          <w:sz w:val="22"/>
          <w:szCs w:val="22"/>
        </w:rPr>
        <w:t>overturns</w:t>
      </w:r>
      <w:r w:rsidR="00087781" w:rsidRPr="0064763B">
        <w:rPr>
          <w:rFonts w:ascii="Century Schoolbook" w:hAnsi="Century Schoolbook" w:cs="Times New Roman"/>
          <w:sz w:val="22"/>
          <w:szCs w:val="22"/>
        </w:rPr>
        <w:t xml:space="preserve"> his recommendation opinions. </w:t>
      </w:r>
      <w:r w:rsidR="00AC4E98">
        <w:rPr>
          <w:rFonts w:ascii="Century Schoolbook" w:hAnsi="Century Schoolbook" w:cs="Times New Roman"/>
          <w:sz w:val="22"/>
          <w:szCs w:val="22"/>
        </w:rPr>
        <w:t xml:space="preserve">The method </w:t>
      </w:r>
      <w:r w:rsidR="006B1315">
        <w:rPr>
          <w:rFonts w:ascii="Century Schoolbook" w:hAnsi="Century Schoolbook" w:cs="Times New Roman"/>
          <w:sz w:val="22"/>
          <w:szCs w:val="22"/>
        </w:rPr>
        <w:t xml:space="preserve">builds on a simple Binomial test and </w:t>
      </w:r>
      <w:r w:rsidR="00AC4E98">
        <w:rPr>
          <w:rFonts w:ascii="Century Schoolbook" w:hAnsi="Century Schoolbook" w:cs="Times New Roman"/>
          <w:sz w:val="22"/>
          <w:szCs w:val="22"/>
        </w:rPr>
        <w:t>accounts for firm characteristics that may</w:t>
      </w:r>
      <w:r w:rsidR="006B1315">
        <w:rPr>
          <w:rFonts w:ascii="Century Schoolbook" w:hAnsi="Century Schoolbook" w:cs="Times New Roman"/>
          <w:sz w:val="22"/>
          <w:szCs w:val="22"/>
        </w:rPr>
        <w:t xml:space="preserve"> influence the</w:t>
      </w:r>
      <w:r w:rsidR="00AC4E98">
        <w:rPr>
          <w:rFonts w:ascii="Century Schoolbook" w:hAnsi="Century Schoolbook" w:cs="Times New Roman"/>
          <w:sz w:val="22"/>
          <w:szCs w:val="22"/>
        </w:rPr>
        <w:t xml:space="preserve"> revision frequency</w:t>
      </w:r>
      <w:r w:rsidR="00767C59">
        <w:rPr>
          <w:rFonts w:ascii="Century Schoolbook" w:hAnsi="Century Schoolbook" w:cs="Times New Roman"/>
          <w:sz w:val="22"/>
          <w:szCs w:val="22"/>
        </w:rPr>
        <w:t>, and the number of stocks that the analyst covers.</w:t>
      </w:r>
      <w:r w:rsidR="007F528F">
        <w:rPr>
          <w:rFonts w:ascii="Century Schoolbook" w:hAnsi="Century Schoolbook" w:cs="Times New Roman"/>
          <w:sz w:val="22"/>
          <w:szCs w:val="22"/>
        </w:rPr>
        <w:t xml:space="preserve"> At the beginning of each calendar year, </w:t>
      </w:r>
      <w:r w:rsidR="007F528F" w:rsidRPr="00C667B7">
        <w:rPr>
          <w:rFonts w:ascii="Century Schoolbook" w:hAnsi="Century Schoolbook" w:cs="Times New Roman"/>
          <w:sz w:val="22"/>
          <w:szCs w:val="22"/>
        </w:rPr>
        <w:t xml:space="preserve">we use </w:t>
      </w:r>
      <w:r w:rsidR="008A331F">
        <w:rPr>
          <w:rFonts w:ascii="Century Schoolbook" w:hAnsi="Century Schoolbook" w:cs="Times New Roman"/>
          <w:sz w:val="22"/>
          <w:szCs w:val="22"/>
        </w:rPr>
        <w:t>detailed recommendation</w:t>
      </w:r>
      <w:r w:rsidR="007F528F" w:rsidRPr="00C667B7">
        <w:rPr>
          <w:rFonts w:ascii="Century Schoolbook" w:hAnsi="Century Schoolbook" w:cs="Times New Roman"/>
          <w:sz w:val="22"/>
          <w:szCs w:val="22"/>
        </w:rPr>
        <w:t xml:space="preserve"> history up until</w:t>
      </w:r>
      <w:r w:rsidR="007F528F">
        <w:rPr>
          <w:rFonts w:ascii="Century Schoolbook" w:hAnsi="Century Schoolbook" w:cs="Times New Roman"/>
          <w:sz w:val="22"/>
          <w:szCs w:val="22"/>
        </w:rPr>
        <w:t xml:space="preserve"> the end of the previous year t</w:t>
      </w:r>
      <w:r w:rsidR="007F528F" w:rsidRPr="00C667B7">
        <w:rPr>
          <w:rFonts w:ascii="Century Schoolbook" w:hAnsi="Century Schoolbook" w:cs="Times New Roman"/>
          <w:sz w:val="22"/>
          <w:szCs w:val="22"/>
        </w:rPr>
        <w:t>o classify analysts into three recommendation turnover groups: (1) Slow, (2) Average, (3) Fast.</w:t>
      </w:r>
      <w:r w:rsidR="007F528F">
        <w:rPr>
          <w:rFonts w:ascii="Century Schoolbook" w:hAnsi="Century Schoolbook" w:cs="Times New Roman"/>
          <w:sz w:val="22"/>
          <w:szCs w:val="22"/>
        </w:rPr>
        <w:t xml:space="preserve"> </w:t>
      </w:r>
      <w:r w:rsidR="00DE368F">
        <w:rPr>
          <w:rFonts w:ascii="Century Schoolbook" w:hAnsi="Century Schoolbook" w:cs="Times New Roman"/>
          <w:sz w:val="22"/>
          <w:szCs w:val="22"/>
        </w:rPr>
        <w:t>We repeat t</w:t>
      </w:r>
      <w:r w:rsidR="007F528F">
        <w:rPr>
          <w:rFonts w:ascii="Century Schoolbook" w:hAnsi="Century Schoolbook" w:cs="Times New Roman"/>
          <w:sz w:val="22"/>
          <w:szCs w:val="22"/>
        </w:rPr>
        <w:t xml:space="preserve">his process </w:t>
      </w:r>
      <w:r w:rsidR="008A331F">
        <w:rPr>
          <w:rFonts w:ascii="Century Schoolbook" w:hAnsi="Century Schoolbook" w:cs="Times New Roman"/>
          <w:sz w:val="22"/>
          <w:szCs w:val="22"/>
        </w:rPr>
        <w:t xml:space="preserve">yearly from 1996 to </w:t>
      </w:r>
      <w:r w:rsidR="007F528F">
        <w:rPr>
          <w:rFonts w:ascii="Century Schoolbook" w:hAnsi="Century Schoolbook" w:cs="Times New Roman"/>
          <w:sz w:val="22"/>
          <w:szCs w:val="22"/>
        </w:rPr>
        <w:t xml:space="preserve">2013. </w:t>
      </w:r>
      <w:r w:rsidR="007F528F" w:rsidRPr="00C667B7">
        <w:rPr>
          <w:rFonts w:ascii="Century Schoolbook" w:hAnsi="Century Schoolbook" w:cs="Times New Roman"/>
          <w:sz w:val="22"/>
          <w:szCs w:val="22"/>
        </w:rPr>
        <w:t xml:space="preserve">As a result, our method provides an </w:t>
      </w:r>
      <w:r w:rsidR="007F528F" w:rsidRPr="00C667B7">
        <w:rPr>
          <w:rFonts w:ascii="Century Schoolbook" w:hAnsi="Century Schoolbook" w:cs="Times New Roman"/>
          <w:i/>
          <w:sz w:val="22"/>
          <w:szCs w:val="22"/>
        </w:rPr>
        <w:t>out-of-sample</w:t>
      </w:r>
      <w:r w:rsidR="007F528F" w:rsidRPr="00C667B7">
        <w:rPr>
          <w:rFonts w:ascii="Century Schoolbook" w:hAnsi="Century Schoolbook" w:cs="Times New Roman"/>
          <w:sz w:val="22"/>
          <w:szCs w:val="22"/>
        </w:rPr>
        <w:t xml:space="preserve"> estimate of analysts’ recommendation decision-speed types from 1996 to 201</w:t>
      </w:r>
      <w:r w:rsidR="007F528F">
        <w:rPr>
          <w:rFonts w:ascii="Century Schoolbook" w:hAnsi="Century Schoolbook" w:cs="Times New Roman"/>
          <w:sz w:val="22"/>
          <w:szCs w:val="22"/>
        </w:rPr>
        <w:t>3</w:t>
      </w:r>
      <w:r w:rsidR="007F528F" w:rsidRPr="00C667B7">
        <w:rPr>
          <w:rFonts w:ascii="Century Schoolbook" w:hAnsi="Century Schoolbook" w:cs="Times New Roman"/>
          <w:sz w:val="22"/>
          <w:szCs w:val="22"/>
        </w:rPr>
        <w:t>.</w:t>
      </w:r>
      <w:r w:rsidR="007F528F">
        <w:rPr>
          <w:rFonts w:ascii="Century Schoolbook" w:hAnsi="Century Schoolbook" w:cs="Times New Roman"/>
          <w:sz w:val="22"/>
          <w:szCs w:val="22"/>
        </w:rPr>
        <w:t xml:space="preserve"> </w:t>
      </w:r>
      <w:r w:rsidR="00014CC2">
        <w:rPr>
          <w:rFonts w:ascii="Century Schoolbook" w:hAnsi="Century Schoolbook" w:cs="Times New Roman"/>
          <w:sz w:val="22"/>
          <w:szCs w:val="22"/>
        </w:rPr>
        <w:t xml:space="preserve">On average, we find that </w:t>
      </w:r>
      <w:r w:rsidR="00014CC2">
        <w:rPr>
          <w:rFonts w:ascii="Century Schoolbook" w:hAnsi="Century Schoolbook" w:cs="Times New Roman"/>
          <w:i/>
          <w:sz w:val="22"/>
          <w:szCs w:val="22"/>
        </w:rPr>
        <w:t>f</w:t>
      </w:r>
      <w:r w:rsidR="00014CC2" w:rsidRPr="00C667B7">
        <w:rPr>
          <w:rFonts w:ascii="Century Schoolbook" w:hAnsi="Century Schoolbook" w:cs="Times New Roman"/>
          <w:i/>
          <w:sz w:val="22"/>
          <w:szCs w:val="22"/>
        </w:rPr>
        <w:t xml:space="preserve">ast-turnover </w:t>
      </w:r>
      <w:r w:rsidR="00014CC2">
        <w:rPr>
          <w:rFonts w:ascii="Century Schoolbook" w:hAnsi="Century Schoolbook" w:cs="Times New Roman"/>
          <w:sz w:val="22"/>
          <w:szCs w:val="22"/>
        </w:rPr>
        <w:t xml:space="preserve">analysts </w:t>
      </w:r>
      <w:r w:rsidR="00014CC2" w:rsidRPr="00C667B7">
        <w:rPr>
          <w:rFonts w:ascii="Century Schoolbook" w:hAnsi="Century Schoolbook" w:cs="Times New Roman"/>
          <w:sz w:val="22"/>
          <w:szCs w:val="22"/>
        </w:rPr>
        <w:t xml:space="preserve">change their </w:t>
      </w:r>
      <w:r w:rsidR="00014CC2">
        <w:rPr>
          <w:rFonts w:ascii="Century Schoolbook" w:hAnsi="Century Schoolbook" w:cs="Times New Roman"/>
          <w:sz w:val="22"/>
          <w:szCs w:val="22"/>
        </w:rPr>
        <w:t>recommendations</w:t>
      </w:r>
      <w:r w:rsidR="00014CC2" w:rsidRPr="00C667B7">
        <w:rPr>
          <w:rFonts w:ascii="Century Schoolbook" w:hAnsi="Century Schoolbook" w:cs="Times New Roman"/>
          <w:sz w:val="22"/>
          <w:szCs w:val="22"/>
        </w:rPr>
        <w:t xml:space="preserve"> every 6 months, while </w:t>
      </w:r>
      <w:r w:rsidR="00014CC2" w:rsidRPr="00C667B7">
        <w:rPr>
          <w:rFonts w:ascii="Century Schoolbook" w:hAnsi="Century Schoolbook" w:cs="Times New Roman"/>
          <w:i/>
          <w:sz w:val="22"/>
          <w:szCs w:val="22"/>
        </w:rPr>
        <w:t xml:space="preserve">slow-turnover </w:t>
      </w:r>
      <w:r w:rsidR="00014CC2" w:rsidRPr="00C667B7">
        <w:rPr>
          <w:rFonts w:ascii="Century Schoolbook" w:hAnsi="Century Schoolbook" w:cs="Times New Roman"/>
          <w:sz w:val="22"/>
          <w:szCs w:val="22"/>
        </w:rPr>
        <w:t xml:space="preserve">analysts typically change their </w:t>
      </w:r>
      <w:r w:rsidR="00014CC2">
        <w:rPr>
          <w:rFonts w:ascii="Century Schoolbook" w:hAnsi="Century Schoolbook" w:cs="Times New Roman"/>
          <w:sz w:val="22"/>
          <w:szCs w:val="22"/>
        </w:rPr>
        <w:t xml:space="preserve">recommendations </w:t>
      </w:r>
      <w:r w:rsidR="00014CC2" w:rsidRPr="00C667B7">
        <w:rPr>
          <w:rFonts w:ascii="Century Schoolbook" w:hAnsi="Century Schoolbook" w:cs="Times New Roman"/>
          <w:sz w:val="22"/>
          <w:szCs w:val="22"/>
        </w:rPr>
        <w:t>every 20 months.</w:t>
      </w:r>
    </w:p>
    <w:p w14:paraId="0535BB88" w14:textId="35A5DE63" w:rsidR="004E5064" w:rsidRDefault="005C1766" w:rsidP="00A00DFF">
      <w:pPr>
        <w:pStyle w:val="Default"/>
        <w:spacing w:after="120" w:line="480" w:lineRule="auto"/>
        <w:ind w:firstLine="284"/>
        <w:jc w:val="both"/>
        <w:rPr>
          <w:rFonts w:ascii="Century Schoolbook" w:hAnsi="Century Schoolbook" w:cs="Times New Roman"/>
          <w:sz w:val="22"/>
          <w:szCs w:val="22"/>
        </w:rPr>
      </w:pPr>
      <w:r w:rsidRPr="000131BD">
        <w:rPr>
          <w:rFonts w:ascii="Century Schoolbook" w:hAnsi="Century Schoolbook" w:cs="Times New Roman"/>
          <w:sz w:val="22"/>
          <w:szCs w:val="22"/>
        </w:rPr>
        <w:t xml:space="preserve">We provide </w:t>
      </w:r>
      <w:r w:rsidR="007639BA">
        <w:rPr>
          <w:rFonts w:ascii="Century Schoolbook" w:hAnsi="Century Schoolbook" w:cs="Times New Roman"/>
          <w:sz w:val="22"/>
          <w:szCs w:val="22"/>
        </w:rPr>
        <w:t>s</w:t>
      </w:r>
      <w:r w:rsidR="00C0566F" w:rsidRPr="000131BD">
        <w:rPr>
          <w:rFonts w:ascii="Century Schoolbook" w:hAnsi="Century Schoolbook" w:cs="Times New Roman"/>
          <w:sz w:val="22"/>
          <w:szCs w:val="22"/>
        </w:rPr>
        <w:t xml:space="preserve">trong </w:t>
      </w:r>
      <w:r w:rsidRPr="000131BD">
        <w:rPr>
          <w:rFonts w:ascii="Century Schoolbook" w:hAnsi="Century Schoolbook" w:cs="Times New Roman"/>
          <w:sz w:val="22"/>
          <w:szCs w:val="22"/>
        </w:rPr>
        <w:t xml:space="preserve">evidence </w:t>
      </w:r>
      <w:r w:rsidR="008A331F" w:rsidRPr="000131BD">
        <w:rPr>
          <w:rFonts w:ascii="Century Schoolbook" w:hAnsi="Century Schoolbook" w:cs="Times New Roman"/>
          <w:sz w:val="22"/>
          <w:szCs w:val="22"/>
        </w:rPr>
        <w:t xml:space="preserve">that much of the </w:t>
      </w:r>
      <w:r w:rsidR="00487A0D" w:rsidRPr="000131BD">
        <w:rPr>
          <w:rFonts w:ascii="Century Schoolbook" w:hAnsi="Century Schoolbook" w:cs="Times New Roman"/>
          <w:sz w:val="22"/>
          <w:szCs w:val="22"/>
        </w:rPr>
        <w:t xml:space="preserve">variation in the </w:t>
      </w:r>
      <w:r w:rsidR="00696B7E" w:rsidRPr="000131BD">
        <w:rPr>
          <w:rFonts w:ascii="Century Schoolbook" w:hAnsi="Century Schoolbook" w:cs="Times New Roman"/>
          <w:sz w:val="22"/>
          <w:szCs w:val="22"/>
        </w:rPr>
        <w:t>speed</w:t>
      </w:r>
      <w:r w:rsidR="00487A0D" w:rsidRPr="000131BD">
        <w:rPr>
          <w:rFonts w:ascii="Century Schoolbook" w:hAnsi="Century Schoolbook" w:cs="Times New Roman"/>
          <w:sz w:val="22"/>
          <w:szCs w:val="22"/>
        </w:rPr>
        <w:t xml:space="preserve"> at</w:t>
      </w:r>
      <w:r w:rsidR="00696B7E" w:rsidRPr="000131BD">
        <w:rPr>
          <w:rFonts w:ascii="Century Schoolbook" w:hAnsi="Century Schoolbook" w:cs="Times New Roman"/>
          <w:sz w:val="22"/>
          <w:szCs w:val="22"/>
        </w:rPr>
        <w:t xml:space="preserve"> which analysts revise their recommendations</w:t>
      </w:r>
      <w:r w:rsidR="00E46461" w:rsidRPr="000131BD">
        <w:rPr>
          <w:rFonts w:ascii="Century Schoolbook" w:hAnsi="Century Schoolbook" w:cs="Times New Roman"/>
          <w:sz w:val="22"/>
          <w:szCs w:val="22"/>
        </w:rPr>
        <w:t xml:space="preserve"> </w:t>
      </w:r>
      <w:r w:rsidR="00324B43" w:rsidRPr="000131BD">
        <w:rPr>
          <w:rFonts w:ascii="Century Schoolbook" w:hAnsi="Century Schoolbook" w:cs="Times New Roman"/>
          <w:sz w:val="22"/>
          <w:szCs w:val="22"/>
        </w:rPr>
        <w:t xml:space="preserve">is </w:t>
      </w:r>
      <w:r w:rsidR="008706B4" w:rsidRPr="000131BD">
        <w:rPr>
          <w:rFonts w:ascii="Century Schoolbook" w:hAnsi="Century Schoolbook" w:cs="Times New Roman"/>
          <w:sz w:val="22"/>
          <w:szCs w:val="22"/>
        </w:rPr>
        <w:t xml:space="preserve">an </w:t>
      </w:r>
      <w:r w:rsidR="004D4146" w:rsidRPr="000131BD">
        <w:rPr>
          <w:rFonts w:ascii="Century Schoolbook" w:hAnsi="Century Schoolbook" w:cs="Times New Roman"/>
          <w:sz w:val="22"/>
          <w:szCs w:val="22"/>
        </w:rPr>
        <w:t>inherent</w:t>
      </w:r>
      <w:r w:rsidR="00F009FB" w:rsidRPr="000131BD">
        <w:rPr>
          <w:rFonts w:ascii="Century Schoolbook" w:hAnsi="Century Schoolbook" w:cs="Times New Roman"/>
          <w:sz w:val="22"/>
          <w:szCs w:val="22"/>
        </w:rPr>
        <w:t>-individual trait.</w:t>
      </w:r>
      <w:r w:rsidR="00BD155B" w:rsidRPr="000131BD">
        <w:rPr>
          <w:rFonts w:ascii="Century Schoolbook" w:hAnsi="Century Schoolbook" w:cs="Times New Roman"/>
          <w:sz w:val="22"/>
          <w:szCs w:val="22"/>
        </w:rPr>
        <w:t xml:space="preserve"> </w:t>
      </w:r>
      <w:r w:rsidR="00035DE2" w:rsidRPr="000131BD">
        <w:rPr>
          <w:rFonts w:ascii="Century Schoolbook" w:hAnsi="Century Schoolbook" w:cs="Times New Roman"/>
          <w:sz w:val="22"/>
          <w:szCs w:val="22"/>
        </w:rPr>
        <w:t>We</w:t>
      </w:r>
      <w:r w:rsidR="00014CC2" w:rsidRPr="000131BD">
        <w:rPr>
          <w:rFonts w:ascii="Century Schoolbook" w:hAnsi="Century Schoolbook" w:cs="Times New Roman"/>
          <w:sz w:val="22"/>
          <w:szCs w:val="22"/>
        </w:rPr>
        <w:t xml:space="preserve"> illustrate this by</w:t>
      </w:r>
      <w:r w:rsidR="00AC50D9" w:rsidRPr="000131BD">
        <w:rPr>
          <w:rFonts w:ascii="Century Schoolbook" w:hAnsi="Century Schoolbook" w:cs="Times New Roman"/>
          <w:sz w:val="22"/>
          <w:szCs w:val="22"/>
        </w:rPr>
        <w:t xml:space="preserve"> estimating a hazard rate model</w:t>
      </w:r>
      <w:r w:rsidR="00014CC2" w:rsidRPr="000131BD">
        <w:rPr>
          <w:rFonts w:ascii="Century Schoolbook" w:hAnsi="Century Schoolbook" w:cs="Times New Roman"/>
          <w:sz w:val="22"/>
          <w:szCs w:val="22"/>
        </w:rPr>
        <w:t xml:space="preserve"> </w:t>
      </w:r>
      <w:r w:rsidR="00AC50D9" w:rsidRPr="000131BD">
        <w:rPr>
          <w:rFonts w:ascii="Century Schoolbook" w:hAnsi="Century Schoolbook" w:cs="Times New Roman"/>
          <w:sz w:val="22"/>
          <w:szCs w:val="22"/>
        </w:rPr>
        <w:t xml:space="preserve">for the </w:t>
      </w:r>
      <w:r w:rsidR="00263B3F" w:rsidRPr="000131BD">
        <w:rPr>
          <w:rFonts w:ascii="Century Schoolbook" w:hAnsi="Century Schoolbook" w:cs="Times New Roman"/>
          <w:sz w:val="22"/>
          <w:szCs w:val="22"/>
        </w:rPr>
        <w:t xml:space="preserve">probability that </w:t>
      </w:r>
      <w:r w:rsidR="00AC50D9" w:rsidRPr="000131BD">
        <w:rPr>
          <w:rFonts w:ascii="Century Schoolbook" w:hAnsi="Century Schoolbook" w:cs="Times New Roman"/>
          <w:sz w:val="22"/>
          <w:szCs w:val="22"/>
        </w:rPr>
        <w:t>each recommendation will be revised in relation to analysts’ recommendation speed-styles identified from the previous year</w:t>
      </w:r>
      <w:r w:rsidR="007639BA">
        <w:rPr>
          <w:rFonts w:ascii="Century Schoolbook" w:hAnsi="Century Schoolbook" w:cs="Times New Roman"/>
          <w:sz w:val="22"/>
          <w:szCs w:val="22"/>
        </w:rPr>
        <w:t xml:space="preserve">. </w:t>
      </w:r>
      <w:r w:rsidR="00263B3F" w:rsidRPr="000131BD">
        <w:rPr>
          <w:rFonts w:ascii="Century Schoolbook" w:hAnsi="Century Schoolbook" w:cs="Times New Roman"/>
          <w:sz w:val="22"/>
          <w:szCs w:val="22"/>
        </w:rPr>
        <w:t xml:space="preserve">We control for </w:t>
      </w:r>
      <w:r w:rsidR="003D37DB" w:rsidRPr="000131BD">
        <w:rPr>
          <w:rFonts w:ascii="Century Schoolbook" w:hAnsi="Century Schoolbook" w:cs="Times New Roman"/>
          <w:sz w:val="22"/>
          <w:szCs w:val="22"/>
        </w:rPr>
        <w:t xml:space="preserve">a host of </w:t>
      </w:r>
      <w:r w:rsidR="00C64DD4" w:rsidRPr="000131BD">
        <w:rPr>
          <w:rFonts w:ascii="Century Schoolbook" w:hAnsi="Century Schoolbook" w:cs="Times New Roman"/>
          <w:sz w:val="22"/>
          <w:szCs w:val="22"/>
        </w:rPr>
        <w:t xml:space="preserve">observable </w:t>
      </w:r>
      <w:r w:rsidR="00A1406D" w:rsidRPr="000131BD">
        <w:rPr>
          <w:rFonts w:ascii="Century Schoolbook" w:hAnsi="Century Schoolbook" w:cs="Times New Roman"/>
          <w:sz w:val="22"/>
          <w:szCs w:val="22"/>
        </w:rPr>
        <w:t xml:space="preserve">signals </w:t>
      </w:r>
      <w:r w:rsidR="00263B3F" w:rsidRPr="000131BD">
        <w:rPr>
          <w:rFonts w:ascii="Century Schoolbook" w:hAnsi="Century Schoolbook" w:cs="Times New Roman"/>
          <w:sz w:val="22"/>
          <w:szCs w:val="22"/>
        </w:rPr>
        <w:t xml:space="preserve">that may trigger or delay recommendation revisions </w:t>
      </w:r>
      <w:r w:rsidR="000131BD">
        <w:rPr>
          <w:rFonts w:ascii="Century Schoolbook" w:hAnsi="Century Schoolbook" w:cs="Times New Roman"/>
          <w:sz w:val="22"/>
          <w:szCs w:val="22"/>
        </w:rPr>
        <w:t xml:space="preserve">and </w:t>
      </w:r>
      <w:r w:rsidR="001500E5">
        <w:rPr>
          <w:rFonts w:ascii="Century Schoolbook" w:hAnsi="Century Schoolbook" w:cs="Times New Roman"/>
          <w:sz w:val="22"/>
          <w:szCs w:val="22"/>
        </w:rPr>
        <w:t xml:space="preserve">our modeling approach </w:t>
      </w:r>
      <w:r w:rsidR="00943C9F">
        <w:rPr>
          <w:rFonts w:ascii="Century Schoolbook" w:hAnsi="Century Schoolbook" w:cs="Times New Roman"/>
          <w:sz w:val="22"/>
          <w:szCs w:val="22"/>
        </w:rPr>
        <w:t>allows</w:t>
      </w:r>
      <w:r w:rsidR="001500E5">
        <w:rPr>
          <w:rFonts w:ascii="Century Schoolbook" w:hAnsi="Century Schoolbook" w:cs="Times New Roman"/>
          <w:sz w:val="22"/>
          <w:szCs w:val="22"/>
        </w:rPr>
        <w:t xml:space="preserve"> for</w:t>
      </w:r>
      <w:r w:rsidR="00263B3F" w:rsidRPr="000131BD">
        <w:rPr>
          <w:rFonts w:ascii="Century Schoolbook" w:hAnsi="Century Schoolbook" w:cs="Times New Roman"/>
          <w:sz w:val="22"/>
          <w:szCs w:val="22"/>
        </w:rPr>
        <w:t xml:space="preserve"> unobserved heterogeneity across analysts (i.e., private information)</w:t>
      </w:r>
      <w:r w:rsidR="001500E5">
        <w:rPr>
          <w:rFonts w:ascii="Century Schoolbook" w:hAnsi="Century Schoolbook" w:cs="Times New Roman"/>
          <w:sz w:val="22"/>
          <w:szCs w:val="22"/>
        </w:rPr>
        <w:t xml:space="preserve"> that may affect their revision </w:t>
      </w:r>
      <w:r w:rsidR="00263B3F" w:rsidRPr="000131BD">
        <w:rPr>
          <w:rFonts w:ascii="Century Schoolbook" w:hAnsi="Century Schoolbook" w:cs="Times New Roman"/>
          <w:sz w:val="22"/>
          <w:szCs w:val="22"/>
        </w:rPr>
        <w:t>speed.</w:t>
      </w:r>
      <w:r w:rsidR="000131BD" w:rsidRPr="000131BD">
        <w:rPr>
          <w:rFonts w:ascii="Century Schoolbook" w:hAnsi="Century Schoolbook" w:cs="Times New Roman"/>
          <w:sz w:val="22"/>
          <w:szCs w:val="22"/>
        </w:rPr>
        <w:t xml:space="preserve"> </w:t>
      </w:r>
      <w:r w:rsidR="00372293" w:rsidRPr="000131BD">
        <w:rPr>
          <w:rFonts w:ascii="Century Schoolbook" w:hAnsi="Century Schoolbook" w:cs="Times New Roman"/>
          <w:sz w:val="22"/>
          <w:szCs w:val="22"/>
        </w:rPr>
        <w:t xml:space="preserve">Estimation results </w:t>
      </w:r>
      <w:r w:rsidR="00AC3516" w:rsidRPr="000131BD">
        <w:rPr>
          <w:rFonts w:ascii="Century Schoolbook" w:hAnsi="Century Schoolbook" w:cs="Times New Roman"/>
          <w:sz w:val="22"/>
          <w:szCs w:val="22"/>
        </w:rPr>
        <w:t>indicate</w:t>
      </w:r>
      <w:r w:rsidR="00A26BE9" w:rsidRPr="000131BD">
        <w:rPr>
          <w:rFonts w:ascii="Century Schoolbook" w:hAnsi="Century Schoolbook" w:cs="Times New Roman"/>
          <w:sz w:val="22"/>
          <w:szCs w:val="22"/>
        </w:rPr>
        <w:t xml:space="preserve"> that analysts’ </w:t>
      </w:r>
      <w:r w:rsidR="009629F6" w:rsidRPr="000131BD">
        <w:rPr>
          <w:rFonts w:ascii="Century Schoolbook" w:hAnsi="Century Schoolbook" w:cs="Times New Roman"/>
          <w:sz w:val="22"/>
          <w:szCs w:val="22"/>
        </w:rPr>
        <w:t xml:space="preserve">past </w:t>
      </w:r>
      <w:r w:rsidR="00007D41" w:rsidRPr="000131BD">
        <w:rPr>
          <w:rFonts w:ascii="Century Schoolbook" w:hAnsi="Century Schoolbook" w:cs="Times New Roman"/>
          <w:sz w:val="22"/>
          <w:szCs w:val="22"/>
        </w:rPr>
        <w:t xml:space="preserve">recommendation speed-style </w:t>
      </w:r>
      <w:r w:rsidR="004E2DDB" w:rsidRPr="000131BD">
        <w:rPr>
          <w:rFonts w:ascii="Century Schoolbook" w:hAnsi="Century Schoolbook" w:cs="Times New Roman"/>
          <w:sz w:val="22"/>
          <w:szCs w:val="22"/>
        </w:rPr>
        <w:t>strongly</w:t>
      </w:r>
      <w:r w:rsidR="00007D41" w:rsidRPr="000131BD">
        <w:rPr>
          <w:rFonts w:ascii="Century Schoolbook" w:hAnsi="Century Schoolbook" w:cs="Times New Roman"/>
          <w:sz w:val="22"/>
          <w:szCs w:val="22"/>
        </w:rPr>
        <w:t xml:space="preserve"> predicts the speed at which</w:t>
      </w:r>
      <w:r w:rsidR="00244407" w:rsidRPr="000131BD">
        <w:rPr>
          <w:rFonts w:ascii="Century Schoolbook" w:hAnsi="Century Schoolbook" w:cs="Times New Roman"/>
          <w:sz w:val="22"/>
          <w:szCs w:val="22"/>
        </w:rPr>
        <w:t xml:space="preserve"> </w:t>
      </w:r>
      <w:r w:rsidR="00943C9F">
        <w:rPr>
          <w:rFonts w:ascii="Century Schoolbook" w:hAnsi="Century Schoolbook" w:cs="Times New Roman"/>
          <w:sz w:val="22"/>
          <w:szCs w:val="22"/>
        </w:rPr>
        <w:t>they</w:t>
      </w:r>
      <w:r w:rsidR="00943C9F" w:rsidRPr="000131BD">
        <w:rPr>
          <w:rFonts w:ascii="Century Schoolbook" w:hAnsi="Century Schoolbook" w:cs="Times New Roman"/>
          <w:sz w:val="22"/>
          <w:szCs w:val="22"/>
        </w:rPr>
        <w:t xml:space="preserve"> </w:t>
      </w:r>
      <w:r w:rsidR="00007D41" w:rsidRPr="000131BD">
        <w:rPr>
          <w:rFonts w:ascii="Century Schoolbook" w:hAnsi="Century Schoolbook" w:cs="Times New Roman"/>
          <w:sz w:val="22"/>
          <w:szCs w:val="22"/>
        </w:rPr>
        <w:t xml:space="preserve">will revise their </w:t>
      </w:r>
      <w:r w:rsidR="009629F6" w:rsidRPr="000131BD">
        <w:rPr>
          <w:rFonts w:ascii="Century Schoolbook" w:hAnsi="Century Schoolbook" w:cs="Times New Roman"/>
          <w:sz w:val="22"/>
          <w:szCs w:val="22"/>
        </w:rPr>
        <w:t xml:space="preserve">next </w:t>
      </w:r>
      <w:r w:rsidR="00007D41" w:rsidRPr="000131BD">
        <w:rPr>
          <w:rFonts w:ascii="Century Schoolbook" w:hAnsi="Century Schoolbook" w:cs="Times New Roman"/>
          <w:sz w:val="22"/>
          <w:szCs w:val="22"/>
        </w:rPr>
        <w:t>recommendations.</w:t>
      </w:r>
      <w:r w:rsidR="00553C6C" w:rsidRPr="000131BD">
        <w:rPr>
          <w:rFonts w:ascii="Century Schoolbook" w:hAnsi="Century Schoolbook" w:cs="Times New Roman"/>
          <w:sz w:val="22"/>
          <w:szCs w:val="22"/>
        </w:rPr>
        <w:t xml:space="preserve"> </w:t>
      </w:r>
      <w:r w:rsidR="009629F6" w:rsidRPr="000131BD">
        <w:rPr>
          <w:rFonts w:ascii="Century Schoolbook" w:hAnsi="Century Schoolbook" w:cs="Times New Roman"/>
          <w:sz w:val="22"/>
          <w:szCs w:val="22"/>
        </w:rPr>
        <w:t xml:space="preserve">The economic magnitude is large. </w:t>
      </w:r>
      <w:r w:rsidR="00A26BE9" w:rsidRPr="000131BD">
        <w:rPr>
          <w:rFonts w:ascii="Century Schoolbook" w:hAnsi="Century Schoolbook" w:cs="Times New Roman"/>
          <w:sz w:val="22"/>
          <w:szCs w:val="22"/>
        </w:rPr>
        <w:t xml:space="preserve">The </w:t>
      </w:r>
      <w:r w:rsidR="0061774F" w:rsidRPr="000131BD">
        <w:rPr>
          <w:rFonts w:ascii="Century Schoolbook" w:hAnsi="Century Schoolbook" w:cs="Times New Roman"/>
          <w:sz w:val="22"/>
          <w:szCs w:val="22"/>
        </w:rPr>
        <w:t>model</w:t>
      </w:r>
      <w:r w:rsidR="00A26BE9" w:rsidRPr="000131BD">
        <w:rPr>
          <w:rFonts w:ascii="Century Schoolbook" w:hAnsi="Century Schoolbook" w:cs="Times New Roman"/>
          <w:sz w:val="22"/>
          <w:szCs w:val="22"/>
        </w:rPr>
        <w:t xml:space="preserve"> estimates</w:t>
      </w:r>
      <w:r w:rsidR="009629F6" w:rsidRPr="000131BD">
        <w:rPr>
          <w:rFonts w:ascii="Century Schoolbook" w:hAnsi="Century Schoolbook" w:cs="Times New Roman"/>
          <w:sz w:val="22"/>
          <w:szCs w:val="22"/>
        </w:rPr>
        <w:t xml:space="preserve"> imply </w:t>
      </w:r>
      <w:r w:rsidR="00A26BE9" w:rsidRPr="000131BD">
        <w:rPr>
          <w:rFonts w:ascii="Century Schoolbook" w:hAnsi="Century Schoolbook" w:cs="Times New Roman"/>
          <w:sz w:val="22"/>
          <w:szCs w:val="22"/>
        </w:rPr>
        <w:t xml:space="preserve">that on any given week, </w:t>
      </w:r>
      <w:r w:rsidR="009629F6" w:rsidRPr="000131BD">
        <w:rPr>
          <w:rFonts w:ascii="Century Schoolbook" w:hAnsi="Century Schoolbook" w:cs="Times New Roman"/>
          <w:sz w:val="22"/>
          <w:szCs w:val="22"/>
        </w:rPr>
        <w:t>fast-turnover analyst</w:t>
      </w:r>
      <w:r w:rsidR="00C05DE0" w:rsidRPr="000131BD">
        <w:rPr>
          <w:rFonts w:ascii="Century Schoolbook" w:hAnsi="Century Schoolbook" w:cs="Times New Roman"/>
          <w:sz w:val="22"/>
          <w:szCs w:val="22"/>
        </w:rPr>
        <w:t>s are</w:t>
      </w:r>
      <w:r w:rsidR="00C66338" w:rsidRPr="000131BD">
        <w:rPr>
          <w:rFonts w:ascii="Century Schoolbook" w:hAnsi="Century Schoolbook" w:cs="Times New Roman"/>
          <w:sz w:val="22"/>
          <w:szCs w:val="22"/>
        </w:rPr>
        <w:t xml:space="preserve"> about</w:t>
      </w:r>
      <w:r w:rsidR="00883C3F" w:rsidRPr="000131BD">
        <w:rPr>
          <w:rFonts w:ascii="Century Schoolbook" w:hAnsi="Century Schoolbook" w:cs="Times New Roman"/>
          <w:sz w:val="22"/>
          <w:szCs w:val="22"/>
        </w:rPr>
        <w:t xml:space="preserve"> 2</w:t>
      </w:r>
      <w:r w:rsidR="009629F6" w:rsidRPr="000131BD">
        <w:rPr>
          <w:rFonts w:ascii="Century Schoolbook" w:hAnsi="Century Schoolbook" w:cs="Times New Roman"/>
          <w:sz w:val="22"/>
          <w:szCs w:val="22"/>
        </w:rPr>
        <w:t xml:space="preserve"> times more likely to revise </w:t>
      </w:r>
      <w:r w:rsidR="00C05DE0" w:rsidRPr="000131BD">
        <w:rPr>
          <w:rFonts w:ascii="Century Schoolbook" w:hAnsi="Century Schoolbook" w:cs="Times New Roman"/>
          <w:sz w:val="22"/>
          <w:szCs w:val="22"/>
        </w:rPr>
        <w:t xml:space="preserve">their </w:t>
      </w:r>
      <w:r w:rsidR="009629F6" w:rsidRPr="000131BD">
        <w:rPr>
          <w:rFonts w:ascii="Century Schoolbook" w:hAnsi="Century Schoolbook" w:cs="Times New Roman"/>
          <w:sz w:val="22"/>
          <w:szCs w:val="22"/>
        </w:rPr>
        <w:t>recommendation</w:t>
      </w:r>
      <w:r w:rsidR="00FC63C1" w:rsidRPr="000131BD">
        <w:rPr>
          <w:rFonts w:ascii="Century Schoolbook" w:hAnsi="Century Schoolbook" w:cs="Times New Roman"/>
          <w:sz w:val="22"/>
          <w:szCs w:val="22"/>
        </w:rPr>
        <w:t>s</w:t>
      </w:r>
      <w:r w:rsidR="009629F6" w:rsidRPr="000131BD">
        <w:rPr>
          <w:rFonts w:ascii="Century Schoolbook" w:hAnsi="Century Schoolbook" w:cs="Times New Roman"/>
          <w:sz w:val="22"/>
          <w:szCs w:val="22"/>
        </w:rPr>
        <w:t xml:space="preserve"> relative to slow-turnover analyst</w:t>
      </w:r>
      <w:r w:rsidR="00C05DE0" w:rsidRPr="000131BD">
        <w:rPr>
          <w:rFonts w:ascii="Century Schoolbook" w:hAnsi="Century Schoolbook" w:cs="Times New Roman"/>
          <w:sz w:val="22"/>
          <w:szCs w:val="22"/>
        </w:rPr>
        <w:t>s</w:t>
      </w:r>
      <w:r w:rsidR="009629F6" w:rsidRPr="000131BD">
        <w:rPr>
          <w:rFonts w:ascii="Century Schoolbook" w:hAnsi="Century Schoolbook" w:cs="Times New Roman"/>
          <w:sz w:val="22"/>
          <w:szCs w:val="22"/>
        </w:rPr>
        <w:t>.</w:t>
      </w:r>
      <w:r w:rsidR="00925C03" w:rsidRPr="000131BD">
        <w:rPr>
          <w:rFonts w:ascii="Century Schoolbook" w:hAnsi="Century Schoolbook" w:cs="Times New Roman"/>
          <w:sz w:val="22"/>
          <w:szCs w:val="22"/>
        </w:rPr>
        <w:t xml:space="preserve"> </w:t>
      </w:r>
    </w:p>
    <w:p w14:paraId="25457630" w14:textId="6016E3B1" w:rsidR="00F307FE" w:rsidRDefault="00FD3E61" w:rsidP="00A00DFF">
      <w:pPr>
        <w:pStyle w:val="Default"/>
        <w:spacing w:after="120" w:line="480" w:lineRule="auto"/>
        <w:ind w:firstLine="284"/>
        <w:jc w:val="both"/>
        <w:rPr>
          <w:rFonts w:ascii="Century Schoolbook" w:hAnsi="Century Schoolbook" w:cs="Times New Roman"/>
          <w:sz w:val="22"/>
          <w:szCs w:val="22"/>
        </w:rPr>
      </w:pPr>
      <w:r>
        <w:rPr>
          <w:rFonts w:ascii="Century Schoolbook" w:hAnsi="Century Schoolbook" w:cs="Times New Roman"/>
          <w:sz w:val="22"/>
          <w:szCs w:val="22"/>
        </w:rPr>
        <w:t>W</w:t>
      </w:r>
      <w:r w:rsidR="003F1C25">
        <w:rPr>
          <w:rFonts w:ascii="Century Schoolbook" w:hAnsi="Century Schoolbook" w:cs="Times New Roman"/>
          <w:sz w:val="22"/>
          <w:szCs w:val="22"/>
        </w:rPr>
        <w:t xml:space="preserve">e </w:t>
      </w:r>
      <w:r>
        <w:rPr>
          <w:rFonts w:ascii="Century Schoolbook" w:hAnsi="Century Schoolbook" w:cs="Times New Roman"/>
          <w:sz w:val="22"/>
          <w:szCs w:val="22"/>
        </w:rPr>
        <w:t xml:space="preserve">next </w:t>
      </w:r>
      <w:r w:rsidR="003F1C25">
        <w:rPr>
          <w:rFonts w:ascii="Century Schoolbook" w:hAnsi="Century Schoolbook" w:cs="Times New Roman"/>
          <w:sz w:val="22"/>
          <w:szCs w:val="22"/>
        </w:rPr>
        <w:t xml:space="preserve">examine the </w:t>
      </w:r>
      <w:r w:rsidR="003F1C25" w:rsidRPr="005075F5">
        <w:rPr>
          <w:rFonts w:ascii="Century Schoolbook" w:hAnsi="Century Schoolbook" w:cs="Times New Roman"/>
          <w:i/>
          <w:sz w:val="22"/>
          <w:szCs w:val="22"/>
        </w:rPr>
        <w:t>value</w:t>
      </w:r>
      <w:r w:rsidR="003F1C25">
        <w:rPr>
          <w:rFonts w:ascii="Century Schoolbook" w:hAnsi="Century Schoolbook" w:cs="Times New Roman"/>
          <w:i/>
          <w:sz w:val="22"/>
          <w:szCs w:val="22"/>
        </w:rPr>
        <w:t xml:space="preserve"> </w:t>
      </w:r>
      <w:r w:rsidR="003F1C25">
        <w:rPr>
          <w:rFonts w:ascii="Century Schoolbook" w:hAnsi="Century Schoolbook" w:cs="Times New Roman"/>
          <w:sz w:val="22"/>
          <w:szCs w:val="22"/>
        </w:rPr>
        <w:t>of recommendations made by analyst</w:t>
      </w:r>
      <w:r w:rsidR="008B791A">
        <w:rPr>
          <w:rFonts w:ascii="Century Schoolbook" w:hAnsi="Century Schoolbook" w:cs="Times New Roman"/>
          <w:sz w:val="22"/>
          <w:szCs w:val="22"/>
        </w:rPr>
        <w:t>s</w:t>
      </w:r>
      <w:r w:rsidR="003F1C25">
        <w:rPr>
          <w:rFonts w:ascii="Century Schoolbook" w:hAnsi="Century Schoolbook" w:cs="Times New Roman"/>
          <w:sz w:val="22"/>
          <w:szCs w:val="22"/>
        </w:rPr>
        <w:t xml:space="preserve"> with different decision-speed styles. </w:t>
      </w:r>
      <w:r w:rsidR="008D673A" w:rsidRPr="00F27F5B">
        <w:rPr>
          <w:rFonts w:ascii="Century Schoolbook" w:hAnsi="Century Schoolbook" w:cs="Times New Roman"/>
          <w:sz w:val="22"/>
          <w:szCs w:val="22"/>
        </w:rPr>
        <w:t>W</w:t>
      </w:r>
      <w:r w:rsidR="00E354EB" w:rsidRPr="00F27F5B">
        <w:rPr>
          <w:rFonts w:ascii="Century Schoolbook" w:hAnsi="Century Schoolbook" w:cs="Times New Roman"/>
          <w:sz w:val="22"/>
          <w:szCs w:val="22"/>
        </w:rPr>
        <w:t xml:space="preserve">e </w:t>
      </w:r>
      <w:r w:rsidR="008D673A" w:rsidRPr="00F27F5B">
        <w:rPr>
          <w:rFonts w:ascii="Century Schoolbook" w:hAnsi="Century Schoolbook" w:cs="Times New Roman"/>
          <w:sz w:val="22"/>
          <w:szCs w:val="22"/>
        </w:rPr>
        <w:t>find</w:t>
      </w:r>
      <w:r w:rsidR="00E354EB" w:rsidRPr="00F27F5B">
        <w:rPr>
          <w:rFonts w:ascii="Century Schoolbook" w:hAnsi="Century Schoolbook" w:cs="Times New Roman"/>
          <w:sz w:val="22"/>
          <w:szCs w:val="22"/>
        </w:rPr>
        <w:t xml:space="preserve"> that recommendation changes </w:t>
      </w:r>
      <w:r w:rsidR="0003531D" w:rsidRPr="00F27F5B">
        <w:rPr>
          <w:rFonts w:ascii="Century Schoolbook" w:hAnsi="Century Schoolbook" w:cs="Times New Roman"/>
          <w:sz w:val="22"/>
          <w:szCs w:val="22"/>
        </w:rPr>
        <w:t xml:space="preserve">made </w:t>
      </w:r>
      <w:r w:rsidR="00E354EB" w:rsidRPr="00F27F5B">
        <w:rPr>
          <w:rFonts w:ascii="Century Schoolbook" w:hAnsi="Century Schoolbook" w:cs="Times New Roman"/>
          <w:sz w:val="22"/>
          <w:szCs w:val="22"/>
        </w:rPr>
        <w:t>by slow</w:t>
      </w:r>
      <w:r w:rsidR="00827B73">
        <w:rPr>
          <w:rFonts w:ascii="Century Schoolbook" w:hAnsi="Century Schoolbook" w:cs="Times New Roman"/>
          <w:sz w:val="22"/>
          <w:szCs w:val="22"/>
        </w:rPr>
        <w:t>-</w:t>
      </w:r>
      <w:r w:rsidR="00E354EB" w:rsidRPr="00F27F5B">
        <w:rPr>
          <w:rFonts w:ascii="Century Schoolbook" w:hAnsi="Century Schoolbook" w:cs="Times New Roman"/>
          <w:sz w:val="22"/>
          <w:szCs w:val="22"/>
        </w:rPr>
        <w:t xml:space="preserve">turnover analysts </w:t>
      </w:r>
      <w:r w:rsidR="00E354EB" w:rsidRPr="00F27F5B">
        <w:rPr>
          <w:rFonts w:ascii="Century Schoolbook" w:hAnsi="Century Schoolbook" w:cs="Times New Roman"/>
          <w:sz w:val="22"/>
          <w:szCs w:val="22"/>
        </w:rPr>
        <w:lastRenderedPageBreak/>
        <w:t>significantly outperform recommendation changes by fast</w:t>
      </w:r>
      <w:r w:rsidR="00827B73">
        <w:rPr>
          <w:rFonts w:ascii="Century Schoolbook" w:hAnsi="Century Schoolbook" w:cs="Times New Roman"/>
          <w:sz w:val="22"/>
          <w:szCs w:val="22"/>
        </w:rPr>
        <w:t>-</w:t>
      </w:r>
      <w:r w:rsidR="000A1AF5">
        <w:rPr>
          <w:rFonts w:ascii="Century Schoolbook" w:hAnsi="Century Schoolbook" w:cs="Times New Roman"/>
          <w:sz w:val="22"/>
          <w:szCs w:val="22"/>
        </w:rPr>
        <w:t xml:space="preserve">turnover analysts. </w:t>
      </w:r>
      <w:r w:rsidR="00A829AF">
        <w:rPr>
          <w:rFonts w:ascii="Century Schoolbook" w:hAnsi="Century Schoolbook" w:cs="Times New Roman"/>
          <w:sz w:val="22"/>
          <w:szCs w:val="22"/>
        </w:rPr>
        <w:t>The</w:t>
      </w:r>
      <w:r w:rsidR="00F307FE">
        <w:rPr>
          <w:rFonts w:ascii="Century Schoolbook" w:hAnsi="Century Schoolbook" w:cs="Times New Roman"/>
          <w:sz w:val="22"/>
          <w:szCs w:val="22"/>
        </w:rPr>
        <w:t xml:space="preserve"> immediate stock market reaction to</w:t>
      </w:r>
      <w:r w:rsidR="009A2E90">
        <w:rPr>
          <w:rFonts w:ascii="Century Schoolbook" w:hAnsi="Century Schoolbook" w:cs="Times New Roman"/>
          <w:sz w:val="22"/>
          <w:szCs w:val="22"/>
        </w:rPr>
        <w:t xml:space="preserve"> recommendation changes </w:t>
      </w:r>
      <w:r w:rsidR="00A829AF">
        <w:rPr>
          <w:rFonts w:ascii="Century Schoolbook" w:hAnsi="Century Schoolbook" w:cs="Times New Roman"/>
          <w:sz w:val="22"/>
          <w:szCs w:val="22"/>
        </w:rPr>
        <w:t xml:space="preserve">of slow-turnover analysts </w:t>
      </w:r>
      <w:r w:rsidR="009A2E90">
        <w:rPr>
          <w:rFonts w:ascii="Century Schoolbook" w:hAnsi="Century Schoolbook" w:cs="Times New Roman"/>
          <w:sz w:val="22"/>
          <w:szCs w:val="22"/>
        </w:rPr>
        <w:t xml:space="preserve">is </w:t>
      </w:r>
      <w:r w:rsidR="00A829AF">
        <w:rPr>
          <w:rFonts w:ascii="Century Schoolbook" w:hAnsi="Century Schoolbook" w:cs="Times New Roman"/>
          <w:sz w:val="22"/>
          <w:szCs w:val="22"/>
        </w:rPr>
        <w:t xml:space="preserve">46–76 basis points greater in magnitude </w:t>
      </w:r>
      <w:r w:rsidR="00943C9F">
        <w:rPr>
          <w:rFonts w:ascii="Century Schoolbook" w:hAnsi="Century Schoolbook" w:cs="Times New Roman"/>
          <w:sz w:val="22"/>
          <w:szCs w:val="22"/>
        </w:rPr>
        <w:t xml:space="preserve">relative to </w:t>
      </w:r>
      <w:r w:rsidR="00A829AF">
        <w:rPr>
          <w:rFonts w:ascii="Century Schoolbook" w:hAnsi="Century Schoolbook" w:cs="Times New Roman"/>
          <w:sz w:val="22"/>
          <w:szCs w:val="22"/>
        </w:rPr>
        <w:t xml:space="preserve">those of fast-turnover analysts. </w:t>
      </w:r>
      <w:r w:rsidR="00EC40D4">
        <w:rPr>
          <w:rFonts w:ascii="Century Schoolbook" w:hAnsi="Century Schoolbook" w:cs="Times New Roman"/>
          <w:sz w:val="22"/>
          <w:szCs w:val="22"/>
        </w:rPr>
        <w:t xml:space="preserve">This magnitude </w:t>
      </w:r>
      <w:r w:rsidR="00A829AF">
        <w:rPr>
          <w:rFonts w:ascii="Century Schoolbook" w:hAnsi="Century Schoolbook" w:cs="Times New Roman"/>
          <w:sz w:val="22"/>
          <w:szCs w:val="22"/>
        </w:rPr>
        <w:t>differenc</w:t>
      </w:r>
      <w:r w:rsidR="00EC40D4">
        <w:rPr>
          <w:rFonts w:ascii="Century Schoolbook" w:hAnsi="Century Schoolbook" w:cs="Times New Roman"/>
          <w:sz w:val="22"/>
          <w:szCs w:val="22"/>
        </w:rPr>
        <w:t xml:space="preserve">e is </w:t>
      </w:r>
      <w:r w:rsidR="00F307FE">
        <w:rPr>
          <w:rFonts w:ascii="Century Schoolbook" w:hAnsi="Century Schoolbook" w:cs="Times New Roman"/>
          <w:sz w:val="22"/>
          <w:szCs w:val="22"/>
        </w:rPr>
        <w:t xml:space="preserve">after controlling for various analyst and firm characteristics </w:t>
      </w:r>
      <w:r w:rsidR="009568D4">
        <w:rPr>
          <w:rFonts w:ascii="Century Schoolbook" w:hAnsi="Century Schoolbook" w:cs="Times New Roman"/>
          <w:sz w:val="22"/>
          <w:szCs w:val="22"/>
        </w:rPr>
        <w:t>that</w:t>
      </w:r>
      <w:r w:rsidR="00F307FE">
        <w:rPr>
          <w:rFonts w:ascii="Century Schoolbook" w:hAnsi="Century Schoolbook" w:cs="Times New Roman"/>
          <w:sz w:val="22"/>
          <w:szCs w:val="22"/>
        </w:rPr>
        <w:t xml:space="preserve"> have been </w:t>
      </w:r>
      <w:r w:rsidR="00E00635">
        <w:rPr>
          <w:rFonts w:ascii="Century Schoolbook" w:hAnsi="Century Schoolbook" w:cs="Times New Roman"/>
          <w:sz w:val="22"/>
          <w:szCs w:val="22"/>
        </w:rPr>
        <w:t>shown</w:t>
      </w:r>
      <w:r w:rsidR="00EC40D4">
        <w:rPr>
          <w:rFonts w:ascii="Century Schoolbook" w:hAnsi="Century Schoolbook" w:cs="Times New Roman"/>
          <w:sz w:val="22"/>
          <w:szCs w:val="22"/>
        </w:rPr>
        <w:t xml:space="preserve"> </w:t>
      </w:r>
      <w:r w:rsidR="00F307FE">
        <w:rPr>
          <w:rFonts w:ascii="Century Schoolbook" w:hAnsi="Century Schoolbook" w:cs="Times New Roman"/>
          <w:sz w:val="22"/>
          <w:szCs w:val="22"/>
        </w:rPr>
        <w:t xml:space="preserve">to affect the </w:t>
      </w:r>
      <w:r w:rsidR="009568D4">
        <w:rPr>
          <w:rFonts w:ascii="Century Schoolbook" w:hAnsi="Century Schoolbook" w:cs="Times New Roman"/>
          <w:sz w:val="22"/>
          <w:szCs w:val="22"/>
        </w:rPr>
        <w:t xml:space="preserve">stock </w:t>
      </w:r>
      <w:r w:rsidR="00F307FE">
        <w:rPr>
          <w:rFonts w:ascii="Century Schoolbook" w:hAnsi="Century Schoolbook" w:cs="Times New Roman"/>
          <w:sz w:val="22"/>
          <w:szCs w:val="22"/>
        </w:rPr>
        <w:t xml:space="preserve">price </w:t>
      </w:r>
      <w:r w:rsidR="009568D4">
        <w:rPr>
          <w:rFonts w:ascii="Century Schoolbook" w:hAnsi="Century Schoolbook" w:cs="Times New Roman"/>
          <w:sz w:val="22"/>
          <w:szCs w:val="22"/>
        </w:rPr>
        <w:t xml:space="preserve">reaction to </w:t>
      </w:r>
      <w:r w:rsidR="00F307FE">
        <w:rPr>
          <w:rFonts w:ascii="Century Schoolbook" w:hAnsi="Century Schoolbook" w:cs="Times New Roman"/>
          <w:sz w:val="22"/>
          <w:szCs w:val="22"/>
        </w:rPr>
        <w:t>recommendation revisions.</w:t>
      </w:r>
    </w:p>
    <w:p w14:paraId="042D2E12" w14:textId="047BD3E9" w:rsidR="005B7027" w:rsidRPr="00F27F5B" w:rsidRDefault="005B7027" w:rsidP="00A00DFF">
      <w:pPr>
        <w:pStyle w:val="Default"/>
        <w:spacing w:after="120" w:line="480" w:lineRule="auto"/>
        <w:ind w:firstLine="284"/>
        <w:jc w:val="both"/>
        <w:rPr>
          <w:rFonts w:ascii="Century Schoolbook" w:hAnsi="Century Schoolbook" w:cs="Times New Roman"/>
          <w:sz w:val="22"/>
          <w:szCs w:val="22"/>
        </w:rPr>
      </w:pPr>
      <w:r w:rsidRPr="00096ABD">
        <w:rPr>
          <w:rFonts w:ascii="Century Schoolbook" w:hAnsi="Century Schoolbook" w:cs="Times New Roman"/>
          <w:sz w:val="22"/>
          <w:szCs w:val="22"/>
        </w:rPr>
        <w:t>We further confirm the differing invest</w:t>
      </w:r>
      <w:r w:rsidRPr="007953BB">
        <w:rPr>
          <w:rFonts w:ascii="Century Schoolbook" w:hAnsi="Century Schoolbook" w:cs="Times New Roman"/>
          <w:sz w:val="22"/>
          <w:szCs w:val="22"/>
        </w:rPr>
        <w:t>ment values between fast</w:t>
      </w:r>
      <w:r>
        <w:rPr>
          <w:rFonts w:ascii="Century Schoolbook" w:hAnsi="Century Schoolbook" w:cs="Times New Roman"/>
          <w:sz w:val="22"/>
          <w:szCs w:val="22"/>
        </w:rPr>
        <w:t>-</w:t>
      </w:r>
      <w:r w:rsidRPr="007953BB">
        <w:rPr>
          <w:rFonts w:ascii="Century Schoolbook" w:hAnsi="Century Schoolbook" w:cs="Times New Roman"/>
          <w:sz w:val="22"/>
          <w:szCs w:val="22"/>
        </w:rPr>
        <w:t xml:space="preserve"> and slow</w:t>
      </w:r>
      <w:r>
        <w:rPr>
          <w:rFonts w:ascii="Century Schoolbook" w:hAnsi="Century Schoolbook" w:cs="Times New Roman"/>
          <w:sz w:val="22"/>
          <w:szCs w:val="22"/>
        </w:rPr>
        <w:t>-</w:t>
      </w:r>
      <w:r w:rsidRPr="007953BB">
        <w:rPr>
          <w:rFonts w:ascii="Century Schoolbook" w:hAnsi="Century Schoolbook" w:cs="Times New Roman"/>
          <w:sz w:val="22"/>
          <w:szCs w:val="22"/>
        </w:rPr>
        <w:t xml:space="preserve">turnover analysts </w:t>
      </w:r>
      <w:r w:rsidRPr="00400FF3">
        <w:rPr>
          <w:rFonts w:ascii="Century Schoolbook" w:hAnsi="Century Schoolbook" w:cs="Times New Roman"/>
          <w:sz w:val="22"/>
          <w:szCs w:val="22"/>
        </w:rPr>
        <w:t>by forming investable real</w:t>
      </w:r>
      <w:r>
        <w:rPr>
          <w:rFonts w:ascii="Century Schoolbook" w:hAnsi="Century Schoolbook" w:cs="Times New Roman"/>
          <w:sz w:val="22"/>
          <w:szCs w:val="22"/>
        </w:rPr>
        <w:t>-</w:t>
      </w:r>
      <w:r w:rsidRPr="00400FF3">
        <w:rPr>
          <w:rFonts w:ascii="Century Schoolbook" w:hAnsi="Century Schoolbook" w:cs="Times New Roman"/>
          <w:sz w:val="22"/>
          <w:szCs w:val="22"/>
        </w:rPr>
        <w:t>calendar</w:t>
      </w:r>
      <w:r>
        <w:rPr>
          <w:rFonts w:ascii="Century Schoolbook" w:hAnsi="Century Schoolbook" w:cs="Times New Roman"/>
          <w:sz w:val="22"/>
          <w:szCs w:val="22"/>
        </w:rPr>
        <w:t>-</w:t>
      </w:r>
      <w:r w:rsidRPr="00400FF3">
        <w:rPr>
          <w:rFonts w:ascii="Century Schoolbook" w:hAnsi="Century Schoolbook" w:cs="Times New Roman"/>
          <w:sz w:val="22"/>
          <w:szCs w:val="22"/>
        </w:rPr>
        <w:t>time portfolios in th</w:t>
      </w:r>
      <w:r w:rsidRPr="00F27F5B">
        <w:rPr>
          <w:rFonts w:ascii="Century Schoolbook" w:hAnsi="Century Schoolbook" w:cs="Times New Roman"/>
          <w:sz w:val="22"/>
          <w:szCs w:val="22"/>
        </w:rPr>
        <w:t>e style of Barber et al. (2001). We form a portfolio that invests (and sells) one dollar on the upgraded (do</w:t>
      </w:r>
      <w:r w:rsidR="000D2F6E">
        <w:rPr>
          <w:rFonts w:ascii="Century Schoolbook" w:hAnsi="Century Schoolbook" w:cs="Times New Roman"/>
          <w:sz w:val="22"/>
          <w:szCs w:val="22"/>
        </w:rPr>
        <w:t>wngrad</w:t>
      </w:r>
      <w:r w:rsidR="00924D2F">
        <w:rPr>
          <w:rFonts w:ascii="Century Schoolbook" w:hAnsi="Century Schoolbook" w:cs="Times New Roman"/>
          <w:sz w:val="22"/>
          <w:szCs w:val="22"/>
        </w:rPr>
        <w:t>ed) stock</w:t>
      </w:r>
      <w:r w:rsidRPr="00F27F5B">
        <w:rPr>
          <w:rFonts w:ascii="Century Schoolbook" w:hAnsi="Century Schoolbook" w:cs="Times New Roman"/>
          <w:sz w:val="22"/>
          <w:szCs w:val="22"/>
        </w:rPr>
        <w:t xml:space="preserve"> at the closing</w:t>
      </w:r>
      <w:r>
        <w:rPr>
          <w:rFonts w:ascii="Times New Roman" w:hAnsi="Times New Roman" w:cs="Times New Roman"/>
          <w:sz w:val="22"/>
          <w:szCs w:val="22"/>
        </w:rPr>
        <w:t>-</w:t>
      </w:r>
      <w:r w:rsidRPr="00F27F5B">
        <w:rPr>
          <w:rFonts w:ascii="Century Schoolbook" w:hAnsi="Century Schoolbook" w:cs="Times New Roman"/>
          <w:sz w:val="22"/>
          <w:szCs w:val="22"/>
        </w:rPr>
        <w:t xml:space="preserve">day price </w:t>
      </w:r>
      <w:r w:rsidR="000D2F6E">
        <w:rPr>
          <w:rFonts w:ascii="Century Schoolbook" w:hAnsi="Century Schoolbook" w:cs="Times New Roman"/>
          <w:sz w:val="22"/>
          <w:szCs w:val="22"/>
        </w:rPr>
        <w:t xml:space="preserve">after the recommendation change. This </w:t>
      </w:r>
      <w:r w:rsidR="00924D2F">
        <w:rPr>
          <w:rFonts w:ascii="Century Schoolbook" w:hAnsi="Century Schoolbook" w:cs="Times New Roman"/>
          <w:sz w:val="22"/>
          <w:szCs w:val="22"/>
        </w:rPr>
        <w:t xml:space="preserve">method </w:t>
      </w:r>
      <w:r w:rsidRPr="00F27F5B">
        <w:rPr>
          <w:rFonts w:ascii="Century Schoolbook" w:hAnsi="Century Schoolbook" w:cs="Times New Roman"/>
          <w:sz w:val="22"/>
          <w:szCs w:val="22"/>
        </w:rPr>
        <w:t>makes the strategy implementable for ordinary investors. Overall, we find 5–10% differences in annualized portfolio alphas from investing following slow</w:t>
      </w:r>
      <w:r>
        <w:rPr>
          <w:rFonts w:ascii="Century Schoolbook" w:hAnsi="Century Schoolbook" w:cs="Times New Roman"/>
          <w:sz w:val="22"/>
          <w:szCs w:val="22"/>
        </w:rPr>
        <w:t>-</w:t>
      </w:r>
      <w:r w:rsidRPr="00F27F5B">
        <w:rPr>
          <w:rFonts w:ascii="Century Schoolbook" w:hAnsi="Century Schoolbook" w:cs="Times New Roman"/>
          <w:sz w:val="22"/>
          <w:szCs w:val="22"/>
        </w:rPr>
        <w:t xml:space="preserve"> versus fast</w:t>
      </w:r>
      <w:r>
        <w:rPr>
          <w:rFonts w:ascii="Century Schoolbook" w:hAnsi="Century Schoolbook" w:cs="Times New Roman"/>
          <w:sz w:val="22"/>
          <w:szCs w:val="22"/>
        </w:rPr>
        <w:t>-</w:t>
      </w:r>
      <w:r w:rsidRPr="00F27F5B">
        <w:rPr>
          <w:rFonts w:ascii="Century Schoolbook" w:hAnsi="Century Schoolbook" w:cs="Times New Roman"/>
          <w:sz w:val="22"/>
          <w:szCs w:val="22"/>
        </w:rPr>
        <w:t>turnover an</w:t>
      </w:r>
      <w:r w:rsidR="0064169D">
        <w:rPr>
          <w:rFonts w:ascii="Century Schoolbook" w:hAnsi="Century Schoolbook" w:cs="Times New Roman"/>
          <w:sz w:val="22"/>
          <w:szCs w:val="22"/>
        </w:rPr>
        <w:t>alysts’ recommendation changes.</w:t>
      </w:r>
    </w:p>
    <w:p w14:paraId="3B9B34C6" w14:textId="56C50210" w:rsidR="00606B5A" w:rsidRPr="002D3DEB" w:rsidRDefault="005B7027" w:rsidP="00A00DFF">
      <w:pPr>
        <w:pStyle w:val="Default"/>
        <w:spacing w:after="120" w:line="480" w:lineRule="auto"/>
        <w:ind w:firstLine="284"/>
        <w:jc w:val="both"/>
        <w:rPr>
          <w:rFonts w:ascii="Century Schoolbook" w:hAnsi="Century Schoolbook"/>
          <w:sz w:val="22"/>
          <w:szCs w:val="22"/>
        </w:rPr>
      </w:pPr>
      <w:r>
        <w:rPr>
          <w:rFonts w:ascii="Century Schoolbook" w:hAnsi="Century Schoolbook" w:cs="Times New Roman"/>
          <w:sz w:val="22"/>
          <w:szCs w:val="22"/>
        </w:rPr>
        <w:t>We examine analyst characteristics that are associated with different recommendation</w:t>
      </w:r>
      <w:r w:rsidR="007911A1">
        <w:rPr>
          <w:rFonts w:ascii="Century Schoolbook" w:hAnsi="Century Schoolbook" w:cs="Times New Roman"/>
          <w:sz w:val="22"/>
          <w:szCs w:val="22"/>
        </w:rPr>
        <w:t xml:space="preserve"> speed-styles</w:t>
      </w:r>
      <w:r>
        <w:rPr>
          <w:rFonts w:ascii="Century Schoolbook" w:hAnsi="Century Schoolbook" w:cs="Times New Roman"/>
          <w:sz w:val="22"/>
          <w:szCs w:val="22"/>
        </w:rPr>
        <w:t xml:space="preserve">. </w:t>
      </w:r>
      <w:r w:rsidR="007911A1" w:rsidRPr="00F27F5B">
        <w:rPr>
          <w:rFonts w:ascii="Century Schoolbook" w:hAnsi="Century Schoolbook" w:cs="Times New Roman"/>
          <w:sz w:val="22"/>
          <w:szCs w:val="22"/>
        </w:rPr>
        <w:t xml:space="preserve">An important aspect we observe is that during the course of a career, there is a strong tendency </w:t>
      </w:r>
      <w:r w:rsidR="007911A1">
        <w:rPr>
          <w:rFonts w:ascii="Century Schoolbook" w:hAnsi="Century Schoolbook" w:cs="Times New Roman"/>
          <w:sz w:val="22"/>
          <w:szCs w:val="22"/>
        </w:rPr>
        <w:t>for</w:t>
      </w:r>
      <w:r w:rsidR="007911A1" w:rsidRPr="00F27F5B">
        <w:rPr>
          <w:rFonts w:ascii="Century Schoolbook" w:hAnsi="Century Schoolbook" w:cs="Times New Roman"/>
          <w:sz w:val="22"/>
          <w:szCs w:val="22"/>
        </w:rPr>
        <w:t xml:space="preserve"> all surviving analysts to </w:t>
      </w:r>
      <w:r w:rsidR="007911A1">
        <w:rPr>
          <w:rFonts w:ascii="Century Schoolbook" w:hAnsi="Century Schoolbook" w:cs="Times New Roman"/>
          <w:sz w:val="22"/>
          <w:szCs w:val="22"/>
        </w:rPr>
        <w:t xml:space="preserve">change their recommendations less frequently. In fact, results from the logit </w:t>
      </w:r>
      <w:r w:rsidR="007911A1" w:rsidRPr="00F27F5B">
        <w:rPr>
          <w:rFonts w:ascii="Century Schoolbook" w:hAnsi="Century Schoolbook" w:cs="Times New Roman"/>
          <w:sz w:val="22"/>
          <w:szCs w:val="22"/>
        </w:rPr>
        <w:t>model</w:t>
      </w:r>
      <w:r w:rsidR="007911A1">
        <w:rPr>
          <w:rFonts w:ascii="Century Schoolbook" w:hAnsi="Century Schoolbook" w:cs="Times New Roman"/>
          <w:sz w:val="22"/>
          <w:szCs w:val="22"/>
        </w:rPr>
        <w:t xml:space="preserve"> show that analysts’ career tenure, i.e., experience, </w:t>
      </w:r>
      <w:r w:rsidR="007911A1" w:rsidRPr="00F27F5B">
        <w:rPr>
          <w:rFonts w:ascii="Century Schoolbook" w:hAnsi="Century Schoolbook" w:cs="Times New Roman"/>
          <w:sz w:val="22"/>
          <w:szCs w:val="22"/>
        </w:rPr>
        <w:t>is the most significant determinant of their decision</w:t>
      </w:r>
      <w:r w:rsidR="007911A1">
        <w:rPr>
          <w:rFonts w:ascii="Century Schoolbook" w:hAnsi="Century Schoolbook" w:cs="Times New Roman"/>
          <w:sz w:val="22"/>
          <w:szCs w:val="22"/>
        </w:rPr>
        <w:t>-</w:t>
      </w:r>
      <w:r w:rsidR="007911A1" w:rsidRPr="00F27F5B">
        <w:rPr>
          <w:rFonts w:ascii="Century Schoolbook" w:hAnsi="Century Schoolbook" w:cs="Times New Roman"/>
          <w:sz w:val="22"/>
          <w:szCs w:val="22"/>
        </w:rPr>
        <w:t>speed style</w:t>
      </w:r>
      <w:r w:rsidR="004B1EEC">
        <w:rPr>
          <w:rFonts w:ascii="Century Schoolbook" w:hAnsi="Century Schoolbook" w:cs="Times New Roman"/>
          <w:sz w:val="22"/>
          <w:szCs w:val="22"/>
        </w:rPr>
        <w:t xml:space="preserve">. Other aspects that are </w:t>
      </w:r>
      <w:r w:rsidR="00606B5A">
        <w:rPr>
          <w:rFonts w:ascii="Century Schoolbook" w:hAnsi="Century Schoolbook" w:cs="Times New Roman"/>
          <w:sz w:val="22"/>
          <w:szCs w:val="22"/>
        </w:rPr>
        <w:t xml:space="preserve">highly </w:t>
      </w:r>
      <w:r w:rsidR="004B1EEC">
        <w:rPr>
          <w:rFonts w:ascii="Century Schoolbook" w:hAnsi="Century Schoolbook" w:cs="Times New Roman"/>
          <w:sz w:val="22"/>
          <w:szCs w:val="22"/>
        </w:rPr>
        <w:t>associated with slower-revis</w:t>
      </w:r>
      <w:r w:rsidR="007C138C">
        <w:rPr>
          <w:rFonts w:ascii="Century Schoolbook" w:hAnsi="Century Schoolbook" w:cs="Times New Roman"/>
          <w:sz w:val="22"/>
          <w:szCs w:val="22"/>
        </w:rPr>
        <w:t>ing analysts include their likelihood of being awarded the</w:t>
      </w:r>
      <w:r w:rsidR="005C47AA">
        <w:rPr>
          <w:rFonts w:ascii="Century Schoolbook" w:hAnsi="Century Schoolbook" w:cs="Times New Roman"/>
          <w:sz w:val="22"/>
          <w:szCs w:val="22"/>
        </w:rPr>
        <w:t xml:space="preserve"> </w:t>
      </w:r>
      <w:r w:rsidR="004B1EEC">
        <w:rPr>
          <w:rFonts w:ascii="Century Schoolbook" w:hAnsi="Century Schoolbook" w:cs="Times New Roman"/>
          <w:sz w:val="22"/>
          <w:szCs w:val="22"/>
        </w:rPr>
        <w:t>All</w:t>
      </w:r>
      <w:r w:rsidR="007C138C">
        <w:rPr>
          <w:rFonts w:ascii="Century Schoolbook" w:hAnsi="Century Schoolbook" w:cs="Times New Roman"/>
          <w:sz w:val="22"/>
          <w:szCs w:val="22"/>
        </w:rPr>
        <w:t xml:space="preserve">-star status </w:t>
      </w:r>
      <w:r w:rsidR="007C0D6C">
        <w:rPr>
          <w:rFonts w:ascii="Century Schoolbook" w:hAnsi="Century Schoolbook" w:cs="Times New Roman"/>
          <w:sz w:val="22"/>
          <w:szCs w:val="22"/>
        </w:rPr>
        <w:t>by</w:t>
      </w:r>
      <w:r w:rsidR="00AD225C">
        <w:rPr>
          <w:rFonts w:ascii="Century Schoolbook" w:hAnsi="Century Schoolbook" w:cs="Times New Roman"/>
          <w:sz w:val="22"/>
          <w:szCs w:val="22"/>
        </w:rPr>
        <w:t xml:space="preserve"> the </w:t>
      </w:r>
      <w:r w:rsidR="00AD225C" w:rsidRPr="00AD225C">
        <w:rPr>
          <w:rFonts w:ascii="Century Schoolbook" w:hAnsi="Century Schoolbook" w:cs="Times New Roman"/>
          <w:i/>
          <w:sz w:val="22"/>
          <w:szCs w:val="22"/>
        </w:rPr>
        <w:t>Institutional Investor</w:t>
      </w:r>
      <w:r w:rsidR="00AD225C">
        <w:rPr>
          <w:rFonts w:ascii="Century Schoolbook" w:hAnsi="Century Schoolbook" w:cs="Times New Roman"/>
          <w:sz w:val="22"/>
          <w:szCs w:val="22"/>
        </w:rPr>
        <w:t xml:space="preserve"> magazine</w:t>
      </w:r>
      <w:r w:rsidR="00606B5A">
        <w:rPr>
          <w:rFonts w:ascii="Century Schoolbook" w:hAnsi="Century Schoolbook" w:cs="Times New Roman"/>
          <w:sz w:val="22"/>
          <w:szCs w:val="22"/>
        </w:rPr>
        <w:t xml:space="preserve"> and</w:t>
      </w:r>
      <w:r w:rsidR="007C138C">
        <w:rPr>
          <w:rFonts w:ascii="Century Schoolbook" w:hAnsi="Century Schoolbook" w:cs="Times New Roman"/>
          <w:sz w:val="22"/>
          <w:szCs w:val="22"/>
        </w:rPr>
        <w:t xml:space="preserve"> the size of their brokerage house.</w:t>
      </w:r>
      <w:r w:rsidR="002D3DEB">
        <w:rPr>
          <w:rFonts w:ascii="Century Schoolbook" w:hAnsi="Century Schoolbook" w:cs="Times New Roman"/>
          <w:sz w:val="22"/>
          <w:szCs w:val="22"/>
        </w:rPr>
        <w:t xml:space="preserve"> </w:t>
      </w:r>
      <w:r w:rsidR="0064169D">
        <w:rPr>
          <w:rFonts w:ascii="Century Schoolbook" w:hAnsi="Century Schoolbook" w:cs="Times New Roman"/>
          <w:sz w:val="22"/>
          <w:szCs w:val="22"/>
        </w:rPr>
        <w:t>These</w:t>
      </w:r>
      <w:r w:rsidR="00390BBA">
        <w:rPr>
          <w:rFonts w:ascii="Century Schoolbook" w:hAnsi="Century Schoolbook"/>
          <w:sz w:val="22"/>
          <w:szCs w:val="22"/>
        </w:rPr>
        <w:t xml:space="preserve"> </w:t>
      </w:r>
      <w:r w:rsidR="002D3DEB">
        <w:rPr>
          <w:rFonts w:ascii="Century Schoolbook" w:hAnsi="Century Schoolbook"/>
          <w:sz w:val="22"/>
          <w:szCs w:val="22"/>
        </w:rPr>
        <w:t>aforementioned</w:t>
      </w:r>
      <w:r w:rsidR="00390BBA" w:rsidRPr="00C145AC">
        <w:rPr>
          <w:rFonts w:ascii="Century Schoolbook" w:hAnsi="Century Schoolbook"/>
          <w:sz w:val="22"/>
          <w:szCs w:val="22"/>
        </w:rPr>
        <w:t xml:space="preserve"> characteristics</w:t>
      </w:r>
      <w:r w:rsidR="0064169D">
        <w:rPr>
          <w:rFonts w:ascii="Century Schoolbook" w:hAnsi="Century Schoolbook"/>
          <w:sz w:val="22"/>
          <w:szCs w:val="22"/>
        </w:rPr>
        <w:t>, however,</w:t>
      </w:r>
      <w:r w:rsidR="00390BBA">
        <w:rPr>
          <w:rFonts w:ascii="Century Schoolbook" w:hAnsi="Century Schoolbook"/>
          <w:sz w:val="22"/>
          <w:szCs w:val="22"/>
        </w:rPr>
        <w:t xml:space="preserve"> do not explain the </w:t>
      </w:r>
      <w:r w:rsidR="005D54D2">
        <w:rPr>
          <w:rFonts w:ascii="Century Schoolbook" w:hAnsi="Century Schoolbook"/>
          <w:sz w:val="22"/>
          <w:szCs w:val="22"/>
        </w:rPr>
        <w:t xml:space="preserve">investment </w:t>
      </w:r>
      <w:r w:rsidR="00390BBA">
        <w:rPr>
          <w:rFonts w:ascii="Century Schoolbook" w:hAnsi="Century Schoolbook"/>
          <w:sz w:val="22"/>
          <w:szCs w:val="22"/>
        </w:rPr>
        <w:t>value of slow</w:t>
      </w:r>
      <w:r w:rsidR="002D3DEB">
        <w:rPr>
          <w:rFonts w:ascii="Century Schoolbook" w:hAnsi="Century Schoolbook"/>
          <w:sz w:val="22"/>
          <w:szCs w:val="22"/>
        </w:rPr>
        <w:t xml:space="preserve">er </w:t>
      </w:r>
      <w:r w:rsidR="009E5EA7">
        <w:rPr>
          <w:rFonts w:ascii="Century Schoolbook" w:hAnsi="Century Schoolbook"/>
          <w:sz w:val="22"/>
          <w:szCs w:val="22"/>
        </w:rPr>
        <w:t>decision-</w:t>
      </w:r>
      <w:r w:rsidR="005D54D2">
        <w:rPr>
          <w:rFonts w:ascii="Century Schoolbook" w:hAnsi="Century Schoolbook"/>
          <w:sz w:val="22"/>
          <w:szCs w:val="22"/>
        </w:rPr>
        <w:t>speed</w:t>
      </w:r>
      <w:r w:rsidR="009E5EA7">
        <w:rPr>
          <w:rFonts w:ascii="Century Schoolbook" w:hAnsi="Century Schoolbook"/>
          <w:sz w:val="22"/>
          <w:szCs w:val="22"/>
        </w:rPr>
        <w:t xml:space="preserve"> </w:t>
      </w:r>
      <w:r w:rsidR="002D3DEB">
        <w:rPr>
          <w:rFonts w:ascii="Century Schoolbook" w:hAnsi="Century Schoolbook"/>
          <w:sz w:val="22"/>
          <w:szCs w:val="22"/>
        </w:rPr>
        <w:t xml:space="preserve">style. </w:t>
      </w:r>
      <w:r w:rsidR="000D2F6E">
        <w:rPr>
          <w:rFonts w:ascii="Century Schoolbook" w:hAnsi="Century Schoolbook"/>
          <w:sz w:val="22"/>
          <w:szCs w:val="22"/>
        </w:rPr>
        <w:t>At this point, we</w:t>
      </w:r>
      <w:r w:rsidR="0064169D">
        <w:rPr>
          <w:rFonts w:ascii="Century Schoolbook" w:hAnsi="Century Schoolbook" w:cs="Times New Roman"/>
          <w:sz w:val="22"/>
          <w:szCs w:val="22"/>
        </w:rPr>
        <w:t xml:space="preserve"> </w:t>
      </w:r>
      <w:r w:rsidR="0064169D" w:rsidRPr="00C145AC">
        <w:rPr>
          <w:rFonts w:ascii="Century Schoolbook" w:hAnsi="Century Schoolbook"/>
          <w:sz w:val="22"/>
          <w:szCs w:val="22"/>
        </w:rPr>
        <w:t xml:space="preserve">reemphasize that our </w:t>
      </w:r>
      <w:r w:rsidR="0064169D">
        <w:rPr>
          <w:rFonts w:ascii="Century Schoolbook" w:hAnsi="Century Schoolbook"/>
          <w:sz w:val="22"/>
          <w:szCs w:val="22"/>
        </w:rPr>
        <w:t>method</w:t>
      </w:r>
      <w:r w:rsidR="0064169D" w:rsidRPr="00C145AC">
        <w:rPr>
          <w:rFonts w:ascii="Century Schoolbook" w:hAnsi="Century Schoolbook"/>
          <w:sz w:val="22"/>
          <w:szCs w:val="22"/>
        </w:rPr>
        <w:t xml:space="preserve"> of </w:t>
      </w:r>
      <w:r w:rsidR="000D2F6E">
        <w:rPr>
          <w:rFonts w:ascii="Century Schoolbook" w:hAnsi="Century Schoolbook"/>
          <w:sz w:val="22"/>
          <w:szCs w:val="22"/>
        </w:rPr>
        <w:t xml:space="preserve">identifying </w:t>
      </w:r>
      <w:r w:rsidR="0064169D" w:rsidRPr="00C145AC">
        <w:rPr>
          <w:rFonts w:ascii="Century Schoolbook" w:hAnsi="Century Schoolbook"/>
          <w:sz w:val="22"/>
          <w:szCs w:val="22"/>
        </w:rPr>
        <w:t>analysts’ recommendation speed</w:t>
      </w:r>
      <w:r w:rsidR="0064169D">
        <w:rPr>
          <w:rFonts w:ascii="Times New Roman" w:hAnsi="Times New Roman" w:cs="Times New Roman"/>
          <w:sz w:val="22"/>
          <w:szCs w:val="22"/>
        </w:rPr>
        <w:t>-</w:t>
      </w:r>
      <w:r w:rsidR="0064169D" w:rsidRPr="00C145AC">
        <w:rPr>
          <w:rFonts w:ascii="Century Schoolbook" w:hAnsi="Century Schoolbook"/>
          <w:sz w:val="22"/>
          <w:szCs w:val="22"/>
        </w:rPr>
        <w:t xml:space="preserve">style is an </w:t>
      </w:r>
      <w:r w:rsidR="0064169D" w:rsidRPr="007C138C">
        <w:rPr>
          <w:rFonts w:ascii="Century Schoolbook" w:hAnsi="Century Schoolbook"/>
          <w:i/>
          <w:sz w:val="22"/>
          <w:szCs w:val="22"/>
        </w:rPr>
        <w:t>out</w:t>
      </w:r>
      <w:r w:rsidR="0064169D" w:rsidRPr="007C138C">
        <w:rPr>
          <w:rFonts w:ascii="Times New Roman" w:hAnsi="Times New Roman" w:cs="Times New Roman"/>
          <w:i/>
          <w:sz w:val="22"/>
          <w:szCs w:val="22"/>
        </w:rPr>
        <w:t>-</w:t>
      </w:r>
      <w:r w:rsidR="0064169D" w:rsidRPr="007C138C">
        <w:rPr>
          <w:rFonts w:ascii="Century Schoolbook" w:hAnsi="Century Schoolbook"/>
          <w:i/>
          <w:sz w:val="22"/>
          <w:szCs w:val="22"/>
        </w:rPr>
        <w:t>of</w:t>
      </w:r>
      <w:r w:rsidR="0064169D" w:rsidRPr="007C138C">
        <w:rPr>
          <w:rFonts w:ascii="Times New Roman" w:hAnsi="Times New Roman" w:cs="Times New Roman"/>
          <w:i/>
          <w:sz w:val="22"/>
          <w:szCs w:val="22"/>
        </w:rPr>
        <w:t>-</w:t>
      </w:r>
      <w:r w:rsidR="0064169D" w:rsidRPr="007C138C">
        <w:rPr>
          <w:rFonts w:ascii="Century Schoolbook" w:hAnsi="Century Schoolbook"/>
          <w:i/>
          <w:sz w:val="22"/>
          <w:szCs w:val="22"/>
        </w:rPr>
        <w:t>sample</w:t>
      </w:r>
      <w:r w:rsidR="0064169D">
        <w:rPr>
          <w:rFonts w:ascii="Century Schoolbook" w:hAnsi="Century Schoolbook"/>
          <w:sz w:val="22"/>
          <w:szCs w:val="22"/>
        </w:rPr>
        <w:t xml:space="preserve"> approach</w:t>
      </w:r>
      <w:r w:rsidR="004A0481">
        <w:rPr>
          <w:rFonts w:ascii="Century Schoolbook" w:hAnsi="Century Schoolbook"/>
          <w:sz w:val="22"/>
          <w:szCs w:val="22"/>
        </w:rPr>
        <w:t xml:space="preserve">, and importantly, </w:t>
      </w:r>
      <w:r w:rsidR="00131F26">
        <w:rPr>
          <w:rFonts w:ascii="Century Schoolbook" w:hAnsi="Century Schoolbook"/>
          <w:sz w:val="22"/>
          <w:szCs w:val="22"/>
        </w:rPr>
        <w:t xml:space="preserve">the </w:t>
      </w:r>
      <w:r w:rsidR="004A0481">
        <w:rPr>
          <w:rFonts w:ascii="Century Schoolbook" w:hAnsi="Century Schoolbook"/>
          <w:sz w:val="22"/>
          <w:szCs w:val="22"/>
        </w:rPr>
        <w:t xml:space="preserve">investment </w:t>
      </w:r>
      <w:r w:rsidR="00131F26">
        <w:rPr>
          <w:rFonts w:ascii="Century Schoolbook" w:hAnsi="Century Schoolbook"/>
          <w:sz w:val="22"/>
          <w:szCs w:val="22"/>
        </w:rPr>
        <w:t>value i</w:t>
      </w:r>
      <w:r w:rsidR="00131F26" w:rsidRPr="00C145AC">
        <w:rPr>
          <w:rFonts w:ascii="Century Schoolbook" w:hAnsi="Century Schoolbook"/>
          <w:sz w:val="22"/>
          <w:szCs w:val="22"/>
        </w:rPr>
        <w:t xml:space="preserve">dentified </w:t>
      </w:r>
      <w:r w:rsidR="00131F26">
        <w:rPr>
          <w:rFonts w:ascii="Century Schoolbook" w:hAnsi="Century Schoolbook"/>
          <w:sz w:val="22"/>
          <w:szCs w:val="22"/>
        </w:rPr>
        <w:t>through</w:t>
      </w:r>
      <w:r w:rsidR="005D54D2">
        <w:rPr>
          <w:rFonts w:ascii="Century Schoolbook" w:hAnsi="Century Schoolbook"/>
          <w:sz w:val="22"/>
          <w:szCs w:val="22"/>
        </w:rPr>
        <w:t xml:space="preserve"> </w:t>
      </w:r>
      <w:r w:rsidR="00131F26">
        <w:rPr>
          <w:rFonts w:ascii="Century Schoolbook" w:hAnsi="Century Schoolbook"/>
          <w:sz w:val="22"/>
          <w:szCs w:val="22"/>
        </w:rPr>
        <w:t xml:space="preserve">the </w:t>
      </w:r>
      <w:r w:rsidR="005D54D2">
        <w:rPr>
          <w:rFonts w:ascii="Century Schoolbook" w:hAnsi="Century Schoolbook"/>
          <w:sz w:val="22"/>
          <w:szCs w:val="22"/>
        </w:rPr>
        <w:t xml:space="preserve">speed-style classification dominates those identified through other </w:t>
      </w:r>
      <w:r w:rsidR="00606B5A" w:rsidRPr="00C145AC">
        <w:rPr>
          <w:rFonts w:ascii="Century Schoolbook" w:hAnsi="Century Schoolbook"/>
          <w:sz w:val="22"/>
          <w:szCs w:val="22"/>
        </w:rPr>
        <w:t>analysts’ ex-ante characteristics such as their career tenure, All</w:t>
      </w:r>
      <w:r w:rsidR="00606B5A">
        <w:rPr>
          <w:rFonts w:ascii="Times New Roman" w:hAnsi="Times New Roman" w:cs="Times New Roman"/>
          <w:sz w:val="22"/>
          <w:szCs w:val="22"/>
        </w:rPr>
        <w:t>-</w:t>
      </w:r>
      <w:r w:rsidR="005D54D2">
        <w:rPr>
          <w:rFonts w:ascii="Century Schoolbook" w:hAnsi="Century Schoolbook"/>
          <w:sz w:val="22"/>
          <w:szCs w:val="22"/>
        </w:rPr>
        <w:t xml:space="preserve">star status, prior </w:t>
      </w:r>
      <w:r w:rsidR="00606B5A" w:rsidRPr="00C145AC">
        <w:rPr>
          <w:rFonts w:ascii="Century Schoolbook" w:hAnsi="Century Schoolbook"/>
          <w:sz w:val="22"/>
          <w:szCs w:val="22"/>
        </w:rPr>
        <w:t>earnings forecasts precision, and brokerage house size.</w:t>
      </w:r>
    </w:p>
    <w:p w14:paraId="36456DF9" w14:textId="72176306" w:rsidR="00C055DD" w:rsidRDefault="00E354EB" w:rsidP="00A00DFF">
      <w:pPr>
        <w:pStyle w:val="Default"/>
        <w:spacing w:after="120" w:line="480" w:lineRule="auto"/>
        <w:ind w:firstLine="284"/>
        <w:jc w:val="both"/>
        <w:rPr>
          <w:rFonts w:ascii="Century Schoolbook" w:hAnsi="Century Schoolbook" w:cs="Times New Roman"/>
          <w:sz w:val="22"/>
          <w:szCs w:val="22"/>
        </w:rPr>
      </w:pPr>
      <w:r w:rsidRPr="00F27F5B">
        <w:rPr>
          <w:rFonts w:ascii="Century Schoolbook" w:hAnsi="Century Schoolbook" w:cs="Times New Roman"/>
          <w:sz w:val="22"/>
          <w:szCs w:val="22"/>
        </w:rPr>
        <w:lastRenderedPageBreak/>
        <w:t xml:space="preserve">The above results beg the following important questions: </w:t>
      </w:r>
      <w:r w:rsidR="006A74C5">
        <w:rPr>
          <w:rFonts w:ascii="Century Schoolbook" w:hAnsi="Century Schoolbook" w:cs="Times New Roman"/>
          <w:sz w:val="22"/>
          <w:szCs w:val="22"/>
        </w:rPr>
        <w:t>W</w:t>
      </w:r>
      <w:r w:rsidR="00C941F2">
        <w:rPr>
          <w:rFonts w:ascii="Century Schoolbook" w:hAnsi="Century Schoolbook" w:cs="Times New Roman"/>
          <w:sz w:val="22"/>
          <w:szCs w:val="22"/>
        </w:rPr>
        <w:t xml:space="preserve">hy </w:t>
      </w:r>
      <w:r w:rsidR="00FC63C1">
        <w:rPr>
          <w:rFonts w:ascii="Century Schoolbook" w:hAnsi="Century Schoolbook" w:cs="Times New Roman"/>
          <w:sz w:val="22"/>
          <w:szCs w:val="22"/>
        </w:rPr>
        <w:t>are analysts who make less-</w:t>
      </w:r>
      <w:r w:rsidR="00A04975">
        <w:rPr>
          <w:rFonts w:ascii="Century Schoolbook" w:hAnsi="Century Schoolbook" w:cs="Times New Roman"/>
          <w:sz w:val="22"/>
          <w:szCs w:val="22"/>
        </w:rPr>
        <w:t xml:space="preserve">frequent </w:t>
      </w:r>
      <w:r w:rsidR="00FC63C1">
        <w:rPr>
          <w:rFonts w:ascii="Century Schoolbook" w:hAnsi="Century Schoolbook" w:cs="Times New Roman"/>
          <w:sz w:val="22"/>
          <w:szCs w:val="22"/>
        </w:rPr>
        <w:t xml:space="preserve">recommendations </w:t>
      </w:r>
      <w:r w:rsidR="004A4E27">
        <w:rPr>
          <w:rFonts w:ascii="Century Schoolbook" w:hAnsi="Century Schoolbook" w:cs="Times New Roman"/>
          <w:sz w:val="22"/>
          <w:szCs w:val="22"/>
        </w:rPr>
        <w:t xml:space="preserve">better stock pickers? </w:t>
      </w:r>
      <w:r w:rsidR="00C941F2">
        <w:rPr>
          <w:rFonts w:ascii="Century Schoolbook" w:hAnsi="Century Schoolbook" w:cs="Times New Roman"/>
          <w:sz w:val="22"/>
          <w:szCs w:val="22"/>
        </w:rPr>
        <w:t>W</w:t>
      </w:r>
      <w:r w:rsidR="006A74C5">
        <w:rPr>
          <w:rFonts w:ascii="Century Schoolbook" w:hAnsi="Century Schoolbook" w:cs="Times New Roman"/>
          <w:sz w:val="22"/>
          <w:szCs w:val="22"/>
        </w:rPr>
        <w:t xml:space="preserve">hat </w:t>
      </w:r>
      <w:r w:rsidR="00553C16">
        <w:rPr>
          <w:rFonts w:ascii="Century Schoolbook" w:hAnsi="Century Schoolbook" w:cs="Times New Roman"/>
          <w:sz w:val="22"/>
          <w:szCs w:val="22"/>
        </w:rPr>
        <w:t xml:space="preserve">do </w:t>
      </w:r>
      <w:r w:rsidR="006A74C5">
        <w:rPr>
          <w:rFonts w:ascii="Century Schoolbook" w:hAnsi="Century Schoolbook" w:cs="Times New Roman"/>
          <w:sz w:val="22"/>
          <w:szCs w:val="22"/>
        </w:rPr>
        <w:t xml:space="preserve">cues </w:t>
      </w:r>
      <w:r w:rsidR="00AD7252">
        <w:rPr>
          <w:rFonts w:ascii="Century Schoolbook" w:hAnsi="Century Schoolbook" w:cs="Times New Roman"/>
          <w:sz w:val="22"/>
          <w:szCs w:val="22"/>
        </w:rPr>
        <w:t xml:space="preserve">they </w:t>
      </w:r>
      <w:r w:rsidR="00306388">
        <w:rPr>
          <w:rFonts w:ascii="Century Schoolbook" w:hAnsi="Century Schoolbook" w:cs="Times New Roman"/>
          <w:sz w:val="22"/>
          <w:szCs w:val="22"/>
        </w:rPr>
        <w:t>use</w:t>
      </w:r>
      <w:r w:rsidR="006A74C5">
        <w:rPr>
          <w:rFonts w:ascii="Century Schoolbook" w:hAnsi="Century Schoolbook" w:cs="Times New Roman"/>
          <w:sz w:val="22"/>
          <w:szCs w:val="22"/>
        </w:rPr>
        <w:t>?</w:t>
      </w:r>
      <w:r w:rsidRPr="00F27F5B">
        <w:rPr>
          <w:rFonts w:ascii="Century Schoolbook" w:hAnsi="Century Schoolbook" w:cs="Times New Roman"/>
          <w:sz w:val="22"/>
          <w:szCs w:val="22"/>
        </w:rPr>
        <w:t xml:space="preserve"> </w:t>
      </w:r>
      <w:r w:rsidR="00CC198F" w:rsidRPr="00F27F5B">
        <w:rPr>
          <w:rFonts w:ascii="Century Schoolbook" w:hAnsi="Century Schoolbook" w:cs="Times New Roman"/>
          <w:sz w:val="22"/>
          <w:szCs w:val="22"/>
        </w:rPr>
        <w:t>Obviously</w:t>
      </w:r>
      <w:r w:rsidRPr="00F27F5B">
        <w:rPr>
          <w:rFonts w:ascii="Century Schoolbook" w:hAnsi="Century Schoolbook" w:cs="Times New Roman"/>
          <w:sz w:val="22"/>
          <w:szCs w:val="22"/>
        </w:rPr>
        <w:t>, it is difficult</w:t>
      </w:r>
      <w:r w:rsidRPr="00F27F5B">
        <w:rPr>
          <w:rFonts w:ascii="Century Schoolbook" w:hAnsi="Century Schoolbook" w:cs="Times New Roman"/>
          <w:color w:val="auto"/>
          <w:sz w:val="22"/>
          <w:szCs w:val="22"/>
        </w:rPr>
        <w:t>,</w:t>
      </w:r>
      <w:r w:rsidRPr="00F27F5B">
        <w:rPr>
          <w:rFonts w:ascii="Century Schoolbook" w:hAnsi="Century Schoolbook" w:cs="Times New Roman"/>
          <w:sz w:val="22"/>
          <w:szCs w:val="22"/>
        </w:rPr>
        <w:t xml:space="preserve"> if not impossible</w:t>
      </w:r>
      <w:r w:rsidRPr="00F27F5B">
        <w:rPr>
          <w:rFonts w:ascii="Century Schoolbook" w:hAnsi="Century Schoolbook" w:cs="Times New Roman"/>
          <w:color w:val="auto"/>
          <w:sz w:val="22"/>
          <w:szCs w:val="22"/>
        </w:rPr>
        <w:t>,</w:t>
      </w:r>
      <w:r w:rsidRPr="00F27F5B">
        <w:rPr>
          <w:rFonts w:ascii="Century Schoolbook" w:hAnsi="Century Schoolbook" w:cs="Times New Roman"/>
          <w:sz w:val="22"/>
          <w:szCs w:val="22"/>
        </w:rPr>
        <w:t xml:space="preserve"> to see into the mind of the</w:t>
      </w:r>
      <w:r w:rsidR="00654FA7" w:rsidRPr="00F27F5B">
        <w:rPr>
          <w:rFonts w:ascii="Century Schoolbook" w:hAnsi="Century Schoolbook" w:cs="Times New Roman"/>
          <w:sz w:val="22"/>
          <w:szCs w:val="22"/>
        </w:rPr>
        <w:t>se</w:t>
      </w:r>
      <w:r w:rsidRPr="00F27F5B">
        <w:rPr>
          <w:rFonts w:ascii="Century Schoolbook" w:hAnsi="Century Schoolbook" w:cs="Times New Roman"/>
          <w:sz w:val="22"/>
          <w:szCs w:val="22"/>
        </w:rPr>
        <w:t xml:space="preserve"> decision maker</w:t>
      </w:r>
      <w:r w:rsidR="00654FA7" w:rsidRPr="00F27F5B">
        <w:rPr>
          <w:rFonts w:ascii="Century Schoolbook" w:hAnsi="Century Schoolbook" w:cs="Times New Roman"/>
          <w:sz w:val="22"/>
          <w:szCs w:val="22"/>
        </w:rPr>
        <w:t>s</w:t>
      </w:r>
      <w:r w:rsidRPr="00F27F5B">
        <w:rPr>
          <w:rFonts w:ascii="Century Schoolbook" w:hAnsi="Century Schoolbook" w:cs="Times New Roman"/>
          <w:sz w:val="22"/>
          <w:szCs w:val="22"/>
        </w:rPr>
        <w:t xml:space="preserve">, but we do observe </w:t>
      </w:r>
      <w:r w:rsidR="008931DD" w:rsidRPr="00F27F5B">
        <w:rPr>
          <w:rFonts w:ascii="Century Schoolbook" w:hAnsi="Century Schoolbook" w:cs="Times New Roman"/>
          <w:sz w:val="22"/>
          <w:szCs w:val="22"/>
        </w:rPr>
        <w:t>valuable</w:t>
      </w:r>
      <w:r w:rsidR="00747113" w:rsidRPr="00F27F5B">
        <w:rPr>
          <w:rFonts w:ascii="Century Schoolbook" w:hAnsi="Century Schoolbook" w:cs="Times New Roman"/>
          <w:sz w:val="22"/>
          <w:szCs w:val="22"/>
        </w:rPr>
        <w:t xml:space="preserve"> </w:t>
      </w:r>
      <w:r w:rsidRPr="00F27F5B">
        <w:rPr>
          <w:rFonts w:ascii="Century Schoolbook" w:hAnsi="Century Schoolbook" w:cs="Times New Roman"/>
          <w:sz w:val="22"/>
          <w:szCs w:val="22"/>
        </w:rPr>
        <w:t xml:space="preserve">clues. </w:t>
      </w:r>
      <w:r w:rsidR="00E70069">
        <w:rPr>
          <w:rFonts w:ascii="Century Schoolbook" w:hAnsi="Century Schoolbook" w:cs="Times New Roman"/>
          <w:sz w:val="22"/>
          <w:szCs w:val="22"/>
        </w:rPr>
        <w:t>First, w</w:t>
      </w:r>
      <w:r w:rsidR="00535F67" w:rsidRPr="00F27F5B">
        <w:rPr>
          <w:rFonts w:ascii="Century Schoolbook" w:hAnsi="Century Schoolbook" w:cs="Times New Roman"/>
          <w:sz w:val="22"/>
          <w:szCs w:val="22"/>
        </w:rPr>
        <w:t xml:space="preserve">e find that slower </w:t>
      </w:r>
      <w:r w:rsidR="00FE61EA" w:rsidRPr="00F27F5B">
        <w:rPr>
          <w:rFonts w:ascii="Century Schoolbook" w:hAnsi="Century Schoolbook" w:cs="Times New Roman"/>
          <w:sz w:val="22"/>
          <w:szCs w:val="22"/>
        </w:rPr>
        <w:t xml:space="preserve">(faster) </w:t>
      </w:r>
      <w:r w:rsidR="00535F67" w:rsidRPr="00F27F5B">
        <w:rPr>
          <w:rFonts w:ascii="Century Schoolbook" w:hAnsi="Century Schoolbook" w:cs="Times New Roman"/>
          <w:sz w:val="22"/>
          <w:szCs w:val="22"/>
        </w:rPr>
        <w:t>recommendati</w:t>
      </w:r>
      <w:r w:rsidR="00EA3E3B" w:rsidRPr="00F27F5B">
        <w:rPr>
          <w:rFonts w:ascii="Century Schoolbook" w:hAnsi="Century Schoolbook" w:cs="Times New Roman"/>
          <w:sz w:val="22"/>
          <w:szCs w:val="22"/>
        </w:rPr>
        <w:t>on</w:t>
      </w:r>
      <w:r w:rsidR="00827B73">
        <w:rPr>
          <w:rFonts w:ascii="Century Schoolbook" w:hAnsi="Century Schoolbook" w:cs="Times New Roman"/>
          <w:sz w:val="22"/>
          <w:szCs w:val="22"/>
        </w:rPr>
        <w:t>-</w:t>
      </w:r>
      <w:r w:rsidR="00EA3E3B" w:rsidRPr="00F27F5B">
        <w:rPr>
          <w:rFonts w:ascii="Century Schoolbook" w:hAnsi="Century Schoolbook" w:cs="Times New Roman"/>
          <w:sz w:val="22"/>
          <w:szCs w:val="22"/>
        </w:rPr>
        <w:t xml:space="preserve">revising analysts </w:t>
      </w:r>
      <w:r w:rsidR="00FE61EA" w:rsidRPr="00F27F5B">
        <w:rPr>
          <w:rFonts w:ascii="Century Schoolbook" w:hAnsi="Century Schoolbook" w:cs="Times New Roman"/>
          <w:sz w:val="22"/>
          <w:szCs w:val="22"/>
        </w:rPr>
        <w:t xml:space="preserve">are more likely to </w:t>
      </w:r>
      <w:r w:rsidR="00EA3E3B" w:rsidRPr="00F27F5B">
        <w:rPr>
          <w:rFonts w:ascii="Century Schoolbook" w:hAnsi="Century Schoolbook" w:cs="Times New Roman"/>
          <w:sz w:val="22"/>
          <w:szCs w:val="22"/>
        </w:rPr>
        <w:t xml:space="preserve">lead </w:t>
      </w:r>
      <w:r w:rsidR="00EE0736" w:rsidRPr="00F27F5B">
        <w:rPr>
          <w:rFonts w:ascii="Century Schoolbook" w:hAnsi="Century Schoolbook" w:cs="Times New Roman"/>
          <w:sz w:val="22"/>
          <w:szCs w:val="22"/>
        </w:rPr>
        <w:t xml:space="preserve">(follow) </w:t>
      </w:r>
      <w:r w:rsidR="00EA3E3B" w:rsidRPr="00F27F5B">
        <w:rPr>
          <w:rFonts w:ascii="Century Schoolbook" w:hAnsi="Century Schoolbook" w:cs="Times New Roman"/>
          <w:sz w:val="22"/>
          <w:szCs w:val="22"/>
        </w:rPr>
        <w:t>others in</w:t>
      </w:r>
      <w:r w:rsidR="00535F67" w:rsidRPr="00F27F5B">
        <w:rPr>
          <w:rFonts w:ascii="Century Schoolbook" w:hAnsi="Century Schoolbook" w:cs="Times New Roman"/>
          <w:sz w:val="22"/>
          <w:szCs w:val="22"/>
        </w:rPr>
        <w:t xml:space="preserve"> recommendation</w:t>
      </w:r>
      <w:r w:rsidR="00EA3E3B" w:rsidRPr="00F27F5B">
        <w:rPr>
          <w:rFonts w:ascii="Century Schoolbook" w:hAnsi="Century Schoolbook" w:cs="Times New Roman"/>
          <w:sz w:val="22"/>
          <w:szCs w:val="22"/>
        </w:rPr>
        <w:t xml:space="preserve"> changes as measured by</w:t>
      </w:r>
      <w:r w:rsidR="005A28B8" w:rsidRPr="00F27F5B">
        <w:rPr>
          <w:rFonts w:ascii="Century Schoolbook" w:hAnsi="Century Schoolbook" w:cs="Times New Roman"/>
          <w:sz w:val="22"/>
          <w:szCs w:val="22"/>
        </w:rPr>
        <w:t xml:space="preserve"> </w:t>
      </w:r>
      <w:r w:rsidR="00535F67" w:rsidRPr="00F27F5B">
        <w:rPr>
          <w:rFonts w:ascii="Century Schoolbook" w:hAnsi="Century Schoolbook" w:cs="Times New Roman"/>
          <w:sz w:val="22"/>
          <w:szCs w:val="22"/>
        </w:rPr>
        <w:t>the leader</w:t>
      </w:r>
      <w:r w:rsidR="00827B73">
        <w:rPr>
          <w:rFonts w:ascii="Century Schoolbook" w:hAnsi="Century Schoolbook" w:cs="Times New Roman"/>
          <w:sz w:val="22"/>
          <w:szCs w:val="22"/>
        </w:rPr>
        <w:t>-</w:t>
      </w:r>
      <w:r w:rsidR="004E2876" w:rsidRPr="00F27F5B">
        <w:rPr>
          <w:rFonts w:ascii="Century Schoolbook" w:hAnsi="Century Schoolbook" w:cs="Times New Roman"/>
          <w:sz w:val="22"/>
          <w:szCs w:val="22"/>
        </w:rPr>
        <w:t xml:space="preserve">follower ratio </w:t>
      </w:r>
      <w:r w:rsidR="00CE215A">
        <w:rPr>
          <w:rFonts w:ascii="Century Schoolbook" w:hAnsi="Century Schoolbook" w:cs="Times New Roman"/>
          <w:sz w:val="22"/>
          <w:szCs w:val="22"/>
        </w:rPr>
        <w:t>of Cooper, Day</w:t>
      </w:r>
      <w:r w:rsidR="00535F67" w:rsidRPr="00F27F5B">
        <w:rPr>
          <w:rFonts w:ascii="Century Schoolbook" w:hAnsi="Century Schoolbook" w:cs="Times New Roman"/>
          <w:sz w:val="22"/>
          <w:szCs w:val="22"/>
        </w:rPr>
        <w:t xml:space="preserve"> and Lewis (2001)</w:t>
      </w:r>
      <w:r w:rsidR="004B0CC9">
        <w:rPr>
          <w:rFonts w:ascii="Century Schoolbook" w:hAnsi="Century Schoolbook" w:cs="Times New Roman"/>
          <w:sz w:val="22"/>
          <w:szCs w:val="22"/>
        </w:rPr>
        <w:t>. In other words, slow-turnover analysts tend to issue recommendations that “lead the pack”</w:t>
      </w:r>
      <w:r w:rsidR="0060770A">
        <w:rPr>
          <w:rFonts w:ascii="Century Schoolbook" w:hAnsi="Century Schoolbook" w:cs="Times New Roman"/>
          <w:sz w:val="22"/>
          <w:szCs w:val="22"/>
        </w:rPr>
        <w:t xml:space="preserve"> even though they revise them less frequently.</w:t>
      </w:r>
      <w:r w:rsidR="00517DDC">
        <w:rPr>
          <w:rFonts w:ascii="Century Schoolbook" w:hAnsi="Century Schoolbook" w:cs="Times New Roman"/>
          <w:sz w:val="22"/>
          <w:szCs w:val="22"/>
        </w:rPr>
        <w:t xml:space="preserve"> </w:t>
      </w:r>
      <w:r w:rsidR="00E70069">
        <w:rPr>
          <w:rFonts w:ascii="Century Schoolbook" w:hAnsi="Century Schoolbook" w:cs="Times New Roman"/>
          <w:sz w:val="22"/>
          <w:szCs w:val="22"/>
        </w:rPr>
        <w:t xml:space="preserve">Second, we find that analysts with different decision-speed styles </w:t>
      </w:r>
      <w:r w:rsidR="009762C4">
        <w:rPr>
          <w:rFonts w:ascii="Century Schoolbook" w:hAnsi="Century Schoolbook" w:cs="Times New Roman"/>
          <w:sz w:val="22"/>
          <w:szCs w:val="22"/>
        </w:rPr>
        <w:t>take cues from</w:t>
      </w:r>
      <w:r w:rsidR="00E70069">
        <w:rPr>
          <w:rFonts w:ascii="Century Schoolbook" w:hAnsi="Century Schoolbook" w:cs="Times New Roman"/>
          <w:sz w:val="22"/>
          <w:szCs w:val="22"/>
        </w:rPr>
        <w:t xml:space="preserve"> different news types when </w:t>
      </w:r>
      <w:r w:rsidR="00120ABE">
        <w:rPr>
          <w:rFonts w:ascii="Century Schoolbook" w:hAnsi="Century Schoolbook" w:cs="Times New Roman"/>
          <w:sz w:val="22"/>
          <w:szCs w:val="22"/>
        </w:rPr>
        <w:t xml:space="preserve">updating their recommendations. </w:t>
      </w:r>
      <w:r w:rsidR="00C361E9">
        <w:rPr>
          <w:rFonts w:ascii="Century Schoolbook" w:hAnsi="Century Schoolbook" w:cs="Times New Roman"/>
          <w:sz w:val="22"/>
          <w:szCs w:val="22"/>
        </w:rPr>
        <w:t>Recent</w:t>
      </w:r>
      <w:r w:rsidR="00260960">
        <w:rPr>
          <w:rFonts w:ascii="Century Schoolbook" w:hAnsi="Century Schoolbook" w:cs="Times New Roman"/>
          <w:sz w:val="22"/>
          <w:szCs w:val="22"/>
        </w:rPr>
        <w:t xml:space="preserve"> studies </w:t>
      </w:r>
      <w:r w:rsidR="00EC18A0">
        <w:rPr>
          <w:rFonts w:ascii="Century Schoolbook" w:hAnsi="Century Schoolbook" w:cs="Times New Roman"/>
          <w:sz w:val="22"/>
          <w:szCs w:val="22"/>
        </w:rPr>
        <w:t xml:space="preserve">find </w:t>
      </w:r>
      <w:r w:rsidR="00CD1EB9">
        <w:rPr>
          <w:rFonts w:ascii="Century Schoolbook" w:hAnsi="Century Schoolbook" w:cs="Times New Roman"/>
          <w:sz w:val="22"/>
          <w:szCs w:val="22"/>
        </w:rPr>
        <w:t xml:space="preserve">that </w:t>
      </w:r>
      <w:r w:rsidR="00260960">
        <w:rPr>
          <w:rFonts w:ascii="Century Schoolbook" w:hAnsi="Century Schoolbook" w:cs="Times New Roman"/>
          <w:sz w:val="22"/>
          <w:szCs w:val="22"/>
        </w:rPr>
        <w:t>analysts’ recommendations</w:t>
      </w:r>
      <w:r w:rsidR="00C361E9">
        <w:rPr>
          <w:rFonts w:ascii="Century Schoolbook" w:hAnsi="Century Schoolbook" w:cs="Times New Roman"/>
          <w:sz w:val="22"/>
          <w:szCs w:val="22"/>
        </w:rPr>
        <w:t xml:space="preserve"> are valuable because they help investors interpret the contents of </w:t>
      </w:r>
      <w:r w:rsidR="00260960">
        <w:rPr>
          <w:rFonts w:ascii="Century Schoolbook" w:hAnsi="Century Schoolbook" w:cs="Times New Roman"/>
          <w:sz w:val="22"/>
          <w:szCs w:val="22"/>
        </w:rPr>
        <w:t>corporate disclosures</w:t>
      </w:r>
      <w:r w:rsidR="009734BD">
        <w:rPr>
          <w:rFonts w:ascii="Century Schoolbook" w:hAnsi="Century Schoolbook" w:cs="Times New Roman"/>
          <w:sz w:val="22"/>
          <w:szCs w:val="22"/>
        </w:rPr>
        <w:t>.</w:t>
      </w:r>
      <w:r w:rsidR="009734BD">
        <w:rPr>
          <w:rStyle w:val="FootnoteReference"/>
          <w:rFonts w:ascii="Century Schoolbook" w:hAnsi="Century Schoolbook" w:cs="Times New Roman"/>
          <w:sz w:val="22"/>
          <w:szCs w:val="22"/>
        </w:rPr>
        <w:footnoteReference w:id="3"/>
      </w:r>
      <w:r w:rsidR="00260960">
        <w:rPr>
          <w:rFonts w:ascii="Century Schoolbook" w:hAnsi="Century Schoolbook" w:cs="Times New Roman"/>
          <w:sz w:val="22"/>
          <w:szCs w:val="22"/>
        </w:rPr>
        <w:t xml:space="preserve"> </w:t>
      </w:r>
      <w:r w:rsidR="00A87432">
        <w:rPr>
          <w:rFonts w:ascii="Century Schoolbook" w:hAnsi="Century Schoolbook" w:cs="Times New Roman"/>
          <w:sz w:val="22"/>
          <w:szCs w:val="22"/>
        </w:rPr>
        <w:t xml:space="preserve">Motivated by </w:t>
      </w:r>
      <w:r w:rsidR="00C77B82">
        <w:rPr>
          <w:rFonts w:ascii="Century Schoolbook" w:hAnsi="Century Schoolbook" w:cs="Times New Roman"/>
          <w:sz w:val="22"/>
          <w:szCs w:val="22"/>
        </w:rPr>
        <w:t>th</w:t>
      </w:r>
      <w:r w:rsidR="00C361E9">
        <w:rPr>
          <w:rFonts w:ascii="Century Schoolbook" w:hAnsi="Century Schoolbook" w:cs="Times New Roman"/>
          <w:sz w:val="22"/>
          <w:szCs w:val="22"/>
        </w:rPr>
        <w:t>e</w:t>
      </w:r>
      <w:r w:rsidR="00C77B82">
        <w:rPr>
          <w:rFonts w:ascii="Century Schoolbook" w:hAnsi="Century Schoolbook" w:cs="Times New Roman"/>
          <w:sz w:val="22"/>
          <w:szCs w:val="22"/>
        </w:rPr>
        <w:t>se studies</w:t>
      </w:r>
      <w:r w:rsidR="00A87432">
        <w:rPr>
          <w:rFonts w:ascii="Century Schoolbook" w:hAnsi="Century Schoolbook" w:cs="Times New Roman"/>
          <w:sz w:val="22"/>
          <w:szCs w:val="22"/>
        </w:rPr>
        <w:t>,</w:t>
      </w:r>
      <w:r w:rsidR="00120ABE">
        <w:rPr>
          <w:rFonts w:ascii="Century Schoolbook" w:hAnsi="Century Schoolbook" w:cs="Times New Roman"/>
          <w:sz w:val="22"/>
          <w:szCs w:val="22"/>
        </w:rPr>
        <w:t xml:space="preserve"> we examine the value of </w:t>
      </w:r>
      <w:r w:rsidR="00BB6D66">
        <w:rPr>
          <w:rFonts w:ascii="Century Schoolbook" w:hAnsi="Century Schoolbook" w:cs="Times New Roman"/>
          <w:sz w:val="22"/>
          <w:szCs w:val="22"/>
        </w:rPr>
        <w:t>fast- versus slow-turnover analysts</w:t>
      </w:r>
      <w:r w:rsidR="00120ABE" w:rsidRPr="00120ABE">
        <w:rPr>
          <w:rFonts w:ascii="Century Schoolbook" w:hAnsi="Century Schoolbook" w:cs="Times New Roman"/>
          <w:sz w:val="22"/>
          <w:szCs w:val="22"/>
        </w:rPr>
        <w:t xml:space="preserve"> </w:t>
      </w:r>
      <w:r w:rsidR="00120ABE">
        <w:rPr>
          <w:rFonts w:ascii="Century Schoolbook" w:hAnsi="Century Schoolbook" w:cs="Times New Roman"/>
          <w:sz w:val="22"/>
          <w:szCs w:val="22"/>
        </w:rPr>
        <w:t>in</w:t>
      </w:r>
      <w:r w:rsidR="00120ABE" w:rsidRPr="00120ABE">
        <w:rPr>
          <w:rFonts w:ascii="Century Schoolbook" w:hAnsi="Century Schoolbook" w:cs="Times New Roman"/>
          <w:sz w:val="22"/>
          <w:szCs w:val="22"/>
        </w:rPr>
        <w:t xml:space="preserve"> facilitating </w:t>
      </w:r>
      <w:r w:rsidR="00BB6D66">
        <w:rPr>
          <w:rFonts w:ascii="Century Schoolbook" w:hAnsi="Century Schoolbook" w:cs="Times New Roman"/>
          <w:sz w:val="22"/>
          <w:szCs w:val="22"/>
        </w:rPr>
        <w:t xml:space="preserve">the </w:t>
      </w:r>
      <w:r w:rsidR="00120ABE" w:rsidRPr="00120ABE">
        <w:rPr>
          <w:rFonts w:ascii="Century Schoolbook" w:hAnsi="Century Schoolbook" w:cs="Times New Roman"/>
          <w:sz w:val="22"/>
          <w:szCs w:val="22"/>
        </w:rPr>
        <w:t>price discovery</w:t>
      </w:r>
      <w:r w:rsidR="0094334D">
        <w:rPr>
          <w:rFonts w:ascii="Century Schoolbook" w:hAnsi="Century Schoolbook" w:cs="Times New Roman"/>
          <w:sz w:val="22"/>
          <w:szCs w:val="22"/>
        </w:rPr>
        <w:t xml:space="preserve"> </w:t>
      </w:r>
      <w:r w:rsidR="00BB6D66">
        <w:rPr>
          <w:rFonts w:ascii="Century Schoolbook" w:hAnsi="Century Schoolbook" w:cs="Times New Roman"/>
          <w:sz w:val="22"/>
          <w:szCs w:val="22"/>
        </w:rPr>
        <w:t>of</w:t>
      </w:r>
      <w:r w:rsidR="00C77B82">
        <w:rPr>
          <w:rFonts w:ascii="Century Schoolbook" w:hAnsi="Century Schoolbook" w:cs="Times New Roman"/>
          <w:sz w:val="22"/>
          <w:szCs w:val="22"/>
        </w:rPr>
        <w:t xml:space="preserve"> corporate </w:t>
      </w:r>
      <w:r w:rsidR="00C055DD">
        <w:rPr>
          <w:rFonts w:ascii="Century Schoolbook" w:hAnsi="Century Schoolbook" w:cs="Times New Roman"/>
          <w:sz w:val="22"/>
          <w:szCs w:val="22"/>
        </w:rPr>
        <w:t>disclosures</w:t>
      </w:r>
      <w:r w:rsidR="00553C16">
        <w:rPr>
          <w:rFonts w:ascii="Century Schoolbook" w:hAnsi="Century Schoolbook" w:cs="Times New Roman"/>
          <w:sz w:val="22"/>
          <w:szCs w:val="22"/>
        </w:rPr>
        <w:t>.</w:t>
      </w:r>
      <w:r w:rsidR="00C055DD">
        <w:rPr>
          <w:rFonts w:ascii="Century Schoolbook" w:hAnsi="Century Schoolbook" w:cs="Times New Roman"/>
          <w:sz w:val="22"/>
          <w:szCs w:val="22"/>
        </w:rPr>
        <w:t xml:space="preserve"> </w:t>
      </w:r>
    </w:p>
    <w:p w14:paraId="1901574B" w14:textId="2DA6FD07" w:rsidR="00E25978" w:rsidRDefault="00E70069" w:rsidP="00C055DD">
      <w:pPr>
        <w:pStyle w:val="Default"/>
        <w:spacing w:after="120" w:line="480" w:lineRule="auto"/>
        <w:ind w:firstLine="284"/>
        <w:jc w:val="both"/>
        <w:rPr>
          <w:rFonts w:ascii="Century Schoolbook" w:hAnsi="Century Schoolbook" w:cs="Times New Roman"/>
          <w:sz w:val="22"/>
          <w:szCs w:val="22"/>
        </w:rPr>
      </w:pPr>
      <w:r w:rsidRPr="00E25978">
        <w:rPr>
          <w:rFonts w:ascii="Century Schoolbook" w:hAnsi="Century Schoolbook" w:cs="Times New Roman"/>
          <w:sz w:val="22"/>
          <w:szCs w:val="22"/>
        </w:rPr>
        <w:t xml:space="preserve">We obtain </w:t>
      </w:r>
      <w:r>
        <w:rPr>
          <w:rFonts w:ascii="Century Schoolbook" w:hAnsi="Century Schoolbook" w:cs="Times New Roman"/>
          <w:sz w:val="22"/>
          <w:szCs w:val="22"/>
        </w:rPr>
        <w:t xml:space="preserve">a </w:t>
      </w:r>
      <w:r w:rsidRPr="00E25978">
        <w:rPr>
          <w:rFonts w:ascii="Century Schoolbook" w:hAnsi="Century Schoolbook" w:cs="Times New Roman"/>
          <w:sz w:val="22"/>
          <w:szCs w:val="22"/>
        </w:rPr>
        <w:t xml:space="preserve">comprehensive news database from Capital </w:t>
      </w:r>
      <w:r w:rsidR="00CD1EB9">
        <w:rPr>
          <w:rFonts w:ascii="Century Schoolbook" w:hAnsi="Century Schoolbook" w:cs="Times New Roman"/>
          <w:sz w:val="22"/>
          <w:szCs w:val="22"/>
        </w:rPr>
        <w:t>IQ</w:t>
      </w:r>
      <w:r w:rsidR="00C055DD">
        <w:rPr>
          <w:rFonts w:ascii="Century Schoolbook" w:hAnsi="Century Schoolbook" w:cs="Times New Roman"/>
          <w:sz w:val="22"/>
          <w:szCs w:val="22"/>
        </w:rPr>
        <w:t xml:space="preserve"> that provides a very </w:t>
      </w:r>
      <w:r w:rsidRPr="00E25978">
        <w:rPr>
          <w:rFonts w:ascii="Century Schoolbook" w:hAnsi="Century Schoolbook" w:cs="Times New Roman"/>
          <w:sz w:val="22"/>
          <w:szCs w:val="22"/>
        </w:rPr>
        <w:t xml:space="preserve">fine classification of news </w:t>
      </w:r>
      <w:r w:rsidR="00CD1EB9" w:rsidRPr="00E25978">
        <w:rPr>
          <w:rFonts w:ascii="Century Schoolbook" w:hAnsi="Century Schoolbook" w:cs="Times New Roman"/>
          <w:sz w:val="22"/>
          <w:szCs w:val="22"/>
        </w:rPr>
        <w:t>categories</w:t>
      </w:r>
      <w:r w:rsidR="00C055DD">
        <w:rPr>
          <w:rFonts w:ascii="Century Schoolbook" w:hAnsi="Century Schoolbook" w:cs="Times New Roman"/>
          <w:sz w:val="22"/>
          <w:szCs w:val="22"/>
        </w:rPr>
        <w:t xml:space="preserve"> and uncover </w:t>
      </w:r>
      <w:r w:rsidR="00BF43EA">
        <w:rPr>
          <w:rFonts w:ascii="Century Schoolbook" w:hAnsi="Century Schoolbook"/>
          <w:sz w:val="22"/>
          <w:szCs w:val="22"/>
        </w:rPr>
        <w:t>distinct pattern</w:t>
      </w:r>
      <w:r w:rsidR="00ED39D0">
        <w:rPr>
          <w:rFonts w:ascii="Century Schoolbook" w:hAnsi="Century Schoolbook"/>
          <w:sz w:val="22"/>
          <w:szCs w:val="22"/>
        </w:rPr>
        <w:t>s</w:t>
      </w:r>
      <w:r w:rsidR="009062C9">
        <w:rPr>
          <w:rFonts w:ascii="Century Schoolbook" w:hAnsi="Century Schoolbook"/>
          <w:sz w:val="22"/>
          <w:szCs w:val="22"/>
        </w:rPr>
        <w:t xml:space="preserve"> in the type of news that fast- vs. slow-turnover analysts tend </w:t>
      </w:r>
      <w:r w:rsidR="000C01C7">
        <w:rPr>
          <w:rFonts w:ascii="Century Schoolbook" w:hAnsi="Century Schoolbook"/>
          <w:sz w:val="22"/>
          <w:szCs w:val="22"/>
        </w:rPr>
        <w:t xml:space="preserve">to follow. </w:t>
      </w:r>
      <w:r w:rsidR="00BF43EA">
        <w:rPr>
          <w:rFonts w:ascii="Century Schoolbook" w:hAnsi="Century Schoolbook"/>
          <w:sz w:val="22"/>
          <w:szCs w:val="22"/>
        </w:rPr>
        <w:t>We find that f</w:t>
      </w:r>
      <w:r w:rsidR="000C01C7">
        <w:rPr>
          <w:rFonts w:ascii="Century Schoolbook" w:hAnsi="Century Schoolbook"/>
          <w:sz w:val="22"/>
          <w:szCs w:val="22"/>
        </w:rPr>
        <w:t>ast-revising analysts</w:t>
      </w:r>
      <w:r w:rsidR="00BF43EA">
        <w:rPr>
          <w:rFonts w:ascii="Century Schoolbook" w:hAnsi="Century Schoolbook"/>
          <w:sz w:val="22"/>
          <w:szCs w:val="22"/>
        </w:rPr>
        <w:t xml:space="preserve"> </w:t>
      </w:r>
      <w:r w:rsidR="009762C4">
        <w:rPr>
          <w:rFonts w:ascii="Century Schoolbook" w:hAnsi="Century Schoolbook"/>
          <w:sz w:val="22"/>
          <w:szCs w:val="22"/>
        </w:rPr>
        <w:t xml:space="preserve">are likely </w:t>
      </w:r>
      <w:r w:rsidR="00433F5D">
        <w:rPr>
          <w:rFonts w:ascii="Century Schoolbook" w:hAnsi="Century Schoolbook"/>
          <w:sz w:val="22"/>
          <w:szCs w:val="22"/>
        </w:rPr>
        <w:t xml:space="preserve">to update </w:t>
      </w:r>
      <w:r w:rsidR="00BF43EA">
        <w:rPr>
          <w:rFonts w:ascii="Century Schoolbook" w:hAnsi="Century Schoolbook"/>
          <w:sz w:val="22"/>
          <w:szCs w:val="22"/>
        </w:rPr>
        <w:t>their recommendations following</w:t>
      </w:r>
      <w:r w:rsidR="000C36FA">
        <w:rPr>
          <w:rFonts w:ascii="Century Schoolbook" w:hAnsi="Century Schoolbook"/>
          <w:sz w:val="22"/>
          <w:szCs w:val="22"/>
        </w:rPr>
        <w:t xml:space="preserve"> </w:t>
      </w:r>
      <w:r w:rsidR="00A90451">
        <w:rPr>
          <w:rFonts w:ascii="Century Schoolbook" w:hAnsi="Century Schoolbook"/>
          <w:sz w:val="22"/>
          <w:szCs w:val="22"/>
        </w:rPr>
        <w:t>verifiable</w:t>
      </w:r>
      <w:r w:rsidR="00FC63C1">
        <w:rPr>
          <w:rFonts w:ascii="Century Schoolbook" w:hAnsi="Century Schoolbook"/>
          <w:sz w:val="22"/>
          <w:szCs w:val="22"/>
        </w:rPr>
        <w:t xml:space="preserve"> and less </w:t>
      </w:r>
      <w:r w:rsidR="00433F5D">
        <w:rPr>
          <w:rFonts w:ascii="Century Schoolbook" w:hAnsi="Century Schoolbook"/>
          <w:sz w:val="22"/>
          <w:szCs w:val="22"/>
        </w:rPr>
        <w:t xml:space="preserve">ambiguous </w:t>
      </w:r>
      <w:r w:rsidR="00A35FDE">
        <w:rPr>
          <w:rFonts w:ascii="Century Schoolbook" w:hAnsi="Century Schoolbook"/>
          <w:sz w:val="22"/>
          <w:szCs w:val="22"/>
        </w:rPr>
        <w:t xml:space="preserve">corporate </w:t>
      </w:r>
      <w:r w:rsidR="007E58A5">
        <w:rPr>
          <w:rFonts w:ascii="Century Schoolbook" w:hAnsi="Century Schoolbook"/>
          <w:sz w:val="22"/>
          <w:szCs w:val="22"/>
        </w:rPr>
        <w:t>disclosures</w:t>
      </w:r>
      <w:r w:rsidR="00433F5D">
        <w:rPr>
          <w:rFonts w:ascii="Century Schoolbook" w:hAnsi="Century Schoolbook"/>
          <w:sz w:val="22"/>
          <w:szCs w:val="22"/>
        </w:rPr>
        <w:t xml:space="preserve"> such as</w:t>
      </w:r>
      <w:r w:rsidR="00BF43EA">
        <w:rPr>
          <w:rFonts w:ascii="Century Schoolbook" w:hAnsi="Century Schoolbook"/>
          <w:sz w:val="22"/>
          <w:szCs w:val="22"/>
        </w:rPr>
        <w:t xml:space="preserve"> scheduled earning</w:t>
      </w:r>
      <w:r w:rsidR="00433F5D">
        <w:rPr>
          <w:rFonts w:ascii="Century Schoolbook" w:hAnsi="Century Schoolbook"/>
          <w:sz w:val="22"/>
          <w:szCs w:val="22"/>
        </w:rPr>
        <w:t>s announcement</w:t>
      </w:r>
      <w:r w:rsidR="005977A3">
        <w:rPr>
          <w:rFonts w:ascii="Century Schoolbook" w:hAnsi="Century Schoolbook"/>
          <w:sz w:val="22"/>
          <w:szCs w:val="22"/>
        </w:rPr>
        <w:t>s</w:t>
      </w:r>
      <w:r w:rsidR="00BF43EA">
        <w:rPr>
          <w:rFonts w:ascii="Century Schoolbook" w:hAnsi="Century Schoolbook"/>
          <w:sz w:val="22"/>
          <w:szCs w:val="22"/>
        </w:rPr>
        <w:t xml:space="preserve">, </w:t>
      </w:r>
      <w:r w:rsidR="00F70D12">
        <w:rPr>
          <w:rFonts w:ascii="Century Schoolbook" w:hAnsi="Century Schoolbook"/>
          <w:sz w:val="22"/>
          <w:szCs w:val="22"/>
        </w:rPr>
        <w:t>or</w:t>
      </w:r>
      <w:r w:rsidR="00BF43EA">
        <w:rPr>
          <w:rFonts w:ascii="Century Schoolbook" w:hAnsi="Century Schoolbook"/>
          <w:sz w:val="22"/>
          <w:szCs w:val="22"/>
        </w:rPr>
        <w:t xml:space="preserve"> security issu</w:t>
      </w:r>
      <w:r w:rsidR="00A35FDE">
        <w:rPr>
          <w:rFonts w:ascii="Century Schoolbook" w:hAnsi="Century Schoolbook"/>
          <w:sz w:val="22"/>
          <w:szCs w:val="22"/>
        </w:rPr>
        <w:t>ance</w:t>
      </w:r>
      <w:r w:rsidR="005977A3">
        <w:rPr>
          <w:rFonts w:ascii="Century Schoolbook" w:hAnsi="Century Schoolbook"/>
          <w:sz w:val="22"/>
          <w:szCs w:val="22"/>
        </w:rPr>
        <w:t>s</w:t>
      </w:r>
      <w:r w:rsidR="00A35FDE">
        <w:rPr>
          <w:rFonts w:ascii="Century Schoolbook" w:hAnsi="Century Schoolbook"/>
          <w:sz w:val="22"/>
          <w:szCs w:val="22"/>
        </w:rPr>
        <w:t xml:space="preserve"> (</w:t>
      </w:r>
      <w:r w:rsidR="008131FC">
        <w:rPr>
          <w:rFonts w:ascii="Century Schoolbook" w:hAnsi="Century Schoolbook"/>
          <w:sz w:val="22"/>
          <w:szCs w:val="22"/>
        </w:rPr>
        <w:t>e.g.</w:t>
      </w:r>
      <w:r w:rsidR="00F70D12">
        <w:rPr>
          <w:rFonts w:ascii="Century Schoolbook" w:hAnsi="Century Schoolbook"/>
          <w:sz w:val="22"/>
          <w:szCs w:val="22"/>
        </w:rPr>
        <w:t>, debt</w:t>
      </w:r>
      <w:r w:rsidR="00A35FDE">
        <w:rPr>
          <w:rFonts w:ascii="Century Schoolbook" w:hAnsi="Century Schoolbook"/>
          <w:sz w:val="22"/>
          <w:szCs w:val="22"/>
        </w:rPr>
        <w:t xml:space="preserve"> issuance</w:t>
      </w:r>
      <w:r w:rsidR="00CE2656">
        <w:rPr>
          <w:rFonts w:ascii="Century Schoolbook" w:hAnsi="Century Schoolbook"/>
          <w:sz w:val="22"/>
          <w:szCs w:val="22"/>
        </w:rPr>
        <w:t>).</w:t>
      </w:r>
      <w:r w:rsidR="00A90451">
        <w:rPr>
          <w:rFonts w:ascii="Century Schoolbook" w:hAnsi="Century Schoolbook"/>
          <w:sz w:val="22"/>
          <w:szCs w:val="22"/>
        </w:rPr>
        <w:t xml:space="preserve"> </w:t>
      </w:r>
      <w:r w:rsidR="007035A4">
        <w:rPr>
          <w:rFonts w:ascii="Century Schoolbook" w:hAnsi="Century Schoolbook"/>
          <w:sz w:val="22"/>
          <w:szCs w:val="22"/>
        </w:rPr>
        <w:t xml:space="preserve">On the other hand, </w:t>
      </w:r>
      <w:r w:rsidR="004A130F">
        <w:rPr>
          <w:rFonts w:ascii="Century Schoolbook" w:hAnsi="Century Schoolbook"/>
          <w:sz w:val="22"/>
          <w:szCs w:val="22"/>
        </w:rPr>
        <w:t xml:space="preserve">analysts who revise their recommendations more slowly tend to </w:t>
      </w:r>
      <w:r w:rsidR="00586CF6">
        <w:rPr>
          <w:rFonts w:ascii="Century Schoolbook" w:hAnsi="Century Schoolbook"/>
          <w:sz w:val="22"/>
          <w:szCs w:val="22"/>
        </w:rPr>
        <w:t xml:space="preserve">do so following corporate news </w:t>
      </w:r>
      <w:r w:rsidR="00EB63EB">
        <w:rPr>
          <w:rFonts w:ascii="Century Schoolbook" w:hAnsi="Century Schoolbook"/>
          <w:sz w:val="22"/>
          <w:szCs w:val="22"/>
        </w:rPr>
        <w:t>with</w:t>
      </w:r>
      <w:r w:rsidR="00586CF6">
        <w:rPr>
          <w:rFonts w:ascii="Century Schoolbook" w:hAnsi="Century Schoolbook"/>
          <w:sz w:val="22"/>
          <w:szCs w:val="22"/>
        </w:rPr>
        <w:t xml:space="preserve"> </w:t>
      </w:r>
      <w:r w:rsidR="005D3F4A">
        <w:rPr>
          <w:rFonts w:ascii="Century Schoolbook" w:hAnsi="Century Schoolbook"/>
          <w:sz w:val="22"/>
          <w:szCs w:val="22"/>
        </w:rPr>
        <w:t xml:space="preserve">potentially </w:t>
      </w:r>
      <w:r w:rsidR="00586CF6">
        <w:rPr>
          <w:rFonts w:ascii="Century Schoolbook" w:hAnsi="Century Schoolbook"/>
          <w:sz w:val="22"/>
          <w:szCs w:val="22"/>
        </w:rPr>
        <w:t xml:space="preserve">ambiguous </w:t>
      </w:r>
      <w:r w:rsidR="005977A3">
        <w:rPr>
          <w:rFonts w:ascii="Century Schoolbook" w:hAnsi="Century Schoolbook"/>
          <w:sz w:val="22"/>
          <w:szCs w:val="22"/>
        </w:rPr>
        <w:t>price</w:t>
      </w:r>
      <w:r w:rsidR="00586CF6">
        <w:rPr>
          <w:rFonts w:ascii="Century Schoolbook" w:hAnsi="Century Schoolbook"/>
          <w:sz w:val="22"/>
          <w:szCs w:val="22"/>
        </w:rPr>
        <w:t xml:space="preserve"> impact</w:t>
      </w:r>
      <w:r w:rsidR="00DB35B8">
        <w:rPr>
          <w:rFonts w:ascii="Century Schoolbook" w:hAnsi="Century Schoolbook"/>
          <w:sz w:val="22"/>
          <w:szCs w:val="22"/>
        </w:rPr>
        <w:t xml:space="preserve"> such as</w:t>
      </w:r>
      <w:r w:rsidR="00CE2656">
        <w:rPr>
          <w:rFonts w:ascii="Century Schoolbook" w:hAnsi="Century Schoolbook"/>
          <w:sz w:val="22"/>
          <w:szCs w:val="22"/>
        </w:rPr>
        <w:t xml:space="preserve"> </w:t>
      </w:r>
      <w:r w:rsidR="00EF7A50">
        <w:rPr>
          <w:rFonts w:ascii="Century Schoolbook" w:hAnsi="Century Schoolbook"/>
          <w:sz w:val="22"/>
          <w:szCs w:val="22"/>
        </w:rPr>
        <w:t xml:space="preserve">news about </w:t>
      </w:r>
      <w:r w:rsidR="00086C88">
        <w:rPr>
          <w:rFonts w:ascii="Century Schoolbook" w:hAnsi="Century Schoolbook"/>
          <w:sz w:val="22"/>
          <w:szCs w:val="22"/>
        </w:rPr>
        <w:t xml:space="preserve">the </w:t>
      </w:r>
      <w:r w:rsidR="00CE2656">
        <w:rPr>
          <w:rFonts w:ascii="Century Schoolbook" w:hAnsi="Century Schoolbook"/>
          <w:sz w:val="22"/>
          <w:szCs w:val="22"/>
        </w:rPr>
        <w:t>product market</w:t>
      </w:r>
      <w:r w:rsidR="00DB35B8">
        <w:rPr>
          <w:rFonts w:ascii="Century Schoolbook" w:hAnsi="Century Schoolbook"/>
          <w:sz w:val="22"/>
          <w:szCs w:val="22"/>
        </w:rPr>
        <w:t xml:space="preserve"> competition</w:t>
      </w:r>
      <w:r w:rsidR="00CE2656">
        <w:rPr>
          <w:rFonts w:ascii="Century Schoolbook" w:hAnsi="Century Schoolbook"/>
          <w:sz w:val="22"/>
          <w:szCs w:val="22"/>
        </w:rPr>
        <w:t>, operation strategy, management forecasts, and l</w:t>
      </w:r>
      <w:r w:rsidR="00E534A3">
        <w:rPr>
          <w:rFonts w:ascii="Century Schoolbook" w:hAnsi="Century Schoolbook"/>
          <w:sz w:val="22"/>
          <w:szCs w:val="22"/>
        </w:rPr>
        <w:t>egal issues. These news announcements are mostly unscheduled and tend to carry forward-looking information about the</w:t>
      </w:r>
      <w:r w:rsidR="00DB7CFD">
        <w:rPr>
          <w:rFonts w:ascii="Century Schoolbook" w:hAnsi="Century Schoolbook"/>
          <w:sz w:val="22"/>
          <w:szCs w:val="22"/>
        </w:rPr>
        <w:t xml:space="preserve">ir </w:t>
      </w:r>
      <w:r w:rsidR="008A2A02">
        <w:rPr>
          <w:rFonts w:ascii="Century Schoolbook" w:hAnsi="Century Schoolbook"/>
          <w:sz w:val="22"/>
          <w:szCs w:val="22"/>
        </w:rPr>
        <w:t>underlying</w:t>
      </w:r>
      <w:r w:rsidR="00DB7CFD">
        <w:rPr>
          <w:rFonts w:ascii="Century Schoolbook" w:hAnsi="Century Schoolbook"/>
          <w:sz w:val="22"/>
          <w:szCs w:val="22"/>
        </w:rPr>
        <w:t xml:space="preserve"> </w:t>
      </w:r>
      <w:r w:rsidR="00E534A3">
        <w:rPr>
          <w:rFonts w:ascii="Century Schoolbook" w:hAnsi="Century Schoolbook"/>
          <w:sz w:val="22"/>
          <w:szCs w:val="22"/>
        </w:rPr>
        <w:t xml:space="preserve">firm value, which we believe are </w:t>
      </w:r>
      <w:r w:rsidR="00C30EBA">
        <w:rPr>
          <w:rFonts w:ascii="Century Schoolbook" w:hAnsi="Century Schoolbook"/>
          <w:sz w:val="22"/>
          <w:szCs w:val="22"/>
        </w:rPr>
        <w:t xml:space="preserve">harder to </w:t>
      </w:r>
      <w:proofErr w:type="spellStart"/>
      <w:r w:rsidR="00C30EBA">
        <w:rPr>
          <w:rFonts w:ascii="Century Schoolbook" w:hAnsi="Century Schoolbook"/>
          <w:sz w:val="22"/>
          <w:szCs w:val="22"/>
        </w:rPr>
        <w:t>intepret</w:t>
      </w:r>
      <w:proofErr w:type="spellEnd"/>
      <w:r w:rsidR="00E534A3">
        <w:rPr>
          <w:rFonts w:ascii="Century Schoolbook" w:hAnsi="Century Schoolbook"/>
          <w:sz w:val="22"/>
          <w:szCs w:val="22"/>
        </w:rPr>
        <w:t xml:space="preserve"> by non-stock experts.</w:t>
      </w:r>
      <w:r w:rsidR="00C039FF">
        <w:rPr>
          <w:rFonts w:ascii="Century Schoolbook" w:hAnsi="Century Schoolbook"/>
          <w:sz w:val="22"/>
          <w:szCs w:val="22"/>
        </w:rPr>
        <w:t xml:space="preserve"> We</w:t>
      </w:r>
      <w:r w:rsidR="00777840">
        <w:rPr>
          <w:rFonts w:ascii="Century Schoolbook" w:hAnsi="Century Schoolbook"/>
          <w:sz w:val="22"/>
          <w:szCs w:val="22"/>
        </w:rPr>
        <w:t xml:space="preserve"> further </w:t>
      </w:r>
      <w:r w:rsidR="00C039FF">
        <w:rPr>
          <w:rFonts w:ascii="Century Schoolbook" w:hAnsi="Century Schoolbook"/>
          <w:sz w:val="22"/>
          <w:szCs w:val="22"/>
        </w:rPr>
        <w:t>corroborate this finding by m</w:t>
      </w:r>
      <w:r w:rsidR="000142D9">
        <w:rPr>
          <w:rFonts w:ascii="Century Schoolbook" w:hAnsi="Century Schoolbook"/>
          <w:sz w:val="22"/>
          <w:szCs w:val="22"/>
        </w:rPr>
        <w:t xml:space="preserve">anually </w:t>
      </w:r>
      <w:r w:rsidR="000142D9" w:rsidRPr="006433AD">
        <w:rPr>
          <w:rFonts w:ascii="Century Schoolbook" w:hAnsi="Century Schoolbook"/>
          <w:sz w:val="22"/>
          <w:szCs w:val="22"/>
        </w:rPr>
        <w:t>read</w:t>
      </w:r>
      <w:r w:rsidR="00C039FF">
        <w:rPr>
          <w:rFonts w:ascii="Century Schoolbook" w:hAnsi="Century Schoolbook"/>
          <w:sz w:val="22"/>
          <w:szCs w:val="22"/>
        </w:rPr>
        <w:t>ing</w:t>
      </w:r>
      <w:r w:rsidR="003175C4" w:rsidRPr="006433AD">
        <w:rPr>
          <w:rFonts w:ascii="Century Schoolbook" w:hAnsi="Century Schoolbook"/>
          <w:sz w:val="22"/>
          <w:szCs w:val="22"/>
        </w:rPr>
        <w:t xml:space="preserve"> </w:t>
      </w:r>
      <w:r w:rsidR="000142D9" w:rsidRPr="006433AD">
        <w:rPr>
          <w:rFonts w:ascii="Century Schoolbook" w:eastAsia="SimSun" w:hAnsi="Century Schoolbook" w:cs="Times New Roman"/>
          <w:sz w:val="22"/>
          <w:szCs w:val="22"/>
        </w:rPr>
        <w:t>2,052</w:t>
      </w:r>
      <w:r w:rsidR="000142D9">
        <w:rPr>
          <w:rFonts w:ascii="Century Schoolbook" w:hAnsi="Century Schoolbook"/>
          <w:sz w:val="22"/>
          <w:szCs w:val="22"/>
        </w:rPr>
        <w:t xml:space="preserve"> </w:t>
      </w:r>
      <w:r w:rsidR="000142D9">
        <w:rPr>
          <w:rFonts w:ascii="Century Schoolbook" w:hAnsi="Century Schoolbook"/>
          <w:sz w:val="22"/>
          <w:szCs w:val="22"/>
        </w:rPr>
        <w:lastRenderedPageBreak/>
        <w:t xml:space="preserve">recommendation reports </w:t>
      </w:r>
      <w:r w:rsidR="00C039FF">
        <w:rPr>
          <w:rFonts w:ascii="Century Schoolbook" w:hAnsi="Century Schoolbook"/>
          <w:sz w:val="22"/>
          <w:szCs w:val="22"/>
        </w:rPr>
        <w:t>downloaded</w:t>
      </w:r>
      <w:r w:rsidR="00BC76F2">
        <w:rPr>
          <w:rFonts w:ascii="Century Schoolbook" w:hAnsi="Century Schoolbook"/>
          <w:sz w:val="22"/>
          <w:szCs w:val="22"/>
        </w:rPr>
        <w:t xml:space="preserve"> </w:t>
      </w:r>
      <w:r w:rsidR="000142D9">
        <w:rPr>
          <w:rFonts w:ascii="Century Schoolbook" w:hAnsi="Century Schoolbook"/>
          <w:sz w:val="22"/>
          <w:szCs w:val="22"/>
        </w:rPr>
        <w:t>from Invest</w:t>
      </w:r>
      <w:r w:rsidR="00577427">
        <w:rPr>
          <w:rFonts w:ascii="Century Schoolbook" w:hAnsi="Century Schoolbook"/>
          <w:sz w:val="22"/>
          <w:szCs w:val="22"/>
        </w:rPr>
        <w:t>ext</w:t>
      </w:r>
      <w:r w:rsidR="003175C4">
        <w:rPr>
          <w:rFonts w:ascii="Century Schoolbook" w:hAnsi="Century Schoolbook"/>
          <w:sz w:val="22"/>
          <w:szCs w:val="22"/>
        </w:rPr>
        <w:t xml:space="preserve"> and </w:t>
      </w:r>
      <w:r w:rsidR="00577427">
        <w:rPr>
          <w:rFonts w:ascii="Century Schoolbook" w:hAnsi="Century Schoolbook"/>
          <w:sz w:val="22"/>
          <w:szCs w:val="22"/>
        </w:rPr>
        <w:t xml:space="preserve">reach a </w:t>
      </w:r>
      <w:r w:rsidR="003175C4">
        <w:rPr>
          <w:rFonts w:ascii="Century Schoolbook" w:hAnsi="Century Schoolbook"/>
          <w:sz w:val="22"/>
          <w:szCs w:val="22"/>
        </w:rPr>
        <w:t>similar</w:t>
      </w:r>
      <w:r w:rsidR="00BC76F2">
        <w:rPr>
          <w:rFonts w:ascii="Century Schoolbook" w:hAnsi="Century Schoolbook"/>
          <w:sz w:val="22"/>
          <w:szCs w:val="22"/>
        </w:rPr>
        <w:t xml:space="preserve"> </w:t>
      </w:r>
      <w:r w:rsidR="00720927">
        <w:rPr>
          <w:rFonts w:ascii="Century Schoolbook" w:hAnsi="Century Schoolbook"/>
          <w:sz w:val="22"/>
          <w:szCs w:val="22"/>
        </w:rPr>
        <w:t xml:space="preserve">conclusion. </w:t>
      </w:r>
    </w:p>
    <w:p w14:paraId="596FA749" w14:textId="5D985402" w:rsidR="007F1BAE" w:rsidRDefault="00086C88" w:rsidP="00A00DFF">
      <w:pPr>
        <w:pStyle w:val="Default"/>
        <w:spacing w:after="120" w:line="480" w:lineRule="auto"/>
        <w:ind w:firstLine="284"/>
        <w:jc w:val="both"/>
        <w:rPr>
          <w:rFonts w:ascii="Century Schoolbook" w:hAnsi="Century Schoolbook" w:cs="Times New Roman"/>
          <w:sz w:val="22"/>
          <w:szCs w:val="22"/>
          <w:lang w:val="en-CA"/>
        </w:rPr>
      </w:pPr>
      <w:r>
        <w:rPr>
          <w:rFonts w:ascii="Century Schoolbook" w:hAnsi="Century Schoolbook" w:cs="Times New Roman"/>
          <w:sz w:val="22"/>
          <w:szCs w:val="22"/>
        </w:rPr>
        <w:t>This paper</w:t>
      </w:r>
      <w:r w:rsidR="0095423F" w:rsidRPr="007953BB">
        <w:rPr>
          <w:rFonts w:ascii="Century Schoolbook" w:hAnsi="Century Schoolbook" w:cs="Times New Roman"/>
          <w:sz w:val="22"/>
          <w:szCs w:val="22"/>
        </w:rPr>
        <w:t xml:space="preserve"> </w:t>
      </w:r>
      <w:r w:rsidR="00E354EB" w:rsidRPr="003C3E50">
        <w:rPr>
          <w:rFonts w:ascii="Century Schoolbook" w:hAnsi="Century Schoolbook" w:cs="Times New Roman"/>
          <w:sz w:val="22"/>
          <w:szCs w:val="22"/>
        </w:rPr>
        <w:t>contribute</w:t>
      </w:r>
      <w:r w:rsidR="0095423F" w:rsidRPr="00400FF3">
        <w:rPr>
          <w:rFonts w:ascii="Century Schoolbook" w:hAnsi="Century Schoolbook" w:cs="Times New Roman"/>
          <w:sz w:val="22"/>
          <w:szCs w:val="22"/>
        </w:rPr>
        <w:t>s</w:t>
      </w:r>
      <w:r w:rsidR="00E354EB" w:rsidRPr="00F27F5B">
        <w:rPr>
          <w:rFonts w:ascii="Century Schoolbook" w:hAnsi="Century Schoolbook" w:cs="Times New Roman"/>
          <w:sz w:val="22"/>
          <w:szCs w:val="22"/>
        </w:rPr>
        <w:t xml:space="preserve"> to the sell</w:t>
      </w:r>
      <w:r w:rsidR="00827B73">
        <w:rPr>
          <w:rFonts w:ascii="Century Schoolbook" w:hAnsi="Century Schoolbook" w:cs="Times New Roman"/>
          <w:sz w:val="22"/>
          <w:szCs w:val="22"/>
        </w:rPr>
        <w:t>-</w:t>
      </w:r>
      <w:r w:rsidR="00E354EB" w:rsidRPr="00F27F5B">
        <w:rPr>
          <w:rFonts w:ascii="Century Schoolbook" w:hAnsi="Century Schoolbook" w:cs="Times New Roman"/>
          <w:sz w:val="22"/>
          <w:szCs w:val="22"/>
        </w:rPr>
        <w:t xml:space="preserve">side analyst literature by identifying </w:t>
      </w:r>
      <w:r w:rsidR="00885082" w:rsidRPr="00F27F5B">
        <w:rPr>
          <w:rFonts w:ascii="Century Schoolbook" w:hAnsi="Century Schoolbook" w:cs="Times New Roman"/>
          <w:sz w:val="22"/>
          <w:szCs w:val="22"/>
        </w:rPr>
        <w:t xml:space="preserve">the </w:t>
      </w:r>
      <w:r w:rsidR="00E354EB" w:rsidRPr="00F27F5B">
        <w:rPr>
          <w:rFonts w:ascii="Century Schoolbook" w:hAnsi="Century Schoolbook" w:cs="Times New Roman"/>
          <w:sz w:val="22"/>
          <w:szCs w:val="22"/>
        </w:rPr>
        <w:t>decision speed</w:t>
      </w:r>
      <w:r w:rsidR="00827B73">
        <w:rPr>
          <w:rFonts w:ascii="Century Schoolbook" w:hAnsi="Century Schoolbook" w:cs="Times New Roman"/>
          <w:sz w:val="22"/>
          <w:szCs w:val="22"/>
        </w:rPr>
        <w:t>-</w:t>
      </w:r>
      <w:r w:rsidR="00E354EB" w:rsidRPr="00F27F5B">
        <w:rPr>
          <w:rFonts w:ascii="Century Schoolbook" w:hAnsi="Century Schoolbook" w:cs="Times New Roman"/>
          <w:sz w:val="22"/>
          <w:szCs w:val="22"/>
        </w:rPr>
        <w:t xml:space="preserve">style of stock experts </w:t>
      </w:r>
      <w:r w:rsidR="00885082" w:rsidRPr="00F27F5B">
        <w:rPr>
          <w:rFonts w:ascii="Century Schoolbook" w:hAnsi="Century Schoolbook" w:cs="Times New Roman"/>
          <w:sz w:val="22"/>
          <w:szCs w:val="22"/>
        </w:rPr>
        <w:t xml:space="preserve">based on </w:t>
      </w:r>
      <w:r w:rsidR="00C039FF">
        <w:rPr>
          <w:rFonts w:ascii="Century Schoolbook" w:hAnsi="Century Schoolbook" w:cs="Times New Roman"/>
          <w:sz w:val="22"/>
          <w:szCs w:val="22"/>
        </w:rPr>
        <w:t xml:space="preserve">the </w:t>
      </w:r>
      <w:r w:rsidR="00885082" w:rsidRPr="00F27F5B">
        <w:rPr>
          <w:rFonts w:ascii="Century Schoolbook" w:hAnsi="Century Schoolbook" w:cs="Times New Roman"/>
          <w:sz w:val="22"/>
          <w:szCs w:val="22"/>
        </w:rPr>
        <w:t xml:space="preserve">recommendations </w:t>
      </w:r>
      <w:r w:rsidR="000E0FE6" w:rsidRPr="00F27F5B">
        <w:rPr>
          <w:rFonts w:ascii="Century Schoolbook" w:hAnsi="Century Schoolbook" w:cs="Times New Roman"/>
          <w:sz w:val="22"/>
          <w:szCs w:val="22"/>
        </w:rPr>
        <w:t>they change</w:t>
      </w:r>
      <w:r w:rsidR="00E354EB" w:rsidRPr="00F27F5B">
        <w:rPr>
          <w:rFonts w:ascii="Century Schoolbook" w:hAnsi="Century Schoolbook" w:cs="Times New Roman"/>
          <w:sz w:val="22"/>
          <w:szCs w:val="22"/>
        </w:rPr>
        <w:t xml:space="preserve">, and </w:t>
      </w:r>
      <w:r w:rsidR="000E0FE6" w:rsidRPr="00F27F5B">
        <w:rPr>
          <w:rFonts w:ascii="Century Schoolbook" w:hAnsi="Century Schoolbook" w:cs="Times New Roman"/>
          <w:sz w:val="22"/>
          <w:szCs w:val="22"/>
        </w:rPr>
        <w:t xml:space="preserve">by </w:t>
      </w:r>
      <w:r w:rsidR="00E354EB" w:rsidRPr="00F27F5B">
        <w:rPr>
          <w:rFonts w:ascii="Century Schoolbook" w:hAnsi="Century Schoolbook" w:cs="Times New Roman"/>
          <w:sz w:val="22"/>
          <w:szCs w:val="22"/>
        </w:rPr>
        <w:t>consider</w:t>
      </w:r>
      <w:r w:rsidR="000E0FE6" w:rsidRPr="00F27F5B">
        <w:rPr>
          <w:rFonts w:ascii="Century Schoolbook" w:hAnsi="Century Schoolbook" w:cs="Times New Roman"/>
          <w:sz w:val="22"/>
          <w:szCs w:val="22"/>
        </w:rPr>
        <w:t>ing</w:t>
      </w:r>
      <w:r w:rsidR="00E354EB" w:rsidRPr="00F27F5B">
        <w:rPr>
          <w:rFonts w:ascii="Century Schoolbook" w:hAnsi="Century Schoolbook" w:cs="Times New Roman"/>
          <w:sz w:val="22"/>
          <w:szCs w:val="22"/>
        </w:rPr>
        <w:t xml:space="preserve"> the </w:t>
      </w:r>
      <w:r w:rsidR="000E0FE6" w:rsidRPr="00F27F5B">
        <w:rPr>
          <w:rFonts w:ascii="Century Schoolbook" w:hAnsi="Century Schoolbook" w:cs="Times New Roman"/>
          <w:sz w:val="22"/>
          <w:szCs w:val="22"/>
        </w:rPr>
        <w:t xml:space="preserve">differing </w:t>
      </w:r>
      <w:r w:rsidR="00E354EB" w:rsidRPr="00F27F5B">
        <w:rPr>
          <w:rFonts w:ascii="Century Schoolbook" w:hAnsi="Century Schoolbook" w:cs="Times New Roman"/>
          <w:sz w:val="22"/>
          <w:szCs w:val="22"/>
        </w:rPr>
        <w:t>investment value implications</w:t>
      </w:r>
      <w:r w:rsidR="00885082" w:rsidRPr="00F27F5B">
        <w:rPr>
          <w:rFonts w:ascii="Century Schoolbook" w:hAnsi="Century Schoolbook" w:cs="Times New Roman"/>
          <w:sz w:val="22"/>
          <w:szCs w:val="22"/>
        </w:rPr>
        <w:t xml:space="preserve"> thereof</w:t>
      </w:r>
      <w:r w:rsidR="00731D9D">
        <w:rPr>
          <w:rFonts w:ascii="Century Schoolbook" w:hAnsi="Century Schoolbook" w:cs="Times New Roman"/>
          <w:sz w:val="22"/>
          <w:szCs w:val="22"/>
        </w:rPr>
        <w:t>.</w:t>
      </w:r>
      <w:r w:rsidR="00792162">
        <w:rPr>
          <w:rFonts w:ascii="Century Schoolbook" w:hAnsi="Century Schoolbook" w:cs="Times New Roman"/>
          <w:sz w:val="22"/>
          <w:szCs w:val="22"/>
        </w:rPr>
        <w:t xml:space="preserve"> </w:t>
      </w:r>
      <w:r w:rsidR="00A70714">
        <w:rPr>
          <w:rFonts w:ascii="Century Schoolbook" w:hAnsi="Century Schoolbook" w:cs="Times New Roman"/>
          <w:sz w:val="22"/>
          <w:szCs w:val="22"/>
        </w:rPr>
        <w:t>Our</w:t>
      </w:r>
      <w:r w:rsidR="00A70714" w:rsidRPr="00F27F5B">
        <w:rPr>
          <w:rFonts w:ascii="Century Schoolbook" w:hAnsi="Century Schoolbook" w:cs="Times New Roman"/>
          <w:sz w:val="22"/>
          <w:szCs w:val="22"/>
        </w:rPr>
        <w:t xml:space="preserve"> </w:t>
      </w:r>
      <w:r w:rsidR="00A70714">
        <w:rPr>
          <w:rFonts w:ascii="Century Schoolbook" w:hAnsi="Century Schoolbook" w:cs="Times New Roman"/>
          <w:sz w:val="22"/>
          <w:szCs w:val="22"/>
        </w:rPr>
        <w:t>work</w:t>
      </w:r>
      <w:r w:rsidR="00A70714" w:rsidRPr="00F27F5B">
        <w:rPr>
          <w:rFonts w:ascii="Century Schoolbook" w:hAnsi="Century Schoolbook" w:cs="Times New Roman"/>
          <w:sz w:val="22"/>
          <w:szCs w:val="22"/>
        </w:rPr>
        <w:t xml:space="preserve"> </w:t>
      </w:r>
      <w:r w:rsidR="00EC18A0">
        <w:rPr>
          <w:rFonts w:ascii="Century Schoolbook" w:hAnsi="Century Schoolbook" w:cs="Times New Roman"/>
          <w:sz w:val="22"/>
          <w:szCs w:val="22"/>
        </w:rPr>
        <w:t>relates</w:t>
      </w:r>
      <w:r w:rsidR="006E4FFA">
        <w:rPr>
          <w:rFonts w:ascii="Century Schoolbook" w:hAnsi="Century Schoolbook" w:cs="Times New Roman"/>
          <w:sz w:val="22"/>
          <w:szCs w:val="22"/>
        </w:rPr>
        <w:t xml:space="preserve"> to studies that estimate</w:t>
      </w:r>
      <w:r w:rsidR="00356C10">
        <w:rPr>
          <w:rFonts w:ascii="Century Schoolbook" w:hAnsi="Century Schoolbook" w:cs="Times New Roman"/>
          <w:sz w:val="22"/>
          <w:szCs w:val="22"/>
        </w:rPr>
        <w:t xml:space="preserve"> models </w:t>
      </w:r>
      <w:r w:rsidR="00C30EBA">
        <w:rPr>
          <w:rFonts w:ascii="Century Schoolbook" w:hAnsi="Century Schoolbook" w:cs="Times New Roman"/>
          <w:sz w:val="22"/>
          <w:szCs w:val="22"/>
        </w:rPr>
        <w:t>for</w:t>
      </w:r>
      <w:r w:rsidR="00EC18A0">
        <w:rPr>
          <w:rFonts w:ascii="Century Schoolbook" w:hAnsi="Century Schoolbook" w:cs="Times New Roman"/>
          <w:sz w:val="22"/>
          <w:szCs w:val="22"/>
        </w:rPr>
        <w:t xml:space="preserve"> how </w:t>
      </w:r>
      <w:r w:rsidR="00356C10">
        <w:rPr>
          <w:rFonts w:ascii="Century Schoolbook" w:hAnsi="Century Schoolbook" w:cs="Times New Roman"/>
          <w:sz w:val="22"/>
          <w:szCs w:val="22"/>
        </w:rPr>
        <w:t>analysts</w:t>
      </w:r>
      <w:r w:rsidR="00EC18A0">
        <w:rPr>
          <w:rFonts w:ascii="Century Schoolbook" w:hAnsi="Century Schoolbook" w:cs="Times New Roman"/>
          <w:sz w:val="22"/>
          <w:szCs w:val="22"/>
        </w:rPr>
        <w:t xml:space="preserve"> make</w:t>
      </w:r>
      <w:r w:rsidR="00356C10">
        <w:rPr>
          <w:rFonts w:ascii="Century Schoolbook" w:hAnsi="Century Schoolbook" w:cs="Times New Roman"/>
          <w:sz w:val="22"/>
          <w:szCs w:val="22"/>
        </w:rPr>
        <w:t xml:space="preserve"> recommendation changes. </w:t>
      </w:r>
      <w:r w:rsidR="0071796B">
        <w:rPr>
          <w:rFonts w:ascii="Century Schoolbook" w:hAnsi="Century Schoolbook" w:cs="Times New Roman"/>
          <w:sz w:val="22"/>
          <w:szCs w:val="22"/>
        </w:rPr>
        <w:t xml:space="preserve">For instance, </w:t>
      </w:r>
      <w:r w:rsidR="00356C10" w:rsidRPr="00356C10">
        <w:rPr>
          <w:rFonts w:ascii="Century Schoolbook" w:hAnsi="Century Schoolbook" w:cs="Times New Roman"/>
          <w:sz w:val="22"/>
          <w:szCs w:val="22"/>
          <w:lang w:val="en-CA"/>
        </w:rPr>
        <w:t xml:space="preserve">Conrad et al. (2006) </w:t>
      </w:r>
      <w:r w:rsidR="00356C10">
        <w:rPr>
          <w:rFonts w:ascii="Century Schoolbook" w:hAnsi="Century Schoolbook" w:cs="Times New Roman"/>
          <w:sz w:val="22"/>
          <w:szCs w:val="22"/>
          <w:lang w:val="en-CA"/>
        </w:rPr>
        <w:t xml:space="preserve">models how analysts </w:t>
      </w:r>
      <w:r w:rsidR="00EC18A0">
        <w:rPr>
          <w:rFonts w:ascii="Century Schoolbook" w:hAnsi="Century Schoolbook" w:cs="Times New Roman"/>
          <w:sz w:val="22"/>
          <w:szCs w:val="22"/>
          <w:lang w:val="en-CA"/>
        </w:rPr>
        <w:t xml:space="preserve">change </w:t>
      </w:r>
      <w:r w:rsidR="00356C10">
        <w:rPr>
          <w:rFonts w:ascii="Century Schoolbook" w:hAnsi="Century Schoolbook" w:cs="Times New Roman"/>
          <w:sz w:val="22"/>
          <w:szCs w:val="22"/>
          <w:lang w:val="en-CA"/>
        </w:rPr>
        <w:t>recommendation</w:t>
      </w:r>
      <w:r w:rsidR="00EC18A0">
        <w:rPr>
          <w:rFonts w:ascii="Century Schoolbook" w:hAnsi="Century Schoolbook" w:cs="Times New Roman"/>
          <w:sz w:val="22"/>
          <w:szCs w:val="22"/>
          <w:lang w:val="en-CA"/>
        </w:rPr>
        <w:t>s</w:t>
      </w:r>
      <w:r w:rsidR="00356C10">
        <w:rPr>
          <w:rFonts w:ascii="Century Schoolbook" w:hAnsi="Century Schoolbook" w:cs="Times New Roman"/>
          <w:sz w:val="22"/>
          <w:szCs w:val="22"/>
          <w:lang w:val="en-CA"/>
        </w:rPr>
        <w:t xml:space="preserve"> </w:t>
      </w:r>
      <w:r w:rsidR="00EC18A0">
        <w:rPr>
          <w:rFonts w:ascii="Century Schoolbook" w:hAnsi="Century Schoolbook" w:cs="Times New Roman"/>
          <w:sz w:val="22"/>
          <w:szCs w:val="22"/>
          <w:lang w:val="en-CA"/>
        </w:rPr>
        <w:t xml:space="preserve">after </w:t>
      </w:r>
      <w:r w:rsidR="00356C10">
        <w:rPr>
          <w:rFonts w:ascii="Century Schoolbook" w:hAnsi="Century Schoolbook" w:cs="Times New Roman"/>
          <w:sz w:val="22"/>
          <w:szCs w:val="22"/>
          <w:lang w:val="en-CA"/>
        </w:rPr>
        <w:t>large stock</w:t>
      </w:r>
      <w:r w:rsidR="00EC18A0">
        <w:rPr>
          <w:rFonts w:ascii="Century Schoolbook" w:hAnsi="Century Schoolbook" w:cs="Times New Roman"/>
          <w:sz w:val="22"/>
          <w:szCs w:val="22"/>
          <w:lang w:val="en-CA"/>
        </w:rPr>
        <w:t xml:space="preserve"> </w:t>
      </w:r>
      <w:r w:rsidR="00356C10">
        <w:rPr>
          <w:rFonts w:ascii="Century Schoolbook" w:hAnsi="Century Schoolbook" w:cs="Times New Roman"/>
          <w:sz w:val="22"/>
          <w:szCs w:val="22"/>
          <w:lang w:val="en-CA"/>
        </w:rPr>
        <w:t>movements</w:t>
      </w:r>
      <w:r w:rsidR="00EC18A0">
        <w:rPr>
          <w:rFonts w:ascii="Century Schoolbook" w:hAnsi="Century Schoolbook" w:cs="Times New Roman"/>
          <w:sz w:val="22"/>
          <w:szCs w:val="22"/>
          <w:lang w:val="en-CA"/>
        </w:rPr>
        <w:t xml:space="preserve"> and find </w:t>
      </w:r>
      <w:r w:rsidR="001E1C3F">
        <w:rPr>
          <w:rFonts w:ascii="Century Schoolbook" w:hAnsi="Century Schoolbook" w:cs="Times New Roman"/>
          <w:sz w:val="22"/>
          <w:szCs w:val="22"/>
          <w:lang w:val="en-CA"/>
        </w:rPr>
        <w:t xml:space="preserve">that they </w:t>
      </w:r>
      <w:r w:rsidR="00356C10">
        <w:rPr>
          <w:rFonts w:ascii="Century Schoolbook" w:hAnsi="Century Schoolbook" w:cs="Times New Roman"/>
          <w:sz w:val="22"/>
          <w:szCs w:val="22"/>
          <w:lang w:val="en-CA"/>
        </w:rPr>
        <w:t xml:space="preserve">are “sticky” in one direction, with analysts </w:t>
      </w:r>
      <w:r w:rsidR="00C039FF">
        <w:rPr>
          <w:rFonts w:ascii="Century Schoolbook" w:hAnsi="Century Schoolbook" w:cs="Times New Roman"/>
          <w:sz w:val="22"/>
          <w:szCs w:val="22"/>
          <w:lang w:val="en-CA"/>
        </w:rPr>
        <w:t xml:space="preserve">more </w:t>
      </w:r>
      <w:r w:rsidR="00356C10">
        <w:rPr>
          <w:rFonts w:ascii="Century Schoolbook" w:hAnsi="Century Schoolbook" w:cs="Times New Roman"/>
          <w:sz w:val="22"/>
          <w:szCs w:val="22"/>
          <w:lang w:val="en-CA"/>
        </w:rPr>
        <w:t xml:space="preserve">reluctant to downgrade. </w:t>
      </w:r>
    </w:p>
    <w:p w14:paraId="381C8275" w14:textId="7B88A6A9" w:rsidR="00DA5E93" w:rsidRPr="00915F71" w:rsidRDefault="008D4DFA" w:rsidP="00A00DFF">
      <w:pPr>
        <w:pStyle w:val="Default"/>
        <w:spacing w:after="120" w:line="480" w:lineRule="auto"/>
        <w:ind w:firstLine="284"/>
        <w:jc w:val="both"/>
        <w:rPr>
          <w:rFonts w:ascii="Century Schoolbook" w:hAnsi="Century Schoolbook" w:cs="Times New Roman"/>
          <w:sz w:val="22"/>
          <w:szCs w:val="22"/>
          <w:lang w:val="en-CA"/>
        </w:rPr>
      </w:pPr>
      <w:r>
        <w:rPr>
          <w:rFonts w:ascii="Century Schoolbook" w:hAnsi="Century Schoolbook" w:cs="Times New Roman"/>
          <w:sz w:val="22"/>
          <w:szCs w:val="22"/>
          <w:lang w:val="en-CA"/>
        </w:rPr>
        <w:t xml:space="preserve">A recent study by </w:t>
      </w:r>
      <w:r w:rsidR="009E0388">
        <w:rPr>
          <w:rFonts w:ascii="Century Schoolbook" w:hAnsi="Century Schoolbook" w:cs="Times New Roman"/>
          <w:sz w:val="22"/>
          <w:szCs w:val="22"/>
        </w:rPr>
        <w:t>Bernhard</w:t>
      </w:r>
      <w:r w:rsidR="00985D53">
        <w:rPr>
          <w:rFonts w:ascii="Century Schoolbook" w:hAnsi="Century Schoolbook" w:cs="Times New Roman"/>
          <w:sz w:val="22"/>
          <w:szCs w:val="22"/>
        </w:rPr>
        <w:t>t</w:t>
      </w:r>
      <w:r w:rsidR="009E0388">
        <w:rPr>
          <w:rFonts w:ascii="Century Schoolbook" w:hAnsi="Century Schoolbook" w:cs="Times New Roman"/>
          <w:sz w:val="22"/>
          <w:szCs w:val="22"/>
        </w:rPr>
        <w:t>, Wan and Xiao (2016</w:t>
      </w:r>
      <w:r w:rsidR="00525928">
        <w:rPr>
          <w:rFonts w:ascii="Century Schoolbook" w:hAnsi="Century Schoolbook" w:cs="Times New Roman"/>
          <w:sz w:val="22"/>
          <w:szCs w:val="22"/>
        </w:rPr>
        <w:t>)</w:t>
      </w:r>
      <w:r w:rsidR="009071E2">
        <w:rPr>
          <w:rFonts w:ascii="Century Schoolbook" w:hAnsi="Century Schoolbook" w:cs="Times New Roman"/>
          <w:sz w:val="22"/>
          <w:szCs w:val="22"/>
        </w:rPr>
        <w:t xml:space="preserve">, </w:t>
      </w:r>
      <w:r>
        <w:rPr>
          <w:rFonts w:ascii="Century Schoolbook" w:hAnsi="Century Schoolbook" w:cs="Times New Roman"/>
          <w:sz w:val="22"/>
          <w:szCs w:val="22"/>
        </w:rPr>
        <w:t>whi</w:t>
      </w:r>
      <w:r w:rsidR="00C039FF">
        <w:rPr>
          <w:rFonts w:ascii="Century Schoolbook" w:hAnsi="Century Schoolbook" w:cs="Times New Roman"/>
          <w:sz w:val="22"/>
          <w:szCs w:val="22"/>
        </w:rPr>
        <w:t xml:space="preserve">ch </w:t>
      </w:r>
      <w:r w:rsidR="00C30EBA">
        <w:rPr>
          <w:rFonts w:ascii="Century Schoolbook" w:hAnsi="Century Schoolbook" w:cs="Times New Roman"/>
          <w:sz w:val="22"/>
          <w:szCs w:val="22"/>
        </w:rPr>
        <w:t>estimates the model for</w:t>
      </w:r>
      <w:r w:rsidR="00C039FF">
        <w:rPr>
          <w:rFonts w:ascii="Century Schoolbook" w:hAnsi="Century Schoolbook" w:cs="Times New Roman"/>
          <w:sz w:val="22"/>
          <w:szCs w:val="22"/>
        </w:rPr>
        <w:t xml:space="preserve"> how a</w:t>
      </w:r>
      <w:r w:rsidR="007F1BAE">
        <w:rPr>
          <w:rFonts w:ascii="Century Schoolbook" w:hAnsi="Century Schoolbook" w:cs="Times New Roman"/>
          <w:sz w:val="22"/>
          <w:szCs w:val="22"/>
        </w:rPr>
        <w:t>n</w:t>
      </w:r>
      <w:r>
        <w:rPr>
          <w:rFonts w:ascii="Century Schoolbook" w:hAnsi="Century Schoolbook" w:cs="Times New Roman"/>
          <w:sz w:val="22"/>
          <w:szCs w:val="22"/>
        </w:rPr>
        <w:t xml:space="preserve"> analyst </w:t>
      </w:r>
      <w:r w:rsidR="00C039FF">
        <w:rPr>
          <w:rFonts w:ascii="Century Schoolbook" w:hAnsi="Century Schoolbook" w:cs="Times New Roman"/>
          <w:sz w:val="22"/>
          <w:szCs w:val="22"/>
        </w:rPr>
        <w:t>revises</w:t>
      </w:r>
      <w:r>
        <w:rPr>
          <w:rFonts w:ascii="Century Schoolbook" w:hAnsi="Century Schoolbook" w:cs="Times New Roman"/>
          <w:sz w:val="22"/>
          <w:szCs w:val="22"/>
        </w:rPr>
        <w:t xml:space="preserve"> </w:t>
      </w:r>
      <w:r w:rsidR="00C30EBA">
        <w:rPr>
          <w:rFonts w:ascii="Century Schoolbook" w:hAnsi="Century Schoolbook" w:cs="Times New Roman"/>
          <w:sz w:val="22"/>
          <w:szCs w:val="22"/>
        </w:rPr>
        <w:t>recommendations</w:t>
      </w:r>
      <w:r>
        <w:rPr>
          <w:rFonts w:ascii="Century Schoolbook" w:hAnsi="Century Schoolbook" w:cs="Times New Roman"/>
          <w:sz w:val="22"/>
          <w:szCs w:val="22"/>
        </w:rPr>
        <w:t xml:space="preserve"> </w:t>
      </w:r>
      <w:r w:rsidR="00915F71">
        <w:rPr>
          <w:rFonts w:ascii="Century Schoolbook" w:hAnsi="Century Schoolbook" w:cs="Times New Roman"/>
          <w:sz w:val="22"/>
          <w:szCs w:val="22"/>
        </w:rPr>
        <w:t xml:space="preserve">is perhaps the </w:t>
      </w:r>
      <w:r w:rsidR="009071E2">
        <w:rPr>
          <w:rFonts w:ascii="Century Schoolbook" w:hAnsi="Century Schoolbook" w:cs="Times New Roman"/>
          <w:sz w:val="22"/>
          <w:szCs w:val="22"/>
        </w:rPr>
        <w:t xml:space="preserve">closest </w:t>
      </w:r>
      <w:r w:rsidR="00915F71">
        <w:rPr>
          <w:rFonts w:ascii="Century Schoolbook" w:hAnsi="Century Schoolbook" w:cs="Times New Roman"/>
          <w:sz w:val="22"/>
          <w:szCs w:val="22"/>
        </w:rPr>
        <w:t>to ours</w:t>
      </w:r>
      <w:r w:rsidR="00525928">
        <w:rPr>
          <w:rFonts w:ascii="Century Schoolbook" w:hAnsi="Century Schoolbook" w:cs="Times New Roman"/>
          <w:sz w:val="22"/>
          <w:szCs w:val="22"/>
        </w:rPr>
        <w:t xml:space="preserve">. </w:t>
      </w:r>
      <w:r w:rsidR="00985D53">
        <w:rPr>
          <w:rFonts w:ascii="Century Schoolbook" w:hAnsi="Century Schoolbook" w:cs="Times New Roman"/>
          <w:sz w:val="22"/>
          <w:szCs w:val="22"/>
        </w:rPr>
        <w:t>The</w:t>
      </w:r>
      <w:r w:rsidR="003B0D0C">
        <w:rPr>
          <w:rFonts w:ascii="Century Schoolbook" w:hAnsi="Century Schoolbook" w:cs="Times New Roman"/>
          <w:sz w:val="22"/>
          <w:szCs w:val="22"/>
        </w:rPr>
        <w:t>ir</w:t>
      </w:r>
      <w:r w:rsidR="0081141A">
        <w:rPr>
          <w:rFonts w:ascii="Century Schoolbook" w:hAnsi="Century Schoolbook" w:cs="Times New Roman"/>
          <w:sz w:val="22"/>
          <w:szCs w:val="22"/>
        </w:rPr>
        <w:t xml:space="preserve"> </w:t>
      </w:r>
      <w:r w:rsidR="00356C10">
        <w:rPr>
          <w:rFonts w:ascii="Century Schoolbook" w:hAnsi="Century Schoolbook" w:cs="Times New Roman"/>
          <w:sz w:val="22"/>
          <w:szCs w:val="22"/>
        </w:rPr>
        <w:t xml:space="preserve">study </w:t>
      </w:r>
      <w:r w:rsidR="007F1BAE">
        <w:rPr>
          <w:rFonts w:ascii="Century Schoolbook" w:hAnsi="Century Schoolbook" w:cs="Times New Roman"/>
          <w:sz w:val="22"/>
          <w:szCs w:val="22"/>
        </w:rPr>
        <w:t>finds</w:t>
      </w:r>
      <w:r w:rsidR="00E71551">
        <w:rPr>
          <w:rFonts w:ascii="Century Schoolbook" w:hAnsi="Century Schoolbook" w:cs="Times New Roman"/>
          <w:sz w:val="22"/>
          <w:szCs w:val="22"/>
        </w:rPr>
        <w:t xml:space="preserve"> that </w:t>
      </w:r>
      <w:r w:rsidR="009E0388">
        <w:rPr>
          <w:rFonts w:ascii="Century Schoolbook" w:hAnsi="Century Schoolbook" w:cs="Times New Roman"/>
          <w:sz w:val="22"/>
          <w:szCs w:val="22"/>
        </w:rPr>
        <w:t xml:space="preserve">analysts </w:t>
      </w:r>
      <w:r w:rsidR="00B172D2">
        <w:rPr>
          <w:rFonts w:ascii="Century Schoolbook" w:hAnsi="Century Schoolbook" w:cs="Times New Roman"/>
          <w:sz w:val="22"/>
          <w:szCs w:val="22"/>
        </w:rPr>
        <w:t xml:space="preserve">strategically </w:t>
      </w:r>
      <w:r w:rsidR="001470C1">
        <w:rPr>
          <w:rFonts w:ascii="Century Schoolbook" w:hAnsi="Century Schoolbook" w:cs="Times New Roman"/>
          <w:sz w:val="22"/>
          <w:szCs w:val="22"/>
        </w:rPr>
        <w:t>introduce frictions when updating</w:t>
      </w:r>
      <w:r w:rsidR="00442268">
        <w:rPr>
          <w:rFonts w:ascii="Century Schoolbook" w:hAnsi="Century Schoolbook" w:cs="Times New Roman"/>
          <w:sz w:val="22"/>
          <w:szCs w:val="22"/>
        </w:rPr>
        <w:t xml:space="preserve"> </w:t>
      </w:r>
      <w:r w:rsidR="007D129B">
        <w:rPr>
          <w:rFonts w:ascii="Century Schoolbook" w:hAnsi="Century Schoolbook" w:cs="Times New Roman"/>
          <w:sz w:val="22"/>
          <w:szCs w:val="22"/>
        </w:rPr>
        <w:t xml:space="preserve">their </w:t>
      </w:r>
      <w:r w:rsidR="009E0388">
        <w:rPr>
          <w:rFonts w:ascii="Century Schoolbook" w:hAnsi="Century Schoolbook" w:cs="Times New Roman"/>
          <w:sz w:val="22"/>
          <w:szCs w:val="22"/>
        </w:rPr>
        <w:t xml:space="preserve">recommendations </w:t>
      </w:r>
      <w:r w:rsidR="001470C1">
        <w:rPr>
          <w:rFonts w:ascii="Century Schoolbook" w:hAnsi="Century Schoolbook" w:cs="Times New Roman"/>
          <w:sz w:val="22"/>
          <w:szCs w:val="22"/>
        </w:rPr>
        <w:t>t</w:t>
      </w:r>
      <w:r w:rsidR="009E0388">
        <w:rPr>
          <w:rFonts w:ascii="Century Schoolbook" w:hAnsi="Century Schoolbook" w:cs="Times New Roman"/>
          <w:sz w:val="22"/>
          <w:szCs w:val="22"/>
        </w:rPr>
        <w:t>o avoid fr</w:t>
      </w:r>
      <w:r w:rsidR="0081141A">
        <w:rPr>
          <w:rFonts w:ascii="Century Schoolbook" w:hAnsi="Century Schoolbook" w:cs="Times New Roman"/>
          <w:sz w:val="22"/>
          <w:szCs w:val="22"/>
        </w:rPr>
        <w:t>equent revisions</w:t>
      </w:r>
      <w:r w:rsidR="00B9199C">
        <w:rPr>
          <w:rFonts w:ascii="Century Schoolbook" w:hAnsi="Century Schoolbook" w:cs="Times New Roman"/>
          <w:sz w:val="22"/>
          <w:szCs w:val="22"/>
        </w:rPr>
        <w:t>, and</w:t>
      </w:r>
      <w:r w:rsidR="00C0487F">
        <w:rPr>
          <w:rFonts w:ascii="Century Schoolbook" w:hAnsi="Century Schoolbook" w:cs="Times New Roman"/>
          <w:sz w:val="22"/>
          <w:szCs w:val="22"/>
        </w:rPr>
        <w:t xml:space="preserve"> </w:t>
      </w:r>
      <w:r w:rsidR="00B9199C">
        <w:rPr>
          <w:rFonts w:ascii="Century Schoolbook" w:hAnsi="Century Schoolbook" w:cs="Times New Roman"/>
          <w:sz w:val="22"/>
          <w:szCs w:val="22"/>
        </w:rPr>
        <w:t>a</w:t>
      </w:r>
      <w:r w:rsidR="00C0487F">
        <w:rPr>
          <w:rFonts w:ascii="Century Schoolbook" w:hAnsi="Century Schoolbook" w:cs="Times New Roman"/>
          <w:sz w:val="22"/>
          <w:szCs w:val="22"/>
        </w:rPr>
        <w:t xml:space="preserve">s argued </w:t>
      </w:r>
      <w:r w:rsidR="008A5450">
        <w:rPr>
          <w:rFonts w:ascii="Century Schoolbook" w:hAnsi="Century Schoolbook" w:cs="Times New Roman"/>
          <w:sz w:val="22"/>
          <w:szCs w:val="22"/>
        </w:rPr>
        <w:t>by the authors</w:t>
      </w:r>
      <w:r w:rsidR="00B70FEF">
        <w:rPr>
          <w:rFonts w:ascii="Century Schoolbook" w:hAnsi="Century Schoolbook" w:cs="Times New Roman"/>
          <w:sz w:val="22"/>
          <w:szCs w:val="22"/>
        </w:rPr>
        <w:t>,</w:t>
      </w:r>
      <w:r w:rsidR="0081141A">
        <w:rPr>
          <w:rFonts w:ascii="Century Schoolbook" w:hAnsi="Century Schoolbook" w:cs="Times New Roman"/>
          <w:sz w:val="22"/>
          <w:szCs w:val="22"/>
        </w:rPr>
        <w:t xml:space="preserve"> </w:t>
      </w:r>
      <w:r w:rsidR="00B9199C">
        <w:rPr>
          <w:rFonts w:ascii="Century Schoolbook" w:hAnsi="Century Schoolbook" w:cs="Times New Roman"/>
          <w:sz w:val="22"/>
          <w:szCs w:val="22"/>
        </w:rPr>
        <w:t xml:space="preserve">this </w:t>
      </w:r>
      <w:r w:rsidR="0059421C">
        <w:rPr>
          <w:rFonts w:ascii="Century Schoolbook" w:hAnsi="Century Schoolbook" w:cs="Times New Roman"/>
          <w:sz w:val="22"/>
          <w:szCs w:val="22"/>
        </w:rPr>
        <w:t xml:space="preserve">is </w:t>
      </w:r>
      <w:r w:rsidR="0081141A">
        <w:rPr>
          <w:rFonts w:ascii="Century Schoolbook" w:hAnsi="Century Schoolbook" w:cs="Times New Roman"/>
          <w:sz w:val="22"/>
          <w:szCs w:val="22"/>
        </w:rPr>
        <w:t>because</w:t>
      </w:r>
      <w:r w:rsidR="00985D53">
        <w:rPr>
          <w:rFonts w:ascii="Century Schoolbook" w:hAnsi="Century Schoolbook" w:cs="Times New Roman"/>
          <w:sz w:val="22"/>
          <w:szCs w:val="22"/>
        </w:rPr>
        <w:t xml:space="preserve"> </w:t>
      </w:r>
      <w:r w:rsidR="00B9199C">
        <w:rPr>
          <w:rFonts w:ascii="Century Schoolbook" w:hAnsi="Century Schoolbook" w:cs="Times New Roman"/>
          <w:sz w:val="22"/>
          <w:szCs w:val="22"/>
        </w:rPr>
        <w:t xml:space="preserve">customers </w:t>
      </w:r>
      <w:r w:rsidR="003B0D0C">
        <w:rPr>
          <w:rFonts w:ascii="Century Schoolbook" w:hAnsi="Century Schoolbook" w:cs="Times New Roman"/>
          <w:sz w:val="22"/>
          <w:szCs w:val="22"/>
        </w:rPr>
        <w:t xml:space="preserve">would </w:t>
      </w:r>
      <w:r w:rsidR="00DA5E93">
        <w:rPr>
          <w:rFonts w:ascii="Century Schoolbook" w:hAnsi="Century Schoolbook" w:cs="Times New Roman"/>
          <w:sz w:val="22"/>
          <w:szCs w:val="22"/>
        </w:rPr>
        <w:t>question the</w:t>
      </w:r>
      <w:r w:rsidR="00EC6CA6">
        <w:rPr>
          <w:rFonts w:ascii="Century Schoolbook" w:hAnsi="Century Schoolbook" w:cs="Times New Roman"/>
          <w:sz w:val="22"/>
          <w:szCs w:val="22"/>
        </w:rPr>
        <w:t xml:space="preserve"> </w:t>
      </w:r>
      <w:r w:rsidR="00DA5E93">
        <w:rPr>
          <w:rFonts w:ascii="Century Schoolbook" w:hAnsi="Century Schoolbook" w:cs="Times New Roman"/>
          <w:sz w:val="22"/>
          <w:szCs w:val="22"/>
        </w:rPr>
        <w:t>ability of an analyst who repeatedly</w:t>
      </w:r>
      <w:r w:rsidR="0081141A">
        <w:rPr>
          <w:rFonts w:ascii="Century Schoolbook" w:hAnsi="Century Schoolbook" w:cs="Times New Roman"/>
          <w:sz w:val="22"/>
          <w:szCs w:val="22"/>
        </w:rPr>
        <w:t xml:space="preserve"> revise</w:t>
      </w:r>
      <w:r w:rsidR="002D3E0A">
        <w:rPr>
          <w:rFonts w:ascii="Century Schoolbook" w:hAnsi="Century Schoolbook" w:cs="Times New Roman"/>
          <w:sz w:val="22"/>
          <w:szCs w:val="22"/>
        </w:rPr>
        <w:t>s</w:t>
      </w:r>
      <w:r w:rsidR="00DA5E93">
        <w:rPr>
          <w:rFonts w:ascii="Century Schoolbook" w:hAnsi="Century Schoolbook" w:cs="Times New Roman"/>
          <w:sz w:val="22"/>
          <w:szCs w:val="22"/>
        </w:rPr>
        <w:t xml:space="preserve"> recommendations</w:t>
      </w:r>
      <w:r w:rsidR="00B9199C">
        <w:rPr>
          <w:rFonts w:ascii="Century Schoolbook" w:hAnsi="Century Schoolbook" w:cs="Times New Roman"/>
          <w:sz w:val="22"/>
          <w:szCs w:val="22"/>
        </w:rPr>
        <w:t>.</w:t>
      </w:r>
      <w:r w:rsidR="00A70714">
        <w:rPr>
          <w:rFonts w:ascii="Century Schoolbook" w:hAnsi="Century Schoolbook" w:cs="Times New Roman"/>
          <w:sz w:val="22"/>
          <w:szCs w:val="22"/>
        </w:rPr>
        <w:t xml:space="preserve"> </w:t>
      </w:r>
      <w:r w:rsidR="00F95500">
        <w:rPr>
          <w:rFonts w:ascii="Century Schoolbook" w:hAnsi="Century Schoolbook" w:cs="Times New Roman"/>
          <w:sz w:val="22"/>
          <w:szCs w:val="22"/>
        </w:rPr>
        <w:t>Our</w:t>
      </w:r>
      <w:r w:rsidR="00EF7A50">
        <w:rPr>
          <w:rFonts w:ascii="Century Schoolbook" w:hAnsi="Century Schoolbook" w:cs="Times New Roman"/>
          <w:sz w:val="22"/>
          <w:szCs w:val="22"/>
        </w:rPr>
        <w:t xml:space="preserve"> study differs from Bernhardt, Wan and Xiao (2016) on several aspects. Their study documents frictions in the recommendation decision of a </w:t>
      </w:r>
      <w:r w:rsidR="00EF7A50" w:rsidRPr="00BC3619">
        <w:rPr>
          <w:rFonts w:ascii="Century Schoolbook" w:hAnsi="Century Schoolbook" w:cs="Times New Roman"/>
          <w:i/>
          <w:sz w:val="22"/>
          <w:szCs w:val="22"/>
        </w:rPr>
        <w:t xml:space="preserve">representative </w:t>
      </w:r>
      <w:r w:rsidR="00EF7A50">
        <w:rPr>
          <w:rFonts w:ascii="Century Schoolbook" w:hAnsi="Century Schoolbook" w:cs="Times New Roman"/>
          <w:sz w:val="22"/>
          <w:szCs w:val="22"/>
        </w:rPr>
        <w:t xml:space="preserve">analyst in the sell-side industry. </w:t>
      </w:r>
      <w:r w:rsidR="00B67B10">
        <w:rPr>
          <w:rFonts w:ascii="Century Schoolbook" w:hAnsi="Century Schoolbook" w:cs="Times New Roman"/>
          <w:sz w:val="22"/>
          <w:szCs w:val="22"/>
        </w:rPr>
        <w:t>We</w:t>
      </w:r>
      <w:r w:rsidR="00EF7A50">
        <w:rPr>
          <w:rFonts w:ascii="Century Schoolbook" w:hAnsi="Century Schoolbook" w:cs="Times New Roman"/>
          <w:sz w:val="22"/>
          <w:szCs w:val="22"/>
        </w:rPr>
        <w:t xml:space="preserve"> show that there are significant differences among analysts in the degree of frictions they apply to their recommendation</w:t>
      </w:r>
      <w:r w:rsidR="00785ACA">
        <w:rPr>
          <w:rFonts w:ascii="Century Schoolbook" w:hAnsi="Century Schoolbook" w:cs="Times New Roman"/>
          <w:sz w:val="22"/>
          <w:szCs w:val="22"/>
        </w:rPr>
        <w:t>s</w:t>
      </w:r>
      <w:r w:rsidR="00EF7A50">
        <w:rPr>
          <w:rFonts w:ascii="Century Schoolbook" w:hAnsi="Century Schoolbook" w:cs="Times New Roman"/>
          <w:sz w:val="22"/>
          <w:szCs w:val="22"/>
        </w:rPr>
        <w:t xml:space="preserve"> and that this variation is an analyst characteristic. Importantly, our method is designed to identify analysts who are predictably quicker (or slower) to revise their recommendations in an out-of-sample fashion. This enables us to s</w:t>
      </w:r>
      <w:r w:rsidR="00B67B10">
        <w:rPr>
          <w:rFonts w:ascii="Century Schoolbook" w:hAnsi="Century Schoolbook" w:cs="Times New Roman"/>
          <w:sz w:val="22"/>
          <w:szCs w:val="22"/>
        </w:rPr>
        <w:t>tudy their differing investment-</w:t>
      </w:r>
      <w:r w:rsidR="00EF7A50">
        <w:rPr>
          <w:rFonts w:ascii="Century Schoolbook" w:hAnsi="Century Schoolbook" w:cs="Times New Roman"/>
          <w:sz w:val="22"/>
          <w:szCs w:val="22"/>
        </w:rPr>
        <w:t xml:space="preserve">value implications and implement them in practice. We also provide </w:t>
      </w:r>
      <w:r w:rsidR="00DC241D">
        <w:rPr>
          <w:rFonts w:ascii="Century Schoolbook" w:hAnsi="Century Schoolbook" w:cs="Times New Roman"/>
          <w:sz w:val="22"/>
          <w:szCs w:val="22"/>
        </w:rPr>
        <w:t>e</w:t>
      </w:r>
      <w:r w:rsidR="00EF7A50">
        <w:rPr>
          <w:rFonts w:ascii="Century Schoolbook" w:hAnsi="Century Schoolbook" w:cs="Times New Roman"/>
          <w:sz w:val="22"/>
          <w:szCs w:val="22"/>
        </w:rPr>
        <w:t>vidence that reputation concern influences</w:t>
      </w:r>
      <w:r w:rsidR="00792162">
        <w:rPr>
          <w:rFonts w:ascii="Century Schoolbook" w:hAnsi="Century Schoolbook" w:cs="Times New Roman"/>
          <w:sz w:val="22"/>
          <w:szCs w:val="22"/>
        </w:rPr>
        <w:t xml:space="preserve"> analysts to make less frequent</w:t>
      </w:r>
      <w:r w:rsidR="009F14EA">
        <w:rPr>
          <w:rFonts w:ascii="Century Schoolbook" w:hAnsi="Century Schoolbook" w:cs="Times New Roman"/>
          <w:sz w:val="22"/>
          <w:szCs w:val="22"/>
        </w:rPr>
        <w:t xml:space="preserve"> recommendation changes</w:t>
      </w:r>
      <w:r w:rsidR="00792162">
        <w:rPr>
          <w:rFonts w:ascii="Century Schoolbook" w:hAnsi="Century Schoolbook" w:cs="Times New Roman"/>
          <w:sz w:val="22"/>
          <w:szCs w:val="22"/>
        </w:rPr>
        <w:t xml:space="preserve">. </w:t>
      </w:r>
      <w:r w:rsidR="00EF7A50">
        <w:rPr>
          <w:rFonts w:ascii="Century Schoolbook" w:hAnsi="Century Schoolbook" w:cs="Times New Roman"/>
          <w:sz w:val="22"/>
          <w:szCs w:val="22"/>
        </w:rPr>
        <w:t>Specificall</w:t>
      </w:r>
      <w:r w:rsidR="00FC63C1">
        <w:rPr>
          <w:rFonts w:ascii="Century Schoolbook" w:hAnsi="Century Schoolbook" w:cs="Times New Roman"/>
          <w:sz w:val="22"/>
          <w:szCs w:val="22"/>
        </w:rPr>
        <w:t xml:space="preserve">y, we show characteristics that are </w:t>
      </w:r>
      <w:r w:rsidR="00EF7A50">
        <w:rPr>
          <w:rFonts w:ascii="Century Schoolbook" w:hAnsi="Century Schoolbook" w:cs="Times New Roman"/>
          <w:sz w:val="22"/>
          <w:szCs w:val="22"/>
        </w:rPr>
        <w:t>associate</w:t>
      </w:r>
      <w:r w:rsidR="00FC63C1">
        <w:rPr>
          <w:rFonts w:ascii="Century Schoolbook" w:hAnsi="Century Schoolbook" w:cs="Times New Roman"/>
          <w:sz w:val="22"/>
          <w:szCs w:val="22"/>
        </w:rPr>
        <w:t>d</w:t>
      </w:r>
      <w:r w:rsidR="00EF7A50">
        <w:rPr>
          <w:rFonts w:ascii="Century Schoolbook" w:hAnsi="Century Schoolbook" w:cs="Times New Roman"/>
          <w:sz w:val="22"/>
          <w:szCs w:val="22"/>
        </w:rPr>
        <w:t xml:space="preserve"> with </w:t>
      </w:r>
      <w:r w:rsidR="00FC63C1">
        <w:rPr>
          <w:rFonts w:ascii="Century Schoolbook" w:hAnsi="Century Schoolbook" w:cs="Times New Roman"/>
          <w:sz w:val="22"/>
          <w:szCs w:val="22"/>
        </w:rPr>
        <w:t xml:space="preserve">the </w:t>
      </w:r>
      <w:r w:rsidR="00EF7A50">
        <w:rPr>
          <w:rFonts w:ascii="Century Schoolbook" w:hAnsi="Century Schoolbook" w:cs="Times New Roman"/>
          <w:sz w:val="22"/>
          <w:szCs w:val="22"/>
        </w:rPr>
        <w:t>slower speed-style</w:t>
      </w:r>
      <w:r w:rsidR="00FC63C1">
        <w:rPr>
          <w:rFonts w:ascii="Century Schoolbook" w:hAnsi="Century Schoolbook" w:cs="Times New Roman"/>
          <w:sz w:val="22"/>
          <w:szCs w:val="22"/>
        </w:rPr>
        <w:t xml:space="preserve"> are</w:t>
      </w:r>
      <w:r w:rsidR="00EF7A50">
        <w:rPr>
          <w:rFonts w:ascii="Century Schoolbook" w:hAnsi="Century Schoolbook" w:cs="Times New Roman"/>
          <w:sz w:val="22"/>
          <w:szCs w:val="22"/>
        </w:rPr>
        <w:t xml:space="preserve"> those that reflect positively on analysts’ reputation such as All-star status, employment at a top brokerage (</w:t>
      </w:r>
      <w:r w:rsidR="00EF7A50" w:rsidRPr="00C667B7">
        <w:rPr>
          <w:rFonts w:ascii="Century Schoolbook" w:hAnsi="Century Schoolbook" w:cs="Arial"/>
          <w:color w:val="222222"/>
          <w:sz w:val="22"/>
          <w:szCs w:val="22"/>
        </w:rPr>
        <w:t xml:space="preserve">Hong and </w:t>
      </w:r>
      <w:proofErr w:type="spellStart"/>
      <w:r w:rsidR="00EF7A50" w:rsidRPr="00C667B7">
        <w:rPr>
          <w:rFonts w:ascii="Century Schoolbook" w:hAnsi="Century Schoolbook" w:cs="Arial"/>
          <w:color w:val="222222"/>
          <w:sz w:val="22"/>
          <w:szCs w:val="22"/>
        </w:rPr>
        <w:t>Kubik</w:t>
      </w:r>
      <w:proofErr w:type="spellEnd"/>
      <w:r w:rsidR="00EF7A50" w:rsidRPr="00C667B7">
        <w:rPr>
          <w:rFonts w:ascii="Century Schoolbook" w:hAnsi="Century Schoolbook" w:cs="Arial"/>
          <w:color w:val="222222"/>
          <w:sz w:val="22"/>
          <w:szCs w:val="22"/>
        </w:rPr>
        <w:t>, 2003</w:t>
      </w:r>
      <w:r w:rsidR="00EF7A50">
        <w:rPr>
          <w:rFonts w:ascii="Century Schoolbook" w:hAnsi="Century Schoolbook" w:cs="Arial"/>
          <w:color w:val="222222"/>
          <w:sz w:val="22"/>
          <w:szCs w:val="22"/>
        </w:rPr>
        <w:t>)</w:t>
      </w:r>
      <w:r w:rsidR="00EF7A50">
        <w:rPr>
          <w:rFonts w:ascii="Century Schoolbook" w:hAnsi="Century Schoolbook" w:cs="Times New Roman"/>
          <w:sz w:val="22"/>
          <w:szCs w:val="22"/>
        </w:rPr>
        <w:t>, and career longevity (Prendergast and Stole, 1996).</w:t>
      </w:r>
    </w:p>
    <w:p w14:paraId="304CE7A1" w14:textId="4C386F60" w:rsidR="002D5C2E" w:rsidRPr="00AB75FD" w:rsidRDefault="00EA2359" w:rsidP="00A00DFF">
      <w:pPr>
        <w:pStyle w:val="Default"/>
        <w:spacing w:after="120" w:line="480" w:lineRule="auto"/>
        <w:ind w:firstLine="284"/>
        <w:jc w:val="both"/>
        <w:rPr>
          <w:rFonts w:ascii="Century Schoolbook" w:hAnsi="Century Schoolbook" w:cs="Times New Roman"/>
          <w:b/>
          <w:sz w:val="18"/>
          <w:szCs w:val="18"/>
        </w:rPr>
      </w:pPr>
      <w:r>
        <w:rPr>
          <w:rFonts w:ascii="Century Schoolbook" w:hAnsi="Century Schoolbook" w:cs="Times New Roman"/>
          <w:sz w:val="22"/>
          <w:szCs w:val="22"/>
        </w:rPr>
        <w:t xml:space="preserve">Hobbs, </w:t>
      </w:r>
      <w:r w:rsidRPr="00CC3BA3">
        <w:rPr>
          <w:rFonts w:ascii="Century Schoolbook" w:hAnsi="Century Schoolbook" w:cs="Times New Roman"/>
          <w:sz w:val="22"/>
          <w:szCs w:val="22"/>
        </w:rPr>
        <w:t>Kovacs and Sharma (2012</w:t>
      </w:r>
      <w:r w:rsidR="0019244C">
        <w:rPr>
          <w:rFonts w:ascii="Century Schoolbook" w:hAnsi="Century Schoolbook" w:cs="Times New Roman"/>
          <w:sz w:val="22"/>
          <w:szCs w:val="22"/>
        </w:rPr>
        <w:t>)</w:t>
      </w:r>
      <w:r w:rsidR="00B611A3">
        <w:rPr>
          <w:rFonts w:ascii="Century Schoolbook" w:hAnsi="Century Schoolbook" w:cs="Times New Roman"/>
          <w:sz w:val="22"/>
          <w:szCs w:val="22"/>
        </w:rPr>
        <w:t xml:space="preserve"> </w:t>
      </w:r>
      <w:r>
        <w:rPr>
          <w:rFonts w:ascii="Century Schoolbook" w:hAnsi="Century Schoolbook" w:cs="Times New Roman"/>
          <w:sz w:val="22"/>
          <w:szCs w:val="22"/>
        </w:rPr>
        <w:t xml:space="preserve">find </w:t>
      </w:r>
      <w:r w:rsidR="00E354EB" w:rsidRPr="00CC3BA3">
        <w:rPr>
          <w:rFonts w:ascii="Century Schoolbook" w:hAnsi="Century Schoolbook" w:cs="Times New Roman"/>
          <w:sz w:val="22"/>
          <w:szCs w:val="22"/>
        </w:rPr>
        <w:t xml:space="preserve">superior portfolio performance formed following </w:t>
      </w:r>
      <w:r w:rsidR="008E65F2" w:rsidRPr="00CC3BA3">
        <w:rPr>
          <w:rFonts w:ascii="Century Schoolbook" w:hAnsi="Century Schoolbook" w:cs="Times New Roman"/>
          <w:sz w:val="22"/>
          <w:szCs w:val="22"/>
        </w:rPr>
        <w:t>recommendations of faster</w:t>
      </w:r>
      <w:r w:rsidR="00827B73" w:rsidRPr="00CC3BA3">
        <w:rPr>
          <w:rFonts w:ascii="Century Schoolbook" w:hAnsi="Century Schoolbook" w:cs="Times New Roman"/>
          <w:sz w:val="22"/>
          <w:szCs w:val="22"/>
        </w:rPr>
        <w:t>-</w:t>
      </w:r>
      <w:r w:rsidR="008E65F2" w:rsidRPr="00CC3BA3">
        <w:rPr>
          <w:rFonts w:ascii="Century Schoolbook" w:hAnsi="Century Schoolbook" w:cs="Times New Roman"/>
          <w:sz w:val="22"/>
          <w:szCs w:val="22"/>
        </w:rPr>
        <w:t xml:space="preserve">revising analysts, </w:t>
      </w:r>
      <w:r w:rsidR="00C3105E">
        <w:rPr>
          <w:rFonts w:ascii="Century Schoolbook" w:hAnsi="Century Schoolbook" w:cs="Times New Roman"/>
          <w:sz w:val="22"/>
          <w:szCs w:val="22"/>
        </w:rPr>
        <w:t>suggesting that</w:t>
      </w:r>
      <w:r w:rsidR="00E354EB" w:rsidRPr="00CC3BA3">
        <w:rPr>
          <w:rFonts w:ascii="Century Schoolbook" w:hAnsi="Century Schoolbook" w:cs="Times New Roman"/>
          <w:sz w:val="22"/>
          <w:szCs w:val="22"/>
        </w:rPr>
        <w:t xml:space="preserve"> </w:t>
      </w:r>
      <w:r w:rsidR="00C3105E">
        <w:rPr>
          <w:rFonts w:ascii="Century Schoolbook" w:hAnsi="Century Schoolbook" w:cs="Times New Roman"/>
          <w:sz w:val="22"/>
          <w:szCs w:val="22"/>
        </w:rPr>
        <w:t>quantity trumps</w:t>
      </w:r>
      <w:r w:rsidR="00E354EB" w:rsidRPr="00CC3BA3">
        <w:rPr>
          <w:rFonts w:ascii="Century Schoolbook" w:hAnsi="Century Schoolbook" w:cs="Times New Roman"/>
          <w:sz w:val="22"/>
          <w:szCs w:val="22"/>
        </w:rPr>
        <w:t xml:space="preserve"> quality</w:t>
      </w:r>
      <w:r w:rsidR="00526C83">
        <w:rPr>
          <w:rFonts w:ascii="Century Schoolbook" w:hAnsi="Century Schoolbook" w:cs="Times New Roman"/>
          <w:sz w:val="22"/>
          <w:szCs w:val="22"/>
        </w:rPr>
        <w:t>;</w:t>
      </w:r>
      <w:r w:rsidR="0019244C">
        <w:rPr>
          <w:rFonts w:ascii="Century Schoolbook" w:hAnsi="Century Schoolbook" w:cs="Times New Roman"/>
          <w:sz w:val="22"/>
          <w:szCs w:val="22"/>
        </w:rPr>
        <w:t xml:space="preserve"> </w:t>
      </w:r>
      <w:r w:rsidR="00526C83">
        <w:rPr>
          <w:rFonts w:ascii="Century Schoolbook" w:hAnsi="Century Schoolbook" w:cs="Times New Roman"/>
          <w:sz w:val="22"/>
          <w:szCs w:val="22"/>
        </w:rPr>
        <w:t>a</w:t>
      </w:r>
      <w:r w:rsidR="00C30EBA">
        <w:rPr>
          <w:rFonts w:ascii="Century Schoolbook" w:hAnsi="Century Schoolbook" w:cs="Times New Roman"/>
          <w:sz w:val="22"/>
          <w:szCs w:val="22"/>
        </w:rPr>
        <w:t xml:space="preserve"> </w:t>
      </w:r>
      <w:r w:rsidR="00C30EBA">
        <w:rPr>
          <w:rFonts w:ascii="Century Schoolbook" w:hAnsi="Century Schoolbook" w:cs="Times New Roman"/>
          <w:sz w:val="22"/>
          <w:szCs w:val="22"/>
        </w:rPr>
        <w:lastRenderedPageBreak/>
        <w:t xml:space="preserve">conclusion that </w:t>
      </w:r>
      <w:r w:rsidR="0019244C">
        <w:rPr>
          <w:rFonts w:ascii="Century Schoolbook" w:hAnsi="Century Schoolbook" w:cs="Times New Roman"/>
          <w:sz w:val="22"/>
          <w:szCs w:val="22"/>
        </w:rPr>
        <w:t>differs from ours.</w:t>
      </w:r>
      <w:r w:rsidR="00E354EB" w:rsidRPr="00CC3BA3">
        <w:rPr>
          <w:rFonts w:ascii="Century Schoolbook" w:hAnsi="Century Schoolbook" w:cs="Times New Roman"/>
          <w:sz w:val="22"/>
          <w:szCs w:val="22"/>
        </w:rPr>
        <w:t xml:space="preserve"> </w:t>
      </w:r>
      <w:r w:rsidR="00721C63">
        <w:rPr>
          <w:rFonts w:ascii="Century Schoolbook" w:hAnsi="Century Schoolbook" w:cs="Times New Roman"/>
          <w:sz w:val="22"/>
          <w:szCs w:val="22"/>
        </w:rPr>
        <w:t>However, t</w:t>
      </w:r>
      <w:r w:rsidR="00C3105E">
        <w:rPr>
          <w:rFonts w:ascii="Century Schoolbook" w:hAnsi="Century Schoolbook" w:cs="Times New Roman"/>
          <w:sz w:val="22"/>
          <w:szCs w:val="22"/>
        </w:rPr>
        <w:t>heir</w:t>
      </w:r>
      <w:r w:rsidR="00F94CB7">
        <w:rPr>
          <w:rFonts w:ascii="Century Schoolbook" w:hAnsi="Century Schoolbook" w:cs="Times New Roman"/>
          <w:sz w:val="22"/>
          <w:szCs w:val="22"/>
        </w:rPr>
        <w:t xml:space="preserve"> study </w:t>
      </w:r>
      <w:r w:rsidR="00C30EBA">
        <w:rPr>
          <w:rFonts w:ascii="Century Schoolbook" w:hAnsi="Century Schoolbook" w:cs="Times New Roman"/>
          <w:sz w:val="22"/>
          <w:szCs w:val="22"/>
        </w:rPr>
        <w:t xml:space="preserve">measures </w:t>
      </w:r>
      <w:r w:rsidR="00721C63">
        <w:rPr>
          <w:rFonts w:ascii="Century Schoolbook" w:hAnsi="Century Schoolbook" w:cs="Times New Roman"/>
          <w:sz w:val="22"/>
          <w:szCs w:val="22"/>
        </w:rPr>
        <w:t>analyst</w:t>
      </w:r>
      <w:r w:rsidR="00C30EBA">
        <w:rPr>
          <w:rFonts w:ascii="Century Schoolbook" w:hAnsi="Century Schoolbook" w:cs="Times New Roman"/>
          <w:sz w:val="22"/>
          <w:szCs w:val="22"/>
        </w:rPr>
        <w:t>s’</w:t>
      </w:r>
      <w:r w:rsidR="00721C63">
        <w:rPr>
          <w:rFonts w:ascii="Century Schoolbook" w:hAnsi="Century Schoolbook" w:cs="Times New Roman"/>
          <w:sz w:val="22"/>
          <w:szCs w:val="22"/>
        </w:rPr>
        <w:t xml:space="preserve"> recommendation frequency using</w:t>
      </w:r>
      <w:r w:rsidR="00F94CB7">
        <w:rPr>
          <w:rFonts w:ascii="Century Schoolbook" w:hAnsi="Century Schoolbook" w:cs="Times New Roman"/>
          <w:sz w:val="22"/>
          <w:szCs w:val="22"/>
        </w:rPr>
        <w:t xml:space="preserve"> </w:t>
      </w:r>
      <w:r w:rsidR="00A97D7E">
        <w:rPr>
          <w:rFonts w:ascii="Century Schoolbook" w:hAnsi="Century Schoolbook" w:cs="Times New Roman"/>
          <w:sz w:val="22"/>
          <w:szCs w:val="22"/>
        </w:rPr>
        <w:t xml:space="preserve">only </w:t>
      </w:r>
      <w:r w:rsidR="00487046" w:rsidRPr="00CC3BA3">
        <w:rPr>
          <w:rFonts w:ascii="Century Schoolbook" w:hAnsi="Century Schoolbook" w:cs="Times New Roman"/>
          <w:sz w:val="22"/>
          <w:szCs w:val="22"/>
        </w:rPr>
        <w:t>recommendations</w:t>
      </w:r>
      <w:r w:rsidR="00487046" w:rsidRPr="00F27F5B">
        <w:rPr>
          <w:rFonts w:ascii="Century Schoolbook" w:hAnsi="Century Schoolbook" w:cs="Times New Roman"/>
          <w:sz w:val="22"/>
          <w:szCs w:val="22"/>
        </w:rPr>
        <w:t xml:space="preserve"> </w:t>
      </w:r>
      <w:r w:rsidR="00721C63">
        <w:rPr>
          <w:rFonts w:ascii="Century Schoolbook" w:hAnsi="Century Schoolbook" w:cs="Times New Roman"/>
          <w:sz w:val="22"/>
          <w:szCs w:val="22"/>
        </w:rPr>
        <w:t xml:space="preserve">that </w:t>
      </w:r>
      <w:r>
        <w:rPr>
          <w:rFonts w:ascii="Century Schoolbook" w:hAnsi="Century Schoolbook" w:cs="Times New Roman"/>
          <w:sz w:val="22"/>
          <w:szCs w:val="22"/>
        </w:rPr>
        <w:t>are</w:t>
      </w:r>
      <w:r w:rsidR="002D5C2E" w:rsidRPr="00AB75FD">
        <w:rPr>
          <w:rFonts w:ascii="Century Schoolbook" w:hAnsi="Century Schoolbook" w:cs="Times New Roman"/>
          <w:sz w:val="22"/>
          <w:szCs w:val="22"/>
        </w:rPr>
        <w:t xml:space="preserve"> </w:t>
      </w:r>
      <w:r w:rsidR="007449EF" w:rsidRPr="00AB75FD">
        <w:rPr>
          <w:rFonts w:ascii="Century Schoolbook" w:hAnsi="Century Schoolbook" w:cs="Times New Roman"/>
          <w:sz w:val="22"/>
          <w:szCs w:val="22"/>
        </w:rPr>
        <w:t>revised within 12</w:t>
      </w:r>
      <w:r w:rsidR="00A97D7E">
        <w:rPr>
          <w:rFonts w:ascii="Century Schoolbook" w:hAnsi="Century Schoolbook" w:cs="Times New Roman"/>
          <w:sz w:val="22"/>
          <w:szCs w:val="22"/>
        </w:rPr>
        <w:t xml:space="preserve"> months</w:t>
      </w:r>
      <w:r w:rsidR="00C3105E">
        <w:rPr>
          <w:rFonts w:ascii="Century Schoolbook" w:hAnsi="Century Schoolbook" w:cs="Times New Roman"/>
          <w:sz w:val="22"/>
          <w:szCs w:val="22"/>
        </w:rPr>
        <w:t>.</w:t>
      </w:r>
      <w:r w:rsidR="00F94CB7">
        <w:rPr>
          <w:rFonts w:ascii="Century Schoolbook" w:hAnsi="Century Schoolbook" w:cs="Times New Roman"/>
          <w:sz w:val="22"/>
          <w:szCs w:val="22"/>
        </w:rPr>
        <w:t xml:space="preserve"> This </w:t>
      </w:r>
      <w:r w:rsidR="00C3105E">
        <w:rPr>
          <w:rFonts w:ascii="Century Schoolbook" w:hAnsi="Century Schoolbook" w:cs="Times New Roman"/>
          <w:sz w:val="22"/>
          <w:szCs w:val="22"/>
        </w:rPr>
        <w:t xml:space="preserve">approach would </w:t>
      </w:r>
      <w:r w:rsidR="007449EF" w:rsidRPr="00AB75FD">
        <w:rPr>
          <w:rFonts w:ascii="Century Schoolbook" w:hAnsi="Century Schoolbook" w:cs="Times New Roman"/>
          <w:sz w:val="22"/>
          <w:szCs w:val="22"/>
        </w:rPr>
        <w:t xml:space="preserve">eliminate </w:t>
      </w:r>
      <w:r w:rsidR="0019244C">
        <w:rPr>
          <w:rFonts w:ascii="Century Schoolbook" w:hAnsi="Century Schoolbook" w:cs="Times New Roman"/>
          <w:sz w:val="22"/>
          <w:szCs w:val="22"/>
        </w:rPr>
        <w:t xml:space="preserve">about </w:t>
      </w:r>
      <w:r w:rsidR="007449EF" w:rsidRPr="00AB75FD">
        <w:rPr>
          <w:rFonts w:ascii="Century Schoolbook" w:hAnsi="Century Schoolbook" w:cs="Times New Roman"/>
          <w:sz w:val="22"/>
          <w:szCs w:val="22"/>
        </w:rPr>
        <w:t>half of recommendation</w:t>
      </w:r>
      <w:r w:rsidR="00526C83">
        <w:rPr>
          <w:rFonts w:ascii="Times New Roman" w:hAnsi="Times New Roman" w:cs="Times New Roman"/>
          <w:sz w:val="22"/>
          <w:szCs w:val="22"/>
        </w:rPr>
        <w:t xml:space="preserve"> </w:t>
      </w:r>
      <w:r w:rsidR="007449EF" w:rsidRPr="00AB75FD">
        <w:rPr>
          <w:rFonts w:ascii="Century Schoolbook" w:hAnsi="Century Schoolbook" w:cs="Times New Roman"/>
          <w:sz w:val="22"/>
          <w:szCs w:val="22"/>
        </w:rPr>
        <w:t>change</w:t>
      </w:r>
      <w:r w:rsidR="00526C83">
        <w:rPr>
          <w:rFonts w:ascii="Century Schoolbook" w:hAnsi="Century Schoolbook" w:cs="Times New Roman"/>
          <w:sz w:val="22"/>
          <w:szCs w:val="22"/>
        </w:rPr>
        <w:t xml:space="preserve">s </w:t>
      </w:r>
      <w:r w:rsidR="007449EF" w:rsidRPr="00AB75FD">
        <w:rPr>
          <w:rFonts w:ascii="Century Schoolbook" w:hAnsi="Century Schoolbook" w:cs="Times New Roman"/>
          <w:sz w:val="22"/>
          <w:szCs w:val="22"/>
        </w:rPr>
        <w:t xml:space="preserve">from the sample because the median </w:t>
      </w:r>
      <w:r w:rsidR="00F94CB7">
        <w:rPr>
          <w:rFonts w:ascii="Century Schoolbook" w:hAnsi="Century Schoolbook" w:cs="Times New Roman"/>
          <w:sz w:val="22"/>
          <w:szCs w:val="22"/>
        </w:rPr>
        <w:t>time between revision</w:t>
      </w:r>
      <w:r w:rsidR="00C3105E">
        <w:rPr>
          <w:rFonts w:ascii="Century Schoolbook" w:hAnsi="Century Schoolbook" w:cs="Times New Roman"/>
          <w:sz w:val="22"/>
          <w:szCs w:val="22"/>
        </w:rPr>
        <w:t>s</w:t>
      </w:r>
      <w:r w:rsidR="00F94CB7">
        <w:rPr>
          <w:rFonts w:ascii="Century Schoolbook" w:hAnsi="Century Schoolbook" w:cs="Times New Roman"/>
          <w:sz w:val="22"/>
          <w:szCs w:val="22"/>
        </w:rPr>
        <w:t xml:space="preserve"> is</w:t>
      </w:r>
      <w:r w:rsidR="003C66EF" w:rsidRPr="00AB75FD">
        <w:rPr>
          <w:rFonts w:ascii="Century Schoolbook" w:hAnsi="Century Schoolbook" w:cs="Times New Roman"/>
          <w:sz w:val="22"/>
          <w:szCs w:val="22"/>
        </w:rPr>
        <w:t xml:space="preserve"> 11.2</w:t>
      </w:r>
      <w:r w:rsidR="007449EF" w:rsidRPr="00AB75FD">
        <w:rPr>
          <w:rFonts w:ascii="Century Schoolbook" w:hAnsi="Century Schoolbook" w:cs="Times New Roman"/>
          <w:sz w:val="22"/>
          <w:szCs w:val="22"/>
        </w:rPr>
        <w:t xml:space="preserve"> months</w:t>
      </w:r>
      <w:r w:rsidR="00C30EBA">
        <w:rPr>
          <w:rFonts w:ascii="Century Schoolbook" w:hAnsi="Century Schoolbook" w:cs="Times New Roman"/>
          <w:sz w:val="22"/>
          <w:szCs w:val="22"/>
        </w:rPr>
        <w:t>.</w:t>
      </w:r>
      <w:r w:rsidR="00C3105E">
        <w:rPr>
          <w:rFonts w:ascii="Century Schoolbook" w:hAnsi="Century Schoolbook" w:cs="Times New Roman"/>
          <w:sz w:val="22"/>
          <w:szCs w:val="22"/>
        </w:rPr>
        <w:t xml:space="preserve"> This implies that</w:t>
      </w:r>
      <w:r w:rsidR="002D5C2E" w:rsidRPr="009756FC">
        <w:rPr>
          <w:rFonts w:ascii="Century Schoolbook" w:hAnsi="Century Schoolbook" w:cs="Times New Roman"/>
          <w:sz w:val="22"/>
        </w:rPr>
        <w:t xml:space="preserve"> </w:t>
      </w:r>
      <w:r w:rsidR="002D5C2E" w:rsidRPr="009756FC">
        <w:rPr>
          <w:rFonts w:ascii="Century Schoolbook" w:hAnsi="Century Schoolbook" w:cs="AdvTT5235d5a9"/>
          <w:sz w:val="22"/>
        </w:rPr>
        <w:t xml:space="preserve">their study </w:t>
      </w:r>
      <w:r w:rsidR="005D089C" w:rsidRPr="009756FC">
        <w:rPr>
          <w:rFonts w:ascii="Century Schoolbook" w:hAnsi="Century Schoolbook" w:cs="AdvTT5235d5a9"/>
          <w:sz w:val="22"/>
        </w:rPr>
        <w:t>focuses on</w:t>
      </w:r>
      <w:r w:rsidR="002D5C2E" w:rsidRPr="009756FC">
        <w:rPr>
          <w:rFonts w:ascii="Century Schoolbook" w:hAnsi="Century Schoolbook" w:cs="AdvTT5235d5a9"/>
          <w:sz w:val="22"/>
        </w:rPr>
        <w:t xml:space="preserve"> analysts who are already in the faster</w:t>
      </w:r>
      <w:r w:rsidR="00827B73" w:rsidRPr="009756FC">
        <w:rPr>
          <w:rFonts w:ascii="Century Schoolbook" w:hAnsi="Century Schoolbook" w:cs="Times New Roman"/>
          <w:sz w:val="22"/>
        </w:rPr>
        <w:t>-</w:t>
      </w:r>
      <w:r w:rsidR="002D5C2E" w:rsidRPr="009756FC">
        <w:rPr>
          <w:rFonts w:ascii="Century Schoolbook" w:hAnsi="Century Schoolbook" w:cs="AdvTT5235d5a9"/>
          <w:sz w:val="22"/>
        </w:rPr>
        <w:t>extreme of recommendation speed-style</w:t>
      </w:r>
      <w:r w:rsidR="00FF6590" w:rsidRPr="009756FC">
        <w:rPr>
          <w:rFonts w:ascii="Century Schoolbook" w:hAnsi="Century Schoolbook" w:cs="AdvTT5235d5a9"/>
          <w:sz w:val="22"/>
        </w:rPr>
        <w:t xml:space="preserve">, or on </w:t>
      </w:r>
      <w:r w:rsidR="00721C63">
        <w:rPr>
          <w:rFonts w:ascii="Century Schoolbook" w:hAnsi="Century Schoolbook" w:cs="AdvTT5235d5a9"/>
          <w:sz w:val="22"/>
        </w:rPr>
        <w:t xml:space="preserve">a </w:t>
      </w:r>
      <w:r w:rsidR="00C3105E">
        <w:rPr>
          <w:rFonts w:ascii="Century Schoolbook" w:hAnsi="Century Schoolbook" w:cs="AdvTT5235d5a9"/>
          <w:sz w:val="22"/>
        </w:rPr>
        <w:t xml:space="preserve">subset of </w:t>
      </w:r>
      <w:r w:rsidR="00450AB8">
        <w:rPr>
          <w:rFonts w:ascii="Century Schoolbook" w:hAnsi="Century Schoolbook" w:cs="AdvTT5235d5a9"/>
          <w:sz w:val="22"/>
        </w:rPr>
        <w:t xml:space="preserve">stocks that </w:t>
      </w:r>
      <w:r w:rsidR="00FF6590" w:rsidRPr="009756FC">
        <w:rPr>
          <w:rFonts w:ascii="Century Schoolbook" w:hAnsi="Century Schoolbook" w:cs="AdvTT5235d5a9"/>
          <w:sz w:val="22"/>
        </w:rPr>
        <w:t>require frequent recommendation changes</w:t>
      </w:r>
      <w:r w:rsidR="00EF7C02" w:rsidRPr="009756FC">
        <w:rPr>
          <w:rFonts w:ascii="Century Schoolbook" w:hAnsi="Century Schoolbook" w:cs="AdvTT5235d5a9"/>
          <w:sz w:val="22"/>
        </w:rPr>
        <w:t>.</w:t>
      </w:r>
      <w:r w:rsidR="0019244C">
        <w:rPr>
          <w:rStyle w:val="FootnoteReference"/>
          <w:rFonts w:ascii="Century Schoolbook" w:hAnsi="Century Schoolbook" w:cs="AdvTT5235d5a9"/>
          <w:sz w:val="22"/>
        </w:rPr>
        <w:footnoteReference w:id="4"/>
      </w:r>
    </w:p>
    <w:p w14:paraId="758E421E" w14:textId="60E5BA91" w:rsidR="00E354EB" w:rsidRDefault="00E076F7" w:rsidP="00A00DFF">
      <w:pPr>
        <w:pStyle w:val="Default"/>
        <w:spacing w:after="120" w:line="480" w:lineRule="auto"/>
        <w:ind w:firstLine="284"/>
        <w:jc w:val="both"/>
        <w:rPr>
          <w:rFonts w:ascii="Century Schoolbook" w:hAnsi="Century Schoolbook" w:cs="Times New Roman"/>
          <w:sz w:val="22"/>
          <w:szCs w:val="22"/>
        </w:rPr>
      </w:pPr>
      <w:r>
        <w:rPr>
          <w:rFonts w:ascii="Century Schoolbook" w:hAnsi="Century Schoolbook" w:cs="Times New Roman"/>
          <w:sz w:val="22"/>
          <w:szCs w:val="22"/>
        </w:rPr>
        <w:t xml:space="preserve">This paper is organized as follows. </w:t>
      </w:r>
      <w:r w:rsidR="00E354EB" w:rsidRPr="00F27F5B">
        <w:rPr>
          <w:rFonts w:ascii="Century Schoolbook" w:hAnsi="Century Schoolbook" w:cs="Times New Roman"/>
          <w:sz w:val="22"/>
          <w:szCs w:val="22"/>
        </w:rPr>
        <w:t>Section 2 describe</w:t>
      </w:r>
      <w:r>
        <w:rPr>
          <w:rFonts w:ascii="Century Schoolbook" w:hAnsi="Century Schoolbook" w:cs="Times New Roman"/>
          <w:sz w:val="22"/>
          <w:szCs w:val="22"/>
        </w:rPr>
        <w:t>s the</w:t>
      </w:r>
      <w:r w:rsidR="00E354EB" w:rsidRPr="00F27F5B">
        <w:rPr>
          <w:rFonts w:ascii="Century Schoolbook" w:hAnsi="Century Schoolbook" w:cs="Times New Roman"/>
          <w:sz w:val="22"/>
          <w:szCs w:val="22"/>
        </w:rPr>
        <w:t xml:space="preserve"> data </w:t>
      </w:r>
      <w:r w:rsidR="00E354EB" w:rsidRPr="00096ABD">
        <w:rPr>
          <w:rFonts w:ascii="Century Schoolbook" w:hAnsi="Century Schoolbook" w:cs="Times New Roman"/>
          <w:sz w:val="22"/>
          <w:szCs w:val="22"/>
        </w:rPr>
        <w:t xml:space="preserve">and the methodology we use to </w:t>
      </w:r>
      <w:r w:rsidR="00146C49" w:rsidRPr="004A1944">
        <w:rPr>
          <w:rFonts w:ascii="Century Schoolbook" w:hAnsi="Century Schoolbook" w:cs="Times New Roman"/>
          <w:sz w:val="22"/>
          <w:szCs w:val="22"/>
        </w:rPr>
        <w:t xml:space="preserve">identify </w:t>
      </w:r>
      <w:r w:rsidR="00E354EB" w:rsidRPr="003C3E50">
        <w:rPr>
          <w:rFonts w:ascii="Century Schoolbook" w:hAnsi="Century Schoolbook" w:cs="Times New Roman"/>
          <w:sz w:val="22"/>
          <w:szCs w:val="22"/>
        </w:rPr>
        <w:t>analyst</w:t>
      </w:r>
      <w:r w:rsidR="00146C49" w:rsidRPr="00400FF3">
        <w:rPr>
          <w:rFonts w:ascii="Century Schoolbook" w:hAnsi="Century Schoolbook" w:cs="Times New Roman"/>
          <w:sz w:val="22"/>
          <w:szCs w:val="22"/>
        </w:rPr>
        <w:t>s’</w:t>
      </w:r>
      <w:r w:rsidR="00E354EB" w:rsidRPr="00F27F5B">
        <w:rPr>
          <w:rFonts w:ascii="Century Schoolbook" w:hAnsi="Century Schoolbook" w:cs="Times New Roman"/>
          <w:sz w:val="22"/>
          <w:szCs w:val="22"/>
        </w:rPr>
        <w:t xml:space="preserve"> </w:t>
      </w:r>
      <w:r w:rsidR="00146C49" w:rsidRPr="00F27F5B">
        <w:rPr>
          <w:rFonts w:ascii="Century Schoolbook" w:hAnsi="Century Schoolbook" w:cs="Times New Roman"/>
          <w:sz w:val="22"/>
          <w:szCs w:val="22"/>
        </w:rPr>
        <w:t>decision</w:t>
      </w:r>
      <w:r w:rsidR="00827B73">
        <w:rPr>
          <w:rFonts w:ascii="Century Schoolbook" w:hAnsi="Century Schoolbook" w:cs="Times New Roman"/>
          <w:i/>
          <w:sz w:val="22"/>
          <w:szCs w:val="22"/>
        </w:rPr>
        <w:t>-</w:t>
      </w:r>
      <w:r w:rsidR="00146C49" w:rsidRPr="00F27F5B">
        <w:rPr>
          <w:rFonts w:ascii="Century Schoolbook" w:hAnsi="Century Schoolbook" w:cs="Times New Roman"/>
          <w:sz w:val="22"/>
          <w:szCs w:val="22"/>
        </w:rPr>
        <w:t>speed style</w:t>
      </w:r>
      <w:r w:rsidR="00E354EB" w:rsidRPr="00F27F5B">
        <w:rPr>
          <w:rFonts w:ascii="Century Schoolbook" w:hAnsi="Century Schoolbook" w:cs="Times New Roman"/>
          <w:sz w:val="22"/>
          <w:szCs w:val="22"/>
        </w:rPr>
        <w:t xml:space="preserve">. Section 3 </w:t>
      </w:r>
      <w:r w:rsidR="00E828C3">
        <w:rPr>
          <w:rFonts w:ascii="Century Schoolbook" w:hAnsi="Century Schoolbook" w:cs="Times New Roman"/>
          <w:sz w:val="22"/>
          <w:szCs w:val="22"/>
        </w:rPr>
        <w:t xml:space="preserve">provides evidence that the decision-speed style is an analyst individual trait. Section 4 </w:t>
      </w:r>
      <w:r w:rsidR="00FD4C5B">
        <w:rPr>
          <w:rFonts w:ascii="Century Schoolbook" w:hAnsi="Century Schoolbook" w:cs="Times New Roman"/>
          <w:sz w:val="22"/>
          <w:szCs w:val="22"/>
        </w:rPr>
        <w:t>discusses the</w:t>
      </w:r>
      <w:r w:rsidR="002E1DB8">
        <w:rPr>
          <w:rFonts w:ascii="Century Schoolbook" w:hAnsi="Century Schoolbook" w:cs="Times New Roman"/>
          <w:sz w:val="22"/>
          <w:szCs w:val="22"/>
        </w:rPr>
        <w:t xml:space="preserve"> investment value </w:t>
      </w:r>
      <w:r w:rsidR="00B9001D">
        <w:rPr>
          <w:rFonts w:ascii="Century Schoolbook" w:hAnsi="Century Schoolbook" w:cs="Times New Roman"/>
          <w:sz w:val="22"/>
          <w:szCs w:val="22"/>
        </w:rPr>
        <w:t xml:space="preserve">of differing </w:t>
      </w:r>
      <w:r w:rsidR="00B9001D" w:rsidRPr="00F27F5B">
        <w:rPr>
          <w:rFonts w:ascii="Century Schoolbook" w:hAnsi="Century Schoolbook" w:cs="Times New Roman"/>
          <w:sz w:val="22"/>
          <w:szCs w:val="22"/>
        </w:rPr>
        <w:t>decision</w:t>
      </w:r>
      <w:r w:rsidR="00B9001D">
        <w:rPr>
          <w:rFonts w:ascii="Century Schoolbook" w:hAnsi="Century Schoolbook" w:cs="Times New Roman"/>
          <w:i/>
          <w:sz w:val="22"/>
          <w:szCs w:val="22"/>
        </w:rPr>
        <w:t>-</w:t>
      </w:r>
      <w:r w:rsidR="00B9001D" w:rsidRPr="00F27F5B">
        <w:rPr>
          <w:rFonts w:ascii="Century Schoolbook" w:hAnsi="Century Schoolbook" w:cs="Times New Roman"/>
          <w:sz w:val="22"/>
          <w:szCs w:val="22"/>
        </w:rPr>
        <w:t>speed style</w:t>
      </w:r>
      <w:r w:rsidR="00B9001D">
        <w:rPr>
          <w:rFonts w:ascii="Century Schoolbook" w:hAnsi="Century Schoolbook" w:cs="Times New Roman"/>
          <w:sz w:val="22"/>
          <w:szCs w:val="22"/>
        </w:rPr>
        <w:t xml:space="preserve">s. </w:t>
      </w:r>
      <w:r w:rsidR="002E1DB8">
        <w:rPr>
          <w:rFonts w:ascii="Century Schoolbook" w:hAnsi="Century Schoolbook" w:cs="Times New Roman"/>
          <w:sz w:val="22"/>
          <w:szCs w:val="22"/>
        </w:rPr>
        <w:t>Section 5</w:t>
      </w:r>
      <w:r w:rsidR="00FD4C5B">
        <w:rPr>
          <w:rFonts w:ascii="Century Schoolbook" w:hAnsi="Century Schoolbook" w:cs="Times New Roman"/>
          <w:sz w:val="22"/>
          <w:szCs w:val="22"/>
        </w:rPr>
        <w:t xml:space="preserve"> </w:t>
      </w:r>
      <w:r w:rsidR="002E1DB8">
        <w:rPr>
          <w:rFonts w:ascii="Century Schoolbook" w:hAnsi="Century Schoolbook" w:cs="Times New Roman"/>
          <w:sz w:val="22"/>
          <w:szCs w:val="22"/>
        </w:rPr>
        <w:t xml:space="preserve">examines the </w:t>
      </w:r>
      <w:r w:rsidR="00FD4C5B">
        <w:rPr>
          <w:rFonts w:ascii="Century Schoolbook" w:hAnsi="Century Schoolbook" w:cs="Times New Roman"/>
          <w:sz w:val="22"/>
          <w:szCs w:val="22"/>
        </w:rPr>
        <w:t xml:space="preserve">sources behind superior value of </w:t>
      </w:r>
      <w:r w:rsidR="00BD1E13">
        <w:rPr>
          <w:rFonts w:ascii="Century Schoolbook" w:hAnsi="Century Schoolbook" w:cs="Times New Roman"/>
          <w:sz w:val="22"/>
          <w:szCs w:val="22"/>
        </w:rPr>
        <w:t>slower recommendation-speed style</w:t>
      </w:r>
      <w:r w:rsidR="00FD4C5B">
        <w:rPr>
          <w:rFonts w:ascii="Century Schoolbook" w:hAnsi="Century Schoolbook" w:cs="Times New Roman"/>
          <w:sz w:val="22"/>
          <w:szCs w:val="22"/>
        </w:rPr>
        <w:t xml:space="preserve">. </w:t>
      </w:r>
      <w:r w:rsidR="00B9001D">
        <w:rPr>
          <w:rFonts w:ascii="Century Schoolbook" w:hAnsi="Century Schoolbook" w:cs="Times New Roman"/>
          <w:sz w:val="22"/>
          <w:szCs w:val="22"/>
        </w:rPr>
        <w:t xml:space="preserve">Finally, </w:t>
      </w:r>
      <w:r w:rsidR="002D5C2E" w:rsidRPr="00F27F5B">
        <w:rPr>
          <w:rFonts w:ascii="Century Schoolbook" w:hAnsi="Century Schoolbook" w:cs="Times New Roman"/>
          <w:sz w:val="22"/>
          <w:szCs w:val="22"/>
        </w:rPr>
        <w:t xml:space="preserve">Section </w:t>
      </w:r>
      <w:r w:rsidR="00BD1E13">
        <w:rPr>
          <w:rFonts w:ascii="Century Schoolbook" w:hAnsi="Century Schoolbook" w:cs="Times New Roman"/>
          <w:sz w:val="22"/>
          <w:szCs w:val="22"/>
        </w:rPr>
        <w:t>6</w:t>
      </w:r>
      <w:r w:rsidR="002D5C2E" w:rsidRPr="00F27F5B">
        <w:rPr>
          <w:rFonts w:ascii="Century Schoolbook" w:hAnsi="Century Schoolbook" w:cs="Times New Roman"/>
          <w:sz w:val="22"/>
          <w:szCs w:val="22"/>
        </w:rPr>
        <w:t xml:space="preserve"> concludes.</w:t>
      </w:r>
    </w:p>
    <w:p w14:paraId="4C114C9F" w14:textId="77777777" w:rsidR="00095C8A" w:rsidRDefault="00E354EB" w:rsidP="00A00DFF">
      <w:pPr>
        <w:pStyle w:val="ListParagraph"/>
        <w:numPr>
          <w:ilvl w:val="0"/>
          <w:numId w:val="3"/>
        </w:numPr>
        <w:spacing w:line="480" w:lineRule="auto"/>
        <w:rPr>
          <w:rFonts w:ascii="Century Schoolbook" w:hAnsi="Century Schoolbook" w:cs="Times New Roman"/>
          <w:b/>
        </w:rPr>
      </w:pPr>
      <w:r w:rsidRPr="00095C8A">
        <w:rPr>
          <w:rFonts w:ascii="Century Schoolbook" w:hAnsi="Century Schoolbook" w:cs="Times New Roman"/>
          <w:b/>
        </w:rPr>
        <w:t>Data and methodology</w:t>
      </w:r>
    </w:p>
    <w:p w14:paraId="52BFFEBB" w14:textId="1A8239E1" w:rsidR="00E354EB" w:rsidRPr="00095C8A" w:rsidRDefault="00E354EB" w:rsidP="00A00DFF">
      <w:pPr>
        <w:pStyle w:val="ListParagraph"/>
        <w:numPr>
          <w:ilvl w:val="1"/>
          <w:numId w:val="3"/>
        </w:numPr>
        <w:spacing w:line="480" w:lineRule="auto"/>
        <w:rPr>
          <w:rFonts w:ascii="Century Schoolbook" w:hAnsi="Century Schoolbook" w:cs="Times New Roman"/>
          <w:b/>
        </w:rPr>
      </w:pPr>
      <w:r w:rsidRPr="00095C8A">
        <w:rPr>
          <w:rFonts w:ascii="Century Schoolbook" w:hAnsi="Century Schoolbook" w:cs="Times New Roman"/>
          <w:b/>
          <w:i/>
        </w:rPr>
        <w:t xml:space="preserve">Data and </w:t>
      </w:r>
      <w:r w:rsidR="001E3A90" w:rsidRPr="00095C8A">
        <w:rPr>
          <w:rFonts w:ascii="Century Schoolbook" w:hAnsi="Century Schoolbook" w:cs="Times New Roman"/>
          <w:b/>
          <w:i/>
        </w:rPr>
        <w:t>filters</w:t>
      </w:r>
    </w:p>
    <w:p w14:paraId="2A9C1F68" w14:textId="6178C9F9" w:rsidR="00E354EB" w:rsidRPr="00F27F5B" w:rsidRDefault="00E354EB" w:rsidP="00A00DFF">
      <w:pPr>
        <w:autoSpaceDE w:val="0"/>
        <w:autoSpaceDN w:val="0"/>
        <w:adjustRightInd w:val="0"/>
        <w:spacing w:after="0" w:line="480" w:lineRule="auto"/>
        <w:jc w:val="both"/>
        <w:rPr>
          <w:rFonts w:ascii="Century Schoolbook" w:hAnsi="Century Schoolbook" w:cs="Times New Roman"/>
        </w:rPr>
      </w:pPr>
      <w:r w:rsidRPr="00AB75FD">
        <w:rPr>
          <w:rFonts w:ascii="Century Schoolbook" w:hAnsi="Century Schoolbook" w:cs="Times New Roman"/>
        </w:rPr>
        <w:t xml:space="preserve">We obtain analyst recommendations and earnings forecasts data from I/B/E/S. </w:t>
      </w:r>
      <w:r w:rsidRPr="00F27F5B">
        <w:rPr>
          <w:rFonts w:ascii="Century Schoolbook" w:hAnsi="Century Schoolbook" w:cs="Times New Roman"/>
        </w:rPr>
        <w:t xml:space="preserve">We restrict our attention to equity analysts that appear in both the detailed recommendation </w:t>
      </w:r>
      <w:r w:rsidRPr="00096ABD">
        <w:rPr>
          <w:rFonts w:ascii="Century Schoolbook" w:hAnsi="Century Schoolbook" w:cs="Times New Roman"/>
        </w:rPr>
        <w:t>and forecast</w:t>
      </w:r>
      <w:r w:rsidR="00641005">
        <w:rPr>
          <w:rFonts w:ascii="Century Schoolbook" w:hAnsi="Century Schoolbook" w:cs="Times New Roman"/>
        </w:rPr>
        <w:t xml:space="preserve"> I/B/E/S files from 1993 to 2013</w:t>
      </w:r>
      <w:r w:rsidRPr="00096ABD">
        <w:rPr>
          <w:rFonts w:ascii="Century Schoolbook" w:hAnsi="Century Schoolbook" w:cs="Times New Roman"/>
        </w:rPr>
        <w:t>.</w:t>
      </w:r>
      <w:r w:rsidRPr="00F27F5B">
        <w:rPr>
          <w:rStyle w:val="FootnoteReference"/>
          <w:rFonts w:ascii="Century Schoolbook" w:hAnsi="Century Schoolbook" w:cs="Times New Roman"/>
        </w:rPr>
        <w:footnoteReference w:id="5"/>
      </w:r>
      <w:r w:rsidR="006751CD">
        <w:rPr>
          <w:rFonts w:ascii="Century Schoolbook" w:hAnsi="Century Schoolbook" w:cs="Times New Roman"/>
        </w:rPr>
        <w:t xml:space="preserve"> </w:t>
      </w:r>
      <w:r w:rsidRPr="00F27F5B">
        <w:rPr>
          <w:rFonts w:ascii="Century Schoolbook" w:hAnsi="Century Schoolbook" w:cs="Times New Roman"/>
        </w:rPr>
        <w:t xml:space="preserve">This initial sample contains </w:t>
      </w:r>
      <w:r w:rsidR="00A42008">
        <w:rPr>
          <w:rFonts w:ascii="Century Schoolbook" w:hAnsi="Century Schoolbook" w:cs="Times New Roman"/>
        </w:rPr>
        <w:t>629,</w:t>
      </w:r>
      <w:r w:rsidR="00695B7C">
        <w:rPr>
          <w:rFonts w:ascii="Century Schoolbook" w:hAnsi="Century Schoolbook" w:cs="Times New Roman"/>
        </w:rPr>
        <w:t>4</w:t>
      </w:r>
      <w:r w:rsidR="00A42008">
        <w:rPr>
          <w:rFonts w:ascii="Century Schoolbook" w:hAnsi="Century Schoolbook" w:cs="Times New Roman"/>
        </w:rPr>
        <w:t>00</w:t>
      </w:r>
      <w:r w:rsidRPr="00F27F5B">
        <w:rPr>
          <w:rFonts w:ascii="Century Schoolbook" w:hAnsi="Century Schoolbook" w:cs="Times New Roman"/>
        </w:rPr>
        <w:t xml:space="preserve"> recommendations made by </w:t>
      </w:r>
      <w:r w:rsidR="00A42008">
        <w:rPr>
          <w:rFonts w:ascii="Century Schoolbook" w:hAnsi="Century Schoolbook" w:cs="Times New Roman"/>
        </w:rPr>
        <w:t>14,242</w:t>
      </w:r>
      <w:r w:rsidRPr="00F27F5B">
        <w:rPr>
          <w:rFonts w:ascii="Century Schoolbook" w:hAnsi="Century Schoolbook" w:cs="Times New Roman"/>
        </w:rPr>
        <w:t xml:space="preserve"> unique analysts. Security returns data and firm</w:t>
      </w:r>
      <w:r w:rsidR="00827B73">
        <w:rPr>
          <w:rFonts w:ascii="Century Schoolbook" w:hAnsi="Century Schoolbook" w:cs="Times New Roman"/>
        </w:rPr>
        <w:t>-</w:t>
      </w:r>
      <w:r w:rsidRPr="00F27F5B">
        <w:rPr>
          <w:rFonts w:ascii="Century Schoolbook" w:hAnsi="Century Schoolbook" w:cs="Times New Roman"/>
        </w:rPr>
        <w:t xml:space="preserve">level information are obtained from CRSP and COMPUSTAT, respectively. We identify </w:t>
      </w:r>
      <w:r w:rsidR="00C133D3" w:rsidRPr="00096ABD">
        <w:rPr>
          <w:rFonts w:ascii="Century Schoolbook" w:hAnsi="Century Schoolbook" w:cs="Times New Roman"/>
        </w:rPr>
        <w:t>“star</w:t>
      </w:r>
      <w:r w:rsidRPr="007953BB">
        <w:rPr>
          <w:rFonts w:ascii="Century Schoolbook" w:hAnsi="Century Schoolbook" w:cs="Times New Roman"/>
        </w:rPr>
        <w:t xml:space="preserve"> analysts</w:t>
      </w:r>
      <w:r w:rsidR="00C133D3" w:rsidRPr="003C3E50">
        <w:rPr>
          <w:rFonts w:ascii="Century Schoolbook" w:hAnsi="Century Schoolbook" w:cs="Times New Roman"/>
        </w:rPr>
        <w:t>”</w:t>
      </w:r>
      <w:r w:rsidRPr="00400FF3">
        <w:rPr>
          <w:rFonts w:ascii="Century Schoolbook" w:hAnsi="Century Schoolbook" w:cs="Times New Roman"/>
        </w:rPr>
        <w:t xml:space="preserve"> based on </w:t>
      </w:r>
      <w:r w:rsidRPr="00F27F5B">
        <w:rPr>
          <w:rFonts w:ascii="Century Schoolbook" w:hAnsi="Century Schoolbook" w:cs="Times New Roman"/>
          <w:i/>
        </w:rPr>
        <w:t>Institutional Investor</w:t>
      </w:r>
      <w:r w:rsidRPr="00F27F5B">
        <w:rPr>
          <w:rFonts w:ascii="Century Schoolbook" w:hAnsi="Century Schoolbook" w:cs="Times New Roman"/>
        </w:rPr>
        <w:t xml:space="preserve">’s annual ranking of </w:t>
      </w:r>
      <w:r w:rsidR="00E11298" w:rsidRPr="00F27F5B">
        <w:rPr>
          <w:rFonts w:ascii="Century Schoolbook" w:hAnsi="Century Schoolbook" w:cs="Times New Roman"/>
        </w:rPr>
        <w:t>All</w:t>
      </w:r>
      <w:r w:rsidR="00827B73">
        <w:rPr>
          <w:rFonts w:ascii="Century Schoolbook" w:hAnsi="Century Schoolbook" w:cs="Times New Roman"/>
        </w:rPr>
        <w:t>-</w:t>
      </w:r>
      <w:r w:rsidRPr="00F27F5B">
        <w:rPr>
          <w:rFonts w:ascii="Century Schoolbook" w:hAnsi="Century Schoolbook" w:cs="Times New Roman"/>
        </w:rPr>
        <w:t>American team (see Fang and Yasuda, 2009, 2013).</w:t>
      </w:r>
      <w:r w:rsidRPr="00F27F5B">
        <w:rPr>
          <w:rStyle w:val="FootnoteReference"/>
          <w:rFonts w:ascii="Century Schoolbook" w:hAnsi="Century Schoolbook" w:cs="Times New Roman"/>
        </w:rPr>
        <w:footnoteReference w:id="6"/>
      </w:r>
      <w:r w:rsidRPr="00F27F5B">
        <w:rPr>
          <w:rFonts w:ascii="Century Schoolbook" w:hAnsi="Century Schoolbook" w:cs="Times New Roman"/>
        </w:rPr>
        <w:t xml:space="preserve"> The </w:t>
      </w:r>
      <w:r w:rsidRPr="00F27F5B">
        <w:rPr>
          <w:rFonts w:ascii="Century Schoolbook" w:hAnsi="Century Schoolbook" w:cs="Times New Roman"/>
        </w:rPr>
        <w:lastRenderedPageBreak/>
        <w:t xml:space="preserve">gender of analysts is identified using their full names collected from the </w:t>
      </w:r>
      <w:r w:rsidRPr="00096ABD">
        <w:rPr>
          <w:rFonts w:ascii="Century Schoolbook" w:hAnsi="Century Schoolbook" w:cs="Times New Roman"/>
          <w:i/>
        </w:rPr>
        <w:t>Institutional Investor</w:t>
      </w:r>
      <w:r w:rsidRPr="00096ABD">
        <w:rPr>
          <w:rFonts w:ascii="Century Schoolbook" w:hAnsi="Century Schoolbook" w:cs="Times New Roman"/>
        </w:rPr>
        <w:t xml:space="preserve"> magazine and verified against multiple</w:t>
      </w:r>
      <w:r w:rsidRPr="007953BB">
        <w:rPr>
          <w:rFonts w:ascii="Century Schoolbook" w:hAnsi="Century Schoolbook" w:cs="Times New Roman"/>
        </w:rPr>
        <w:t xml:space="preserve"> sources (see Kumar, </w:t>
      </w:r>
      <w:r w:rsidR="007953BB">
        <w:rPr>
          <w:rFonts w:ascii="Century Schoolbook" w:hAnsi="Century Schoolbook" w:cs="Times New Roman"/>
        </w:rPr>
        <w:t>2010</w:t>
      </w:r>
      <w:r w:rsidRPr="004A1944">
        <w:rPr>
          <w:rFonts w:ascii="Century Schoolbook" w:hAnsi="Century Schoolbook" w:cs="Times New Roman"/>
        </w:rPr>
        <w:t>; and Law, 20</w:t>
      </w:r>
      <w:r w:rsidRPr="003C3E50">
        <w:rPr>
          <w:rFonts w:ascii="Century Schoolbook" w:hAnsi="Century Schoolbook" w:cs="Times New Roman"/>
        </w:rPr>
        <w:t>13).</w:t>
      </w:r>
      <w:r w:rsidRPr="00F27F5B">
        <w:rPr>
          <w:rStyle w:val="FootnoteReference"/>
          <w:rFonts w:ascii="Century Schoolbook" w:hAnsi="Century Schoolbook" w:cs="Times New Roman"/>
        </w:rPr>
        <w:footnoteReference w:id="7"/>
      </w:r>
      <w:r w:rsidRPr="00F27F5B">
        <w:rPr>
          <w:rFonts w:ascii="Century Schoolbook" w:hAnsi="Century Schoolbook" w:cs="Times New Roman"/>
        </w:rPr>
        <w:t xml:space="preserve"> </w:t>
      </w:r>
    </w:p>
    <w:p w14:paraId="355A4CFC" w14:textId="46C9B6B4" w:rsidR="00E354EB" w:rsidRPr="00AB75FD" w:rsidRDefault="00E354EB" w:rsidP="00A00DFF">
      <w:pPr>
        <w:autoSpaceDE w:val="0"/>
        <w:autoSpaceDN w:val="0"/>
        <w:adjustRightInd w:val="0"/>
        <w:spacing w:after="0" w:line="480" w:lineRule="auto"/>
        <w:ind w:firstLine="284"/>
        <w:jc w:val="both"/>
        <w:rPr>
          <w:rFonts w:ascii="Century Schoolbook" w:eastAsia="Times New Roman" w:hAnsi="Century Schoolbook" w:cs="Times New Roman"/>
          <w:lang w:eastAsia="fr-FR"/>
        </w:rPr>
      </w:pPr>
      <w:r w:rsidRPr="00AB75FD">
        <w:rPr>
          <w:rFonts w:ascii="Century Schoolbook" w:hAnsi="Century Schoolbook" w:cs="Times New Roman"/>
        </w:rPr>
        <w:t>We apply various filters to the I/B/E/S recommendation data file. We require that firms in our sample have records on the CRSP daily database</w:t>
      </w:r>
      <w:r w:rsidR="00BE5C2D" w:rsidRPr="00AB75FD">
        <w:rPr>
          <w:rFonts w:ascii="Century Schoolbook" w:hAnsi="Century Schoolbook" w:cs="Times New Roman"/>
        </w:rPr>
        <w:t xml:space="preserve"> and have </w:t>
      </w:r>
      <w:r w:rsidRPr="00AB75FD">
        <w:rPr>
          <w:rFonts w:ascii="Century Schoolbook" w:hAnsi="Century Schoolbook" w:cs="Times New Roman"/>
        </w:rPr>
        <w:t xml:space="preserve">CRSP share code of 10 or 11. We remove </w:t>
      </w:r>
      <w:r w:rsidR="00CB3C05">
        <w:rPr>
          <w:rFonts w:ascii="Century Schoolbook" w:hAnsi="Century Schoolbook" w:cs="Times New Roman"/>
        </w:rPr>
        <w:t xml:space="preserve">19,809 </w:t>
      </w:r>
      <w:r w:rsidR="00F31EF3">
        <w:rPr>
          <w:rFonts w:ascii="Century Schoolbook" w:hAnsi="Century Schoolbook" w:cs="Times New Roman"/>
        </w:rPr>
        <w:t xml:space="preserve">anonymous </w:t>
      </w:r>
      <w:r w:rsidR="00CB3C05">
        <w:rPr>
          <w:rFonts w:ascii="Century Schoolbook" w:hAnsi="Century Schoolbook" w:cs="Times New Roman"/>
        </w:rPr>
        <w:t xml:space="preserve">recommendations </w:t>
      </w:r>
      <w:r w:rsidR="00F31EF3">
        <w:rPr>
          <w:rFonts w:ascii="Century Schoolbook" w:hAnsi="Century Schoolbook" w:cs="Times New Roman"/>
        </w:rPr>
        <w:t>in</w:t>
      </w:r>
      <w:r w:rsidR="00CB3C05">
        <w:rPr>
          <w:rFonts w:ascii="Century Schoolbook" w:hAnsi="Century Schoolbook" w:cs="Times New Roman"/>
        </w:rPr>
        <w:t xml:space="preserve"> I/B/E/S</w:t>
      </w:r>
      <w:r w:rsidRPr="00AB75FD">
        <w:rPr>
          <w:rFonts w:ascii="Century Schoolbook" w:hAnsi="Century Schoolbook" w:cs="Times New Roman"/>
        </w:rPr>
        <w:t xml:space="preserve"> si</w:t>
      </w:r>
      <w:r w:rsidR="00CB3C05">
        <w:rPr>
          <w:rFonts w:ascii="Century Schoolbook" w:hAnsi="Century Schoolbook" w:cs="Times New Roman"/>
        </w:rPr>
        <w:t xml:space="preserve">nce it is not possible to track which analysts issue these recommendations. </w:t>
      </w:r>
      <w:r w:rsidRPr="00F27F5B">
        <w:rPr>
          <w:rFonts w:ascii="Century Schoolbook" w:hAnsi="Century Schoolbook" w:cs="Times New Roman"/>
        </w:rPr>
        <w:t>We require that an analyst issues at least one forecast and one recommendation</w:t>
      </w:r>
      <w:r w:rsidR="00BE5C2D" w:rsidRPr="00096ABD">
        <w:rPr>
          <w:rFonts w:ascii="Century Schoolbook" w:hAnsi="Century Schoolbook" w:cs="Times New Roman"/>
        </w:rPr>
        <w:t xml:space="preserve"> change</w:t>
      </w:r>
      <w:r w:rsidRPr="00096ABD">
        <w:rPr>
          <w:rFonts w:ascii="Century Schoolbook" w:hAnsi="Century Schoolbook" w:cs="Times New Roman"/>
        </w:rPr>
        <w:t xml:space="preserve"> on a given stock for the analyst</w:t>
      </w:r>
      <w:r w:rsidR="0084404B" w:rsidRPr="007953BB">
        <w:rPr>
          <w:rFonts w:ascii="Century Schoolbook" w:hAnsi="Century Schoolbook" w:cs="Times New Roman"/>
        </w:rPr>
        <w:t>-</w:t>
      </w:r>
      <w:r w:rsidRPr="007953BB">
        <w:rPr>
          <w:rFonts w:ascii="Century Schoolbook" w:hAnsi="Century Schoolbook" w:cs="Times New Roman"/>
        </w:rPr>
        <w:t>stock pair to be in our</w:t>
      </w:r>
      <w:r w:rsidRPr="004A1944">
        <w:rPr>
          <w:rFonts w:ascii="Century Schoolbook" w:hAnsi="Century Schoolbook" w:cs="Times New Roman"/>
        </w:rPr>
        <w:t xml:space="preserve"> sample. Each recommendation in the I/B/E/S database is coded with the rating scale between 1 and 5, ranging from “strong buy” to “strong sell”, respectively.</w:t>
      </w:r>
      <w:r w:rsidRPr="00F27F5B">
        <w:rPr>
          <w:rStyle w:val="FootnoteReference"/>
          <w:rFonts w:ascii="Century Schoolbook" w:hAnsi="Century Schoolbook" w:cs="Times New Roman"/>
        </w:rPr>
        <w:footnoteReference w:id="8"/>
      </w:r>
      <w:r w:rsidRPr="00F27F5B">
        <w:rPr>
          <w:rFonts w:ascii="Century Schoolbook" w:hAnsi="Century Schoolbook" w:cs="Times New Roman"/>
        </w:rPr>
        <w:t xml:space="preserve"> </w:t>
      </w:r>
      <w:r w:rsidRPr="00AB75FD">
        <w:rPr>
          <w:rFonts w:ascii="Century Schoolbook" w:eastAsia="Times New Roman" w:hAnsi="Century Schoolbook" w:cs="Times New Roman"/>
          <w:lang w:eastAsia="fr-FR"/>
        </w:rPr>
        <w:t xml:space="preserve">We characterize each revision as an upgrade or </w:t>
      </w:r>
      <w:r w:rsidR="0089734E">
        <w:rPr>
          <w:rFonts w:ascii="Century Schoolbook" w:eastAsia="Times New Roman" w:hAnsi="Century Schoolbook" w:cs="Times New Roman"/>
          <w:lang w:eastAsia="fr-FR"/>
        </w:rPr>
        <w:t>downgrade</w:t>
      </w:r>
      <w:r w:rsidRPr="00AB75FD">
        <w:rPr>
          <w:rFonts w:ascii="Century Schoolbook" w:eastAsia="Times New Roman" w:hAnsi="Century Schoolbook" w:cs="Times New Roman"/>
          <w:lang w:eastAsia="fr-FR"/>
        </w:rPr>
        <w:t>. We do not consider initiations and reiterations in our empirical analysis</w:t>
      </w:r>
      <w:r w:rsidR="00624087" w:rsidRPr="00AB75FD">
        <w:rPr>
          <w:rFonts w:ascii="Century Schoolbook" w:eastAsia="Times New Roman" w:hAnsi="Century Schoolbook" w:cs="Times New Roman"/>
          <w:lang w:eastAsia="fr-FR"/>
        </w:rPr>
        <w:t>.</w:t>
      </w:r>
      <w:r w:rsidRPr="00AB75FD">
        <w:rPr>
          <w:rFonts w:ascii="Century Schoolbook" w:eastAsia="Times New Roman" w:hAnsi="Century Schoolbook" w:cs="Times New Roman"/>
          <w:lang w:eastAsia="fr-FR"/>
        </w:rPr>
        <w:t xml:space="preserve"> </w:t>
      </w:r>
    </w:p>
    <w:p w14:paraId="644829CD" w14:textId="41EC1DB8" w:rsidR="00E354EB" w:rsidRPr="00AB75FD" w:rsidRDefault="00E354EB" w:rsidP="00A00DFF">
      <w:pPr>
        <w:autoSpaceDE w:val="0"/>
        <w:autoSpaceDN w:val="0"/>
        <w:adjustRightInd w:val="0"/>
        <w:spacing w:after="0" w:line="480" w:lineRule="auto"/>
        <w:ind w:firstLine="284"/>
        <w:jc w:val="both"/>
        <w:rPr>
          <w:rFonts w:ascii="Century Schoolbook" w:eastAsia="Times New Roman" w:hAnsi="Century Schoolbook" w:cs="Times New Roman"/>
          <w:lang w:eastAsia="fr-FR"/>
        </w:rPr>
      </w:pPr>
      <w:proofErr w:type="spellStart"/>
      <w:r w:rsidRPr="00AB75FD">
        <w:rPr>
          <w:rFonts w:ascii="Century Schoolbook" w:hAnsi="Century Schoolbook" w:cs="Times New Roman"/>
        </w:rPr>
        <w:t>Kadan</w:t>
      </w:r>
      <w:proofErr w:type="spellEnd"/>
      <w:r w:rsidRPr="00AB75FD">
        <w:rPr>
          <w:rFonts w:ascii="Century Schoolbook" w:hAnsi="Century Schoolbook" w:cs="Times New Roman"/>
        </w:rPr>
        <w:t xml:space="preserve"> et al. (2009) document a significant number of mechanical recommendation changes due to the migration of a five</w:t>
      </w:r>
      <w:r w:rsidR="00827B73">
        <w:rPr>
          <w:rFonts w:ascii="Century Schoolbook" w:hAnsi="Century Schoolbook" w:cs="Times New Roman"/>
        </w:rPr>
        <w:t>-</w:t>
      </w:r>
      <w:r w:rsidRPr="00AB75FD">
        <w:rPr>
          <w:rFonts w:ascii="Century Schoolbook" w:hAnsi="Century Schoolbook" w:cs="Times New Roman"/>
        </w:rPr>
        <w:t>tier rating system to a three</w:t>
      </w:r>
      <w:r w:rsidR="00827B73">
        <w:rPr>
          <w:rFonts w:ascii="Century Schoolbook" w:hAnsi="Century Schoolbook" w:cs="Times New Roman"/>
        </w:rPr>
        <w:t>-</w:t>
      </w:r>
      <w:r w:rsidR="008B791A">
        <w:rPr>
          <w:rFonts w:ascii="Century Schoolbook" w:hAnsi="Century Schoolbook" w:cs="Times New Roman"/>
        </w:rPr>
        <w:t>tier</w:t>
      </w:r>
      <w:r w:rsidRPr="00AB75FD">
        <w:rPr>
          <w:rFonts w:ascii="Century Schoolbook" w:hAnsi="Century Schoolbook" w:cs="Times New Roman"/>
        </w:rPr>
        <w:t xml:space="preserve"> rating system in 2002 following the National Association of Securities Dealers (NASD) Rule 2711. We follow the method described in </w:t>
      </w:r>
      <w:proofErr w:type="spellStart"/>
      <w:r w:rsidRPr="00AB75FD">
        <w:rPr>
          <w:rFonts w:ascii="Century Schoolbook" w:hAnsi="Century Schoolbook" w:cs="Times New Roman"/>
        </w:rPr>
        <w:t>Loh</w:t>
      </w:r>
      <w:proofErr w:type="spellEnd"/>
      <w:r w:rsidRPr="00AB75FD">
        <w:rPr>
          <w:rFonts w:ascii="Century Schoolbook" w:hAnsi="Century Schoolbook" w:cs="Times New Roman"/>
        </w:rPr>
        <w:t xml:space="preserve"> and </w:t>
      </w:r>
      <w:proofErr w:type="spellStart"/>
      <w:r w:rsidRPr="00AB75FD">
        <w:rPr>
          <w:rFonts w:ascii="Century Schoolbook" w:hAnsi="Century Schoolbook" w:cs="Times New Roman"/>
        </w:rPr>
        <w:t>Stulz</w:t>
      </w:r>
      <w:proofErr w:type="spellEnd"/>
      <w:r w:rsidRPr="00AB75FD">
        <w:rPr>
          <w:rFonts w:ascii="Century Schoolbook" w:hAnsi="Century Schoolbook" w:cs="Times New Roman"/>
        </w:rPr>
        <w:t xml:space="preserve"> (2011) for </w:t>
      </w:r>
      <w:r w:rsidRPr="00AB75FD">
        <w:rPr>
          <w:rFonts w:ascii="Century Schoolbook" w:eastAsia="Times New Roman" w:hAnsi="Century Schoolbook" w:cs="Times New Roman"/>
          <w:lang w:eastAsia="fr-FR"/>
        </w:rPr>
        <w:t xml:space="preserve">identifying these mechanical recommendation changes and remove them from the sample. Up to this point, our recommendation change sample contains </w:t>
      </w:r>
      <w:r w:rsidR="00695B7C">
        <w:rPr>
          <w:rFonts w:ascii="Century Schoolbook" w:hAnsi="Century Schoolbook" w:cs="Times New Roman"/>
        </w:rPr>
        <w:t>204,874</w:t>
      </w:r>
      <w:r w:rsidR="007443F1" w:rsidRPr="00AB75FD">
        <w:rPr>
          <w:rFonts w:ascii="Century Schoolbook" w:hAnsi="Century Schoolbook" w:cs="Times New Roman"/>
        </w:rPr>
        <w:t xml:space="preserve"> </w:t>
      </w:r>
      <w:r w:rsidRPr="00AB75FD">
        <w:rPr>
          <w:rFonts w:ascii="Century Schoolbook" w:hAnsi="Century Schoolbook" w:cs="Times New Roman"/>
        </w:rPr>
        <w:t>observations</w:t>
      </w:r>
      <w:r w:rsidR="00FA7266" w:rsidRPr="00AB75FD">
        <w:rPr>
          <w:rFonts w:ascii="Century Schoolbook" w:hAnsi="Century Schoolbook" w:cs="Times New Roman"/>
        </w:rPr>
        <w:t xml:space="preserve"> over </w:t>
      </w:r>
      <w:r w:rsidR="000009B3" w:rsidRPr="00AB75FD">
        <w:rPr>
          <w:rFonts w:ascii="Century Schoolbook" w:hAnsi="Century Schoolbook" w:cs="Times New Roman"/>
        </w:rPr>
        <w:t>20 years</w:t>
      </w:r>
      <w:r w:rsidRPr="00AB75FD">
        <w:rPr>
          <w:rFonts w:ascii="Century Schoolbook" w:eastAsia="Times New Roman" w:hAnsi="Century Schoolbook" w:cs="Times New Roman"/>
          <w:lang w:eastAsia="fr-FR"/>
        </w:rPr>
        <w:t xml:space="preserve">, where </w:t>
      </w:r>
      <w:r w:rsidR="00695B7C">
        <w:rPr>
          <w:rFonts w:ascii="Century Schoolbook" w:hAnsi="Century Schoolbook" w:cs="Times New Roman"/>
        </w:rPr>
        <w:t>92,341</w:t>
      </w:r>
      <w:r w:rsidR="00136088" w:rsidRPr="00AB75FD">
        <w:rPr>
          <w:rFonts w:ascii="Century Schoolbook" w:hAnsi="Century Schoolbook" w:cs="Times New Roman"/>
        </w:rPr>
        <w:t xml:space="preserve"> </w:t>
      </w:r>
      <w:r w:rsidRPr="00AB75FD">
        <w:rPr>
          <w:rFonts w:ascii="Century Schoolbook" w:eastAsia="Times New Roman" w:hAnsi="Century Schoolbook" w:cs="Times New Roman"/>
          <w:lang w:eastAsia="fr-FR"/>
        </w:rPr>
        <w:t>are upgrades.</w:t>
      </w:r>
      <w:r w:rsidR="00695B7C">
        <w:rPr>
          <w:rFonts w:ascii="Century Schoolbook" w:eastAsia="Times New Roman" w:hAnsi="Century Schoolbook" w:cs="Times New Roman"/>
          <w:lang w:eastAsia="fr-FR"/>
        </w:rPr>
        <w:t xml:space="preserve"> </w:t>
      </w:r>
    </w:p>
    <w:p w14:paraId="07F9774C" w14:textId="00ECC15D" w:rsidR="009A3285" w:rsidRPr="00AB75FD" w:rsidRDefault="00E354EB" w:rsidP="00A00DFF">
      <w:pPr>
        <w:autoSpaceDE w:val="0"/>
        <w:autoSpaceDN w:val="0"/>
        <w:adjustRightInd w:val="0"/>
        <w:spacing w:after="0" w:line="480" w:lineRule="auto"/>
        <w:ind w:firstLine="284"/>
        <w:jc w:val="both"/>
        <w:rPr>
          <w:rFonts w:ascii="Century Schoolbook" w:eastAsia="Times New Roman" w:hAnsi="Century Schoolbook" w:cs="Times New Roman"/>
          <w:lang w:eastAsia="fr-FR"/>
        </w:rPr>
      </w:pPr>
      <w:r w:rsidRPr="00AB75FD">
        <w:rPr>
          <w:rFonts w:ascii="Century Schoolbook" w:eastAsia="Times New Roman" w:hAnsi="Century Schoolbook" w:cs="Times New Roman"/>
          <w:lang w:eastAsia="fr-FR"/>
        </w:rPr>
        <w:t xml:space="preserve">We define a </w:t>
      </w:r>
      <w:r w:rsidRPr="00CC3BA3">
        <w:rPr>
          <w:rFonts w:ascii="Century Schoolbook" w:eastAsia="Times New Roman" w:hAnsi="Century Schoolbook" w:cs="Times New Roman"/>
          <w:lang w:eastAsia="fr-FR"/>
        </w:rPr>
        <w:t xml:space="preserve">recommendation as outstanding according to </w:t>
      </w:r>
      <w:r w:rsidRPr="00CC3BA3">
        <w:rPr>
          <w:rFonts w:ascii="Century Schoolbook" w:hAnsi="Century Schoolbook" w:cs="Times New Roman"/>
        </w:rPr>
        <w:t xml:space="preserve">Ljungqvist, Malloy, and Marston (2009). </w:t>
      </w:r>
      <w:r w:rsidRPr="00CC3BA3">
        <w:rPr>
          <w:rFonts w:ascii="Century Schoolbook" w:eastAsia="Times New Roman" w:hAnsi="Century Schoolbook" w:cs="Times New Roman"/>
          <w:lang w:eastAsia="fr-FR"/>
        </w:rPr>
        <w:t xml:space="preserve">We </w:t>
      </w:r>
      <w:r w:rsidR="00E403B1">
        <w:rPr>
          <w:rFonts w:ascii="Century Schoolbook" w:eastAsia="Times New Roman" w:hAnsi="Century Schoolbook" w:cs="Times New Roman"/>
          <w:lang w:eastAsia="fr-FR"/>
        </w:rPr>
        <w:t>remove</w:t>
      </w:r>
      <w:r w:rsidRPr="00CC3BA3">
        <w:rPr>
          <w:rFonts w:ascii="Century Schoolbook" w:eastAsia="Times New Roman" w:hAnsi="Century Schoolbook" w:cs="Times New Roman"/>
          <w:lang w:eastAsia="fr-FR"/>
        </w:rPr>
        <w:t xml:space="preserve"> recommendations that have been dropped</w:t>
      </w:r>
      <w:r w:rsidR="002641B8">
        <w:rPr>
          <w:rFonts w:ascii="Century Schoolbook" w:eastAsia="Times New Roman" w:hAnsi="Century Schoolbook" w:cs="Times New Roman"/>
          <w:lang w:eastAsia="fr-FR"/>
        </w:rPr>
        <w:t xml:space="preserve"> by each broker </w:t>
      </w:r>
      <w:r w:rsidRPr="00CC3BA3">
        <w:rPr>
          <w:rFonts w:ascii="Century Schoolbook" w:eastAsia="Times New Roman" w:hAnsi="Century Schoolbook" w:cs="Times New Roman"/>
          <w:lang w:eastAsia="fr-FR"/>
        </w:rPr>
        <w:t xml:space="preserve">using I/B/E/S Stopped File. </w:t>
      </w:r>
      <w:r w:rsidRPr="00163543">
        <w:rPr>
          <w:rFonts w:ascii="Century Schoolbook" w:eastAsia="Times New Roman" w:hAnsi="Century Schoolbook" w:cs="Times New Roman"/>
          <w:lang w:eastAsia="fr-FR"/>
        </w:rPr>
        <w:t xml:space="preserve">We further </w:t>
      </w:r>
      <w:r w:rsidR="00F31EF3">
        <w:rPr>
          <w:rFonts w:ascii="Century Schoolbook" w:eastAsia="Times New Roman" w:hAnsi="Century Schoolbook" w:cs="Times New Roman"/>
          <w:lang w:eastAsia="fr-FR"/>
        </w:rPr>
        <w:t>remove</w:t>
      </w:r>
      <w:r w:rsidRPr="00163543">
        <w:rPr>
          <w:rFonts w:ascii="Century Schoolbook" w:eastAsia="Times New Roman" w:hAnsi="Century Schoolbook" w:cs="Times New Roman"/>
          <w:lang w:eastAsia="fr-FR"/>
        </w:rPr>
        <w:t xml:space="preserve"> stale recommendations that have been neglected by analysts without being officially dropped by their broker. If an analyst’s recommendation has been outstanding for more than</w:t>
      </w:r>
      <w:r w:rsidR="00664A69">
        <w:rPr>
          <w:rFonts w:ascii="Century Schoolbook" w:eastAsia="Times New Roman" w:hAnsi="Century Schoolbook" w:cs="Times New Roman"/>
          <w:lang w:eastAsia="fr-FR"/>
        </w:rPr>
        <w:t xml:space="preserve"> one year without a reiteration</w:t>
      </w:r>
      <w:r w:rsidRPr="00163543">
        <w:rPr>
          <w:rFonts w:ascii="Century Schoolbook" w:eastAsia="Times New Roman" w:hAnsi="Century Schoolbook" w:cs="Times New Roman"/>
          <w:lang w:eastAsia="fr-FR"/>
        </w:rPr>
        <w:t xml:space="preserve"> </w:t>
      </w:r>
      <w:r w:rsidR="005A707F">
        <w:rPr>
          <w:rFonts w:ascii="Century Schoolbook" w:eastAsia="Times New Roman" w:hAnsi="Century Schoolbook" w:cs="Times New Roman"/>
          <w:lang w:eastAsia="fr-FR"/>
        </w:rPr>
        <w:t>and</w:t>
      </w:r>
      <w:r w:rsidRPr="00163543">
        <w:rPr>
          <w:rFonts w:ascii="Century Schoolbook" w:eastAsia="Times New Roman" w:hAnsi="Century Schoolbook" w:cs="Times New Roman"/>
          <w:lang w:eastAsia="fr-FR"/>
        </w:rPr>
        <w:t xml:space="preserve"> </w:t>
      </w:r>
      <w:r w:rsidR="00664A69">
        <w:rPr>
          <w:rFonts w:ascii="Century Schoolbook" w:eastAsia="Times New Roman" w:hAnsi="Century Schoolbook" w:cs="Times New Roman"/>
          <w:lang w:eastAsia="fr-FR"/>
        </w:rPr>
        <w:t xml:space="preserve">if this analyst also </w:t>
      </w:r>
      <w:r w:rsidRPr="00163543">
        <w:rPr>
          <w:rFonts w:ascii="Century Schoolbook" w:eastAsia="Times New Roman" w:hAnsi="Century Schoolbook" w:cs="Times New Roman"/>
          <w:lang w:eastAsia="fr-FR"/>
        </w:rPr>
        <w:t>makes less than one earnings forecast per year</w:t>
      </w:r>
      <w:r w:rsidR="00664A69">
        <w:rPr>
          <w:rFonts w:ascii="Century Schoolbook" w:eastAsia="Times New Roman" w:hAnsi="Century Schoolbook" w:cs="Times New Roman"/>
          <w:lang w:eastAsia="fr-FR"/>
        </w:rPr>
        <w:t xml:space="preserve"> on the stock</w:t>
      </w:r>
      <w:r w:rsidRPr="00163543">
        <w:rPr>
          <w:rFonts w:ascii="Century Schoolbook" w:eastAsia="Times New Roman" w:hAnsi="Century Schoolbook" w:cs="Times New Roman"/>
          <w:lang w:eastAsia="fr-FR"/>
        </w:rPr>
        <w:t xml:space="preserve">, </w:t>
      </w:r>
      <w:r w:rsidR="00F31EF3">
        <w:rPr>
          <w:rFonts w:ascii="Century Schoolbook" w:eastAsia="Times New Roman" w:hAnsi="Century Schoolbook" w:cs="Times New Roman"/>
          <w:lang w:eastAsia="fr-FR"/>
        </w:rPr>
        <w:t xml:space="preserve">we consider </w:t>
      </w:r>
      <w:r w:rsidRPr="00163543">
        <w:rPr>
          <w:rFonts w:ascii="Century Schoolbook" w:eastAsia="Times New Roman" w:hAnsi="Century Schoolbook" w:cs="Times New Roman"/>
          <w:lang w:eastAsia="fr-FR"/>
        </w:rPr>
        <w:t xml:space="preserve">his outstanding recommendation </w:t>
      </w:r>
      <w:r w:rsidR="00F31EF3">
        <w:rPr>
          <w:rFonts w:ascii="Century Schoolbook" w:eastAsia="Times New Roman" w:hAnsi="Century Schoolbook" w:cs="Times New Roman"/>
          <w:lang w:eastAsia="fr-FR"/>
        </w:rPr>
        <w:lastRenderedPageBreak/>
        <w:t xml:space="preserve">to be </w:t>
      </w:r>
      <w:r w:rsidR="00664A69">
        <w:rPr>
          <w:rFonts w:ascii="Century Schoolbook" w:eastAsia="Times New Roman" w:hAnsi="Century Schoolbook" w:cs="Times New Roman"/>
          <w:lang w:eastAsia="fr-FR"/>
        </w:rPr>
        <w:t>stale</w:t>
      </w:r>
      <w:r w:rsidRPr="00163543">
        <w:rPr>
          <w:rFonts w:ascii="Century Schoolbook" w:eastAsia="Times New Roman" w:hAnsi="Century Schoolbook" w:cs="Times New Roman"/>
          <w:lang w:eastAsia="fr-FR"/>
        </w:rPr>
        <w:t>. We find</w:t>
      </w:r>
      <w:r w:rsidRPr="00163543">
        <w:rPr>
          <w:rFonts w:ascii="Century Schoolbook" w:hAnsi="Century Schoolbook" w:cs="Times New Roman"/>
        </w:rPr>
        <w:t xml:space="preserve"> </w:t>
      </w:r>
      <w:r w:rsidR="00004B5C" w:rsidRPr="00163543">
        <w:rPr>
          <w:rFonts w:ascii="Century Schoolbook" w:hAnsi="Century Schoolbook" w:cs="Times New Roman"/>
        </w:rPr>
        <w:t>54,226</w:t>
      </w:r>
      <w:r w:rsidRPr="00163543">
        <w:rPr>
          <w:rFonts w:ascii="Century Schoolbook" w:hAnsi="Century Schoolbook" w:cs="Times New Roman"/>
        </w:rPr>
        <w:t xml:space="preserve"> recommendations to have been outstanding for more than one year, and </w:t>
      </w:r>
      <w:r w:rsidR="00482ADF">
        <w:rPr>
          <w:rFonts w:ascii="Century Schoolbook" w:hAnsi="Century Schoolbook" w:cs="Times New Roman"/>
        </w:rPr>
        <w:t xml:space="preserve">we classify </w:t>
      </w:r>
      <w:r w:rsidR="00926645" w:rsidRPr="00163543">
        <w:rPr>
          <w:rFonts w:ascii="Century Schoolbook" w:hAnsi="Century Schoolbook" w:cs="Times New Roman"/>
        </w:rPr>
        <w:t>3,533</w:t>
      </w:r>
      <w:r w:rsidRPr="00163543">
        <w:rPr>
          <w:rFonts w:ascii="Century Schoolbook" w:hAnsi="Century Schoolbook" w:cs="Times New Roman"/>
        </w:rPr>
        <w:t xml:space="preserve"> </w:t>
      </w:r>
      <w:r w:rsidRPr="00163543">
        <w:rPr>
          <w:rFonts w:ascii="Century Schoolbook" w:eastAsia="Times New Roman" w:hAnsi="Century Schoolbook" w:cs="Times New Roman"/>
          <w:lang w:eastAsia="fr-FR"/>
        </w:rPr>
        <w:t>of them as stale.</w:t>
      </w:r>
    </w:p>
    <w:p w14:paraId="0B8EA95A" w14:textId="0911B41D" w:rsidR="00E354EB" w:rsidRDefault="00E354EB" w:rsidP="002241B4">
      <w:pPr>
        <w:autoSpaceDE w:val="0"/>
        <w:autoSpaceDN w:val="0"/>
        <w:adjustRightInd w:val="0"/>
        <w:spacing w:after="0" w:line="480" w:lineRule="auto"/>
        <w:ind w:firstLine="284"/>
        <w:jc w:val="both"/>
        <w:rPr>
          <w:rFonts w:ascii="Century Schoolbook" w:hAnsi="Century Schoolbook" w:cs="Times New Roman"/>
        </w:rPr>
      </w:pPr>
      <w:r w:rsidRPr="00AB75FD">
        <w:rPr>
          <w:rFonts w:ascii="Century Schoolbook" w:eastAsia="Times New Roman" w:hAnsi="Century Schoolbook" w:cs="Times New Roman"/>
          <w:lang w:eastAsia="fr-FR"/>
        </w:rPr>
        <w:t xml:space="preserve">For each recommendation revision, we calculate the </w:t>
      </w:r>
      <w:r w:rsidRPr="00AB75FD">
        <w:rPr>
          <w:rFonts w:ascii="Century Schoolbook" w:eastAsia="Times New Roman" w:hAnsi="Century Schoolbook" w:cs="Times New Roman"/>
          <w:i/>
          <w:lang w:eastAsia="fr-FR"/>
        </w:rPr>
        <w:t>time a recommendation is in place</w:t>
      </w:r>
      <w:r w:rsidRPr="00AB75FD">
        <w:rPr>
          <w:rFonts w:ascii="Century Schoolbook" w:eastAsia="Times New Roman" w:hAnsi="Century Schoolbook" w:cs="Times New Roman"/>
          <w:lang w:eastAsia="fr-FR"/>
        </w:rPr>
        <w:t xml:space="preserve"> defined as the number of days between the current and</w:t>
      </w:r>
      <w:r w:rsidR="00C77942" w:rsidRPr="00AB75FD">
        <w:rPr>
          <w:rFonts w:ascii="Century Schoolbook" w:eastAsia="Times New Roman" w:hAnsi="Century Schoolbook" w:cs="Times New Roman"/>
          <w:lang w:eastAsia="fr-FR"/>
        </w:rPr>
        <w:t xml:space="preserve"> prior recommendation revision</w:t>
      </w:r>
      <w:r w:rsidRPr="00AB75FD">
        <w:rPr>
          <w:rFonts w:ascii="Century Schoolbook" w:eastAsia="Times New Roman" w:hAnsi="Century Schoolbook" w:cs="Times New Roman"/>
          <w:lang w:eastAsia="fr-FR"/>
        </w:rPr>
        <w:t xml:space="preserve">. Our final sample contains </w:t>
      </w:r>
      <w:r w:rsidR="00165FC0">
        <w:rPr>
          <w:rFonts w:ascii="Century Schoolbook" w:hAnsi="Century Schoolbook" w:cs="Times New Roman"/>
        </w:rPr>
        <w:t>196,074</w:t>
      </w:r>
      <w:r w:rsidRPr="00AB75FD">
        <w:rPr>
          <w:rFonts w:ascii="Century Schoolbook" w:hAnsi="Century Schoolbook" w:cs="Times New Roman"/>
        </w:rPr>
        <w:t xml:space="preserve"> recommendation changes made by 8,</w:t>
      </w:r>
      <w:r w:rsidR="00165FC0">
        <w:rPr>
          <w:rFonts w:ascii="Century Schoolbook" w:hAnsi="Century Schoolbook" w:cs="Times New Roman"/>
        </w:rPr>
        <w:t>185</w:t>
      </w:r>
      <w:r w:rsidRPr="00AB75FD">
        <w:rPr>
          <w:rFonts w:ascii="Century Schoolbook" w:hAnsi="Century Schoolbook" w:cs="Times New Roman"/>
        </w:rPr>
        <w:t xml:space="preserve"> distinct analysts, where </w:t>
      </w:r>
      <w:r w:rsidR="00E938A4">
        <w:rPr>
          <w:rFonts w:ascii="Century Schoolbook" w:hAnsi="Century Schoolbook" w:cs="Times New Roman"/>
        </w:rPr>
        <w:t>88,248</w:t>
      </w:r>
      <w:r w:rsidRPr="00AB75FD">
        <w:rPr>
          <w:rFonts w:ascii="Century Schoolbook" w:hAnsi="Century Schoolbook" w:cs="Times New Roman"/>
        </w:rPr>
        <w:t xml:space="preserve"> are upgrades</w:t>
      </w:r>
      <w:r w:rsidR="007443F1" w:rsidRPr="00AB75FD">
        <w:rPr>
          <w:rFonts w:ascii="Century Schoolbook" w:hAnsi="Century Schoolbook" w:cs="Times New Roman"/>
        </w:rPr>
        <w:t>.</w:t>
      </w:r>
      <w:r w:rsidRPr="00AB75FD">
        <w:rPr>
          <w:rFonts w:ascii="Century Schoolbook" w:hAnsi="Century Schoolbook" w:cs="Times New Roman"/>
        </w:rPr>
        <w:t xml:space="preserve"> </w:t>
      </w:r>
    </w:p>
    <w:p w14:paraId="181EFDF1" w14:textId="1C09F4DD" w:rsidR="00E354EB" w:rsidRPr="00AB75FD" w:rsidRDefault="000A65C9" w:rsidP="002241B4">
      <w:pPr>
        <w:pStyle w:val="ListParagraph"/>
        <w:numPr>
          <w:ilvl w:val="1"/>
          <w:numId w:val="17"/>
        </w:numPr>
        <w:spacing w:line="480" w:lineRule="auto"/>
        <w:rPr>
          <w:rFonts w:ascii="Century Schoolbook" w:hAnsi="Century Schoolbook" w:cs="Times New Roman"/>
          <w:b/>
        </w:rPr>
      </w:pPr>
      <w:r w:rsidRPr="00AB75FD">
        <w:rPr>
          <w:rFonts w:ascii="Century Schoolbook" w:hAnsi="Century Schoolbook" w:cs="Times New Roman"/>
          <w:b/>
          <w:i/>
        </w:rPr>
        <w:t xml:space="preserve"> </w:t>
      </w:r>
      <w:r w:rsidR="00E354EB" w:rsidRPr="00AB75FD">
        <w:rPr>
          <w:rFonts w:ascii="Century Schoolbook" w:hAnsi="Century Schoolbook" w:cs="Times New Roman"/>
          <w:b/>
          <w:i/>
        </w:rPr>
        <w:t>Sample descriptive</w:t>
      </w:r>
    </w:p>
    <w:p w14:paraId="0A552386" w14:textId="76692265" w:rsidR="00880405" w:rsidRPr="00F27F5B" w:rsidRDefault="00880405" w:rsidP="002241B4">
      <w:pPr>
        <w:spacing w:line="480" w:lineRule="auto"/>
        <w:jc w:val="both"/>
        <w:rPr>
          <w:rFonts w:ascii="Century Schoolbook" w:hAnsi="Century Schoolbook" w:cs="Times New Roman"/>
        </w:rPr>
      </w:pPr>
      <w:r w:rsidRPr="00F27F5B">
        <w:rPr>
          <w:rFonts w:ascii="Century Schoolbook" w:hAnsi="Century Schoolbook" w:cs="Times New Roman"/>
        </w:rPr>
        <w:t>W</w:t>
      </w:r>
      <w:r w:rsidRPr="00096ABD">
        <w:rPr>
          <w:rFonts w:ascii="Century Schoolbook" w:hAnsi="Century Schoolbook" w:cs="Times New Roman"/>
        </w:rPr>
        <w:t>e focus on analysts who actively issue recommendations during the period 1996</w:t>
      </w:r>
      <w:r w:rsidR="00827B73">
        <w:rPr>
          <w:rFonts w:ascii="Times New Roman" w:hAnsi="Times New Roman" w:cs="Times New Roman"/>
        </w:rPr>
        <w:t>–</w:t>
      </w:r>
      <w:r w:rsidRPr="00F27F5B">
        <w:rPr>
          <w:rFonts w:ascii="Century Schoolbook" w:hAnsi="Century Schoolbook" w:cs="Times New Roman"/>
        </w:rPr>
        <w:t>201</w:t>
      </w:r>
      <w:r w:rsidR="007449C9">
        <w:rPr>
          <w:rFonts w:ascii="Century Schoolbook" w:hAnsi="Century Schoolbook" w:cs="Times New Roman"/>
        </w:rPr>
        <w:t>3</w:t>
      </w:r>
      <w:r w:rsidRPr="00F27F5B">
        <w:rPr>
          <w:rFonts w:ascii="Century Schoolbook" w:hAnsi="Century Schoolbook" w:cs="Times New Roman"/>
        </w:rPr>
        <w:t xml:space="preserve">. </w:t>
      </w:r>
      <w:r w:rsidRPr="00096ABD">
        <w:rPr>
          <w:rFonts w:ascii="Century Schoolbook" w:hAnsi="Century Schoolbook" w:cs="Times New Roman"/>
        </w:rPr>
        <w:t xml:space="preserve"> </w:t>
      </w:r>
      <w:r w:rsidRPr="00163543">
        <w:rPr>
          <w:rFonts w:ascii="Century Schoolbook" w:hAnsi="Century Schoolbook" w:cs="Times New Roman"/>
        </w:rPr>
        <w:t xml:space="preserve">Although I/B/E/S recommendation file begins in 1993, we </w:t>
      </w:r>
      <w:r w:rsidR="00271F3D">
        <w:rPr>
          <w:rFonts w:ascii="Century Schoolbook" w:hAnsi="Century Schoolbook" w:cs="Times New Roman"/>
        </w:rPr>
        <w:t xml:space="preserve">start </w:t>
      </w:r>
      <w:r w:rsidR="00C77942" w:rsidRPr="00163543">
        <w:rPr>
          <w:rFonts w:ascii="Century Schoolbook" w:hAnsi="Century Schoolbook" w:cs="Times New Roman"/>
        </w:rPr>
        <w:t>our analysis in</w:t>
      </w:r>
      <w:r w:rsidR="00C11C8A" w:rsidRPr="00163543">
        <w:rPr>
          <w:rFonts w:ascii="Century Schoolbook" w:hAnsi="Century Schoolbook" w:cs="Times New Roman"/>
        </w:rPr>
        <w:t xml:space="preserve"> </w:t>
      </w:r>
      <w:r w:rsidR="00C77942" w:rsidRPr="00163543">
        <w:rPr>
          <w:rFonts w:ascii="Century Schoolbook" w:hAnsi="Century Schoolbook" w:cs="Times New Roman"/>
        </w:rPr>
        <w:t>1996</w:t>
      </w:r>
      <w:r w:rsidRPr="00163543">
        <w:rPr>
          <w:rFonts w:ascii="Century Schoolbook" w:hAnsi="Century Schoolbook" w:cs="Times New Roman"/>
        </w:rPr>
        <w:t xml:space="preserve"> </w:t>
      </w:r>
      <w:r w:rsidR="00C30BC6" w:rsidRPr="00163543">
        <w:rPr>
          <w:rFonts w:ascii="Century Schoolbook" w:hAnsi="Century Schoolbook" w:cs="Times New Roman"/>
        </w:rPr>
        <w:t>in order</w:t>
      </w:r>
      <w:r w:rsidRPr="00163543">
        <w:rPr>
          <w:rFonts w:ascii="Century Schoolbook" w:hAnsi="Century Schoolbook" w:cs="Times New Roman"/>
        </w:rPr>
        <w:t xml:space="preserve"> to allow analysts’ </w:t>
      </w:r>
      <w:r w:rsidR="00271F3D">
        <w:rPr>
          <w:rFonts w:ascii="Century Schoolbook" w:hAnsi="Century Schoolbook" w:cs="Times New Roman"/>
        </w:rPr>
        <w:t>recommendation</w:t>
      </w:r>
      <w:r w:rsidR="00271F3D" w:rsidRPr="00163543">
        <w:rPr>
          <w:rFonts w:ascii="Century Schoolbook" w:hAnsi="Century Schoolbook" w:cs="Times New Roman"/>
        </w:rPr>
        <w:t xml:space="preserve"> </w:t>
      </w:r>
      <w:r w:rsidRPr="00163543">
        <w:rPr>
          <w:rFonts w:ascii="Century Schoolbook" w:hAnsi="Century Schoolbook" w:cs="Times New Roman"/>
        </w:rPr>
        <w:t xml:space="preserve">history </w:t>
      </w:r>
      <w:r w:rsidR="00271F3D">
        <w:rPr>
          <w:rFonts w:ascii="Century Schoolbook" w:hAnsi="Century Schoolbook" w:cs="Times New Roman"/>
        </w:rPr>
        <w:t xml:space="preserve">file </w:t>
      </w:r>
      <w:r w:rsidRPr="00163543">
        <w:rPr>
          <w:rFonts w:ascii="Century Schoolbook" w:hAnsi="Century Schoolbook" w:cs="Times New Roman"/>
        </w:rPr>
        <w:t>to sufficiently develop.</w:t>
      </w:r>
    </w:p>
    <w:p w14:paraId="39E83E92" w14:textId="220620DD" w:rsidR="00E8342F" w:rsidRPr="00AB75FD" w:rsidRDefault="00E8342F" w:rsidP="00A00DFF">
      <w:pPr>
        <w:spacing w:line="480" w:lineRule="auto"/>
        <w:ind w:firstLine="284"/>
        <w:jc w:val="both"/>
        <w:rPr>
          <w:rFonts w:ascii="Century Schoolbook" w:eastAsia="Times New Roman" w:hAnsi="Century Schoolbook" w:cs="Times New Roman"/>
          <w:lang w:eastAsia="fr-FR"/>
        </w:rPr>
      </w:pPr>
      <w:r w:rsidRPr="00AB75FD">
        <w:rPr>
          <w:rFonts w:ascii="Century Schoolbook" w:eastAsia="Times New Roman" w:hAnsi="Century Schoolbook" w:cs="Times New Roman"/>
          <w:lang w:eastAsia="fr-FR"/>
        </w:rPr>
        <w:t>In each year from 1996 to 201</w:t>
      </w:r>
      <w:r w:rsidR="007449C9">
        <w:rPr>
          <w:rFonts w:ascii="Century Schoolbook" w:eastAsia="Times New Roman" w:hAnsi="Century Schoolbook" w:cs="Times New Roman"/>
          <w:lang w:eastAsia="fr-FR"/>
        </w:rPr>
        <w:t>3</w:t>
      </w:r>
      <w:r w:rsidRPr="00AB75FD">
        <w:rPr>
          <w:rFonts w:ascii="Century Schoolbook" w:eastAsia="Times New Roman" w:hAnsi="Century Schoolbook" w:cs="Times New Roman"/>
          <w:lang w:eastAsia="fr-FR"/>
        </w:rPr>
        <w:t>, we calculate various characteristics for each analyst</w:t>
      </w:r>
      <w:r w:rsidR="00271F3D">
        <w:rPr>
          <w:rFonts w:ascii="Century Schoolbook" w:eastAsia="Times New Roman" w:hAnsi="Century Schoolbook" w:cs="Times New Roman"/>
          <w:lang w:eastAsia="fr-FR"/>
        </w:rPr>
        <w:t xml:space="preserve">. The number of analysts in our </w:t>
      </w:r>
      <w:r w:rsidR="00372CC9">
        <w:rPr>
          <w:rFonts w:ascii="Century Schoolbook" w:eastAsia="Times New Roman" w:hAnsi="Century Schoolbook" w:cs="Times New Roman"/>
          <w:lang w:eastAsia="fr-FR"/>
        </w:rPr>
        <w:t>sample</w:t>
      </w:r>
      <w:r w:rsidR="00271F3D">
        <w:rPr>
          <w:rFonts w:ascii="Century Schoolbook" w:eastAsia="Times New Roman" w:hAnsi="Century Schoolbook" w:cs="Times New Roman"/>
          <w:lang w:eastAsia="fr-FR"/>
        </w:rPr>
        <w:t xml:space="preserve"> </w:t>
      </w:r>
      <w:r w:rsidR="00372CC9">
        <w:rPr>
          <w:rFonts w:ascii="Century Schoolbook" w:eastAsia="Times New Roman" w:hAnsi="Century Schoolbook" w:cs="Times New Roman"/>
          <w:lang w:eastAsia="fr-FR"/>
        </w:rPr>
        <w:t xml:space="preserve">is updated </w:t>
      </w:r>
      <w:r w:rsidRPr="00096ABD">
        <w:rPr>
          <w:rFonts w:ascii="Century Schoolbook" w:hAnsi="Century Schoolbook" w:cs="Times New Roman"/>
        </w:rPr>
        <w:t xml:space="preserve">yearly. We require that an analyst provides active recommendation coverage on at least three stocks. We consider that an analyst has initiated an active coverage of a stock if he has issued at least </w:t>
      </w:r>
      <w:r w:rsidRPr="007953BB">
        <w:rPr>
          <w:rFonts w:ascii="Century Schoolbook" w:hAnsi="Century Schoolbook" w:cs="Times New Roman"/>
        </w:rPr>
        <w:t>two recommendation changes</w:t>
      </w:r>
      <w:r w:rsidR="008B2C86">
        <w:rPr>
          <w:rFonts w:ascii="Century Schoolbook" w:hAnsi="Century Schoolbook" w:cs="Times New Roman"/>
        </w:rPr>
        <w:t xml:space="preserve"> </w:t>
      </w:r>
      <w:r w:rsidRPr="007953BB">
        <w:rPr>
          <w:rFonts w:ascii="Century Schoolbook" w:hAnsi="Century Schoolbook" w:cs="Times New Roman"/>
        </w:rPr>
        <w:t xml:space="preserve">on the firm. </w:t>
      </w:r>
      <w:r w:rsidRPr="00AB75FD">
        <w:rPr>
          <w:rFonts w:ascii="Century Schoolbook" w:eastAsia="Times New Roman" w:hAnsi="Century Schoolbook" w:cs="Times New Roman"/>
          <w:lang w:eastAsia="fr-FR"/>
        </w:rPr>
        <w:t>The final sample consists of 4,563 unique analysts who provide active recommendation coverage d</w:t>
      </w:r>
      <w:r w:rsidR="007C42D7">
        <w:rPr>
          <w:rFonts w:ascii="Century Schoolbook" w:eastAsia="Times New Roman" w:hAnsi="Century Schoolbook" w:cs="Times New Roman"/>
          <w:lang w:eastAsia="fr-FR"/>
        </w:rPr>
        <w:t>uring 1996–2013</w:t>
      </w:r>
      <w:r w:rsidR="00E930EE">
        <w:rPr>
          <w:rFonts w:ascii="Century Schoolbook" w:eastAsia="Times New Roman" w:hAnsi="Century Schoolbook" w:cs="Times New Roman"/>
          <w:lang w:eastAsia="fr-FR"/>
        </w:rPr>
        <w:t>, resulting in 25,678</w:t>
      </w:r>
      <w:r w:rsidRPr="00AB75FD">
        <w:rPr>
          <w:rFonts w:ascii="Century Schoolbook" w:eastAsia="Times New Roman" w:hAnsi="Century Schoolbook" w:cs="Times New Roman"/>
          <w:lang w:eastAsia="fr-FR"/>
        </w:rPr>
        <w:t xml:space="preserve"> analyst</w:t>
      </w:r>
      <w:r w:rsidRPr="00AB75FD">
        <w:rPr>
          <w:rFonts w:ascii="Century Schoolbook" w:hAnsi="Century Schoolbook" w:cs="Times New Roman"/>
        </w:rPr>
        <w:t>-</w:t>
      </w:r>
      <w:r w:rsidRPr="00AB75FD">
        <w:rPr>
          <w:rFonts w:ascii="Century Schoolbook" w:eastAsia="Times New Roman" w:hAnsi="Century Schoolbook" w:cs="Times New Roman"/>
          <w:lang w:eastAsia="fr-FR"/>
        </w:rPr>
        <w:t xml:space="preserve">year observations. </w:t>
      </w:r>
    </w:p>
    <w:p w14:paraId="689B22A8" w14:textId="638EB3BA" w:rsidR="00E1496F" w:rsidRDefault="007F6B0B" w:rsidP="00A00DFF">
      <w:pPr>
        <w:spacing w:line="480" w:lineRule="auto"/>
        <w:ind w:firstLine="284"/>
        <w:jc w:val="both"/>
        <w:rPr>
          <w:rFonts w:ascii="Century Schoolbook" w:hAnsi="Century Schoolbook" w:cs="Times New Roman"/>
        </w:rPr>
      </w:pPr>
      <w:r w:rsidRPr="00AB75FD">
        <w:rPr>
          <w:rFonts w:ascii="Century Schoolbook" w:eastAsia="Times New Roman" w:hAnsi="Century Schoolbook" w:cs="Times New Roman"/>
          <w:lang w:eastAsia="fr-FR"/>
        </w:rPr>
        <w:t xml:space="preserve">Table 1 summarizes characteristics of analysts that are in the final sample. All variables are defined in Appendix A. </w:t>
      </w:r>
      <w:r w:rsidR="00243B36">
        <w:rPr>
          <w:rFonts w:ascii="Century Schoolbook" w:eastAsia="Times New Roman" w:hAnsi="Century Schoolbook" w:cs="Times New Roman"/>
          <w:lang w:eastAsia="fr-FR"/>
        </w:rPr>
        <w:t>We provide explanation for the construction of</w:t>
      </w:r>
      <w:r w:rsidR="00F31935" w:rsidRPr="00AB75FD">
        <w:rPr>
          <w:rFonts w:ascii="Century Schoolbook" w:eastAsia="Times New Roman" w:hAnsi="Century Schoolbook" w:cs="Times New Roman"/>
          <w:lang w:eastAsia="fr-FR"/>
        </w:rPr>
        <w:t xml:space="preserve"> </w:t>
      </w:r>
      <w:r w:rsidR="007A3DE2" w:rsidRPr="00AB75FD">
        <w:rPr>
          <w:rFonts w:ascii="Century Schoolbook" w:eastAsia="Times New Roman" w:hAnsi="Century Schoolbook" w:cs="Times New Roman"/>
          <w:lang w:eastAsia="fr-FR"/>
        </w:rPr>
        <w:t xml:space="preserve">selected </w:t>
      </w:r>
      <w:r w:rsidR="00DF110B" w:rsidRPr="00AB75FD">
        <w:rPr>
          <w:rFonts w:ascii="Century Schoolbook" w:eastAsia="Times New Roman" w:hAnsi="Century Schoolbook" w:cs="Times New Roman"/>
          <w:lang w:eastAsia="fr-FR"/>
        </w:rPr>
        <w:t>variable</w:t>
      </w:r>
      <w:r w:rsidR="00DF110B">
        <w:rPr>
          <w:rFonts w:ascii="Century Schoolbook" w:eastAsia="Times New Roman" w:hAnsi="Century Schoolbook" w:cs="Times New Roman"/>
          <w:lang w:eastAsia="fr-FR"/>
        </w:rPr>
        <w:t xml:space="preserve">s </w:t>
      </w:r>
      <w:r w:rsidR="00DF110B" w:rsidRPr="00AB75FD">
        <w:rPr>
          <w:rFonts w:ascii="Century Schoolbook" w:eastAsia="Times New Roman" w:hAnsi="Century Schoolbook" w:cs="Times New Roman"/>
          <w:lang w:eastAsia="fr-FR"/>
        </w:rPr>
        <w:t>in</w:t>
      </w:r>
      <w:r w:rsidR="00EE1349">
        <w:rPr>
          <w:rFonts w:ascii="Century Schoolbook" w:eastAsia="Times New Roman" w:hAnsi="Century Schoolbook" w:cs="Times New Roman"/>
          <w:lang w:eastAsia="fr-FR"/>
        </w:rPr>
        <w:t xml:space="preserve"> the Online Appendix</w:t>
      </w:r>
      <w:r w:rsidR="00FC01C8">
        <w:rPr>
          <w:rFonts w:ascii="Century Schoolbook" w:eastAsia="Times New Roman" w:hAnsi="Century Schoolbook" w:cs="Times New Roman"/>
          <w:lang w:eastAsia="fr-FR"/>
        </w:rPr>
        <w:t>, Section A</w:t>
      </w:r>
      <w:r w:rsidR="00F31935" w:rsidRPr="00AB75FD">
        <w:rPr>
          <w:rFonts w:ascii="Century Schoolbook" w:eastAsia="Times New Roman" w:hAnsi="Century Schoolbook" w:cs="Times New Roman"/>
          <w:lang w:eastAsia="fr-FR"/>
        </w:rPr>
        <w:t xml:space="preserve">. </w:t>
      </w:r>
      <w:r w:rsidR="005E4C4F" w:rsidRPr="00AB75FD">
        <w:rPr>
          <w:rFonts w:ascii="Century Schoolbook" w:eastAsia="Times New Roman" w:hAnsi="Century Schoolbook" w:cs="Times New Roman"/>
          <w:lang w:eastAsia="fr-FR"/>
        </w:rPr>
        <w:t>The mean general experience for analysts in our sample is 6.</w:t>
      </w:r>
      <w:r w:rsidR="00DF110B">
        <w:rPr>
          <w:rFonts w:ascii="Century Schoolbook" w:eastAsia="Times New Roman" w:hAnsi="Century Schoolbook" w:cs="Times New Roman"/>
          <w:lang w:eastAsia="fr-FR"/>
        </w:rPr>
        <w:t>78</w:t>
      </w:r>
      <w:r w:rsidR="005E4C4F" w:rsidRPr="00AB75FD">
        <w:rPr>
          <w:rFonts w:ascii="Century Schoolbook" w:eastAsia="Times New Roman" w:hAnsi="Century Schoolbook" w:cs="Times New Roman"/>
          <w:lang w:eastAsia="fr-FR"/>
        </w:rPr>
        <w:t xml:space="preserve"> years, </w:t>
      </w:r>
      <w:r w:rsidR="009466EC" w:rsidRPr="00AB75FD">
        <w:rPr>
          <w:rFonts w:ascii="Century Schoolbook" w:eastAsia="Times New Roman" w:hAnsi="Century Schoolbook" w:cs="Times New Roman"/>
          <w:lang w:eastAsia="fr-FR"/>
        </w:rPr>
        <w:t>while the median is 6</w:t>
      </w:r>
      <w:r w:rsidR="005E4C4F" w:rsidRPr="00AB75FD">
        <w:rPr>
          <w:rFonts w:ascii="Century Schoolbook" w:eastAsia="Times New Roman" w:hAnsi="Century Schoolbook" w:cs="Times New Roman"/>
          <w:lang w:eastAsia="fr-FR"/>
        </w:rPr>
        <w:t xml:space="preserve"> years. </w:t>
      </w:r>
      <w:r w:rsidR="00DF110B">
        <w:rPr>
          <w:rFonts w:ascii="Century Schoolbook" w:eastAsia="Times New Roman" w:hAnsi="Century Schoolbook" w:cs="Times New Roman"/>
          <w:lang w:eastAsia="fr-FR"/>
        </w:rPr>
        <w:t xml:space="preserve">The variable </w:t>
      </w:r>
      <w:r w:rsidR="00DF110B">
        <w:rPr>
          <w:rFonts w:ascii="Century Schoolbook" w:eastAsia="Times New Roman" w:hAnsi="Century Schoolbook" w:cs="Times New Roman"/>
          <w:i/>
          <w:lang w:eastAsia="fr-FR"/>
        </w:rPr>
        <w:t xml:space="preserve">Breadth </w:t>
      </w:r>
      <w:r w:rsidR="00DF110B">
        <w:rPr>
          <w:rFonts w:ascii="Century Schoolbook" w:eastAsia="Times New Roman" w:hAnsi="Century Schoolbook" w:cs="Times New Roman"/>
          <w:lang w:eastAsia="fr-FR"/>
        </w:rPr>
        <w:t xml:space="preserve">measures the number of stocks that an analyst </w:t>
      </w:r>
      <w:r w:rsidR="00FD738F">
        <w:rPr>
          <w:rFonts w:ascii="Century Schoolbook" w:eastAsia="Times New Roman" w:hAnsi="Century Schoolbook" w:cs="Times New Roman"/>
          <w:lang w:eastAsia="fr-FR"/>
        </w:rPr>
        <w:t>actively provides</w:t>
      </w:r>
      <w:r w:rsidR="00DF110B">
        <w:rPr>
          <w:rFonts w:ascii="Century Schoolbook" w:eastAsia="Times New Roman" w:hAnsi="Century Schoolbook" w:cs="Times New Roman"/>
          <w:lang w:eastAsia="fr-FR"/>
        </w:rPr>
        <w:t xml:space="preserve"> recommendations. </w:t>
      </w:r>
      <w:r w:rsidR="005E4C4F" w:rsidRPr="00AB75FD">
        <w:rPr>
          <w:rFonts w:ascii="Century Schoolbook" w:eastAsia="Times New Roman" w:hAnsi="Century Schoolbook" w:cs="Times New Roman"/>
          <w:lang w:eastAsia="fr-FR"/>
        </w:rPr>
        <w:t xml:space="preserve">On average, the number of stocks in an analyst recommendation </w:t>
      </w:r>
      <w:r w:rsidR="00DF110B">
        <w:rPr>
          <w:rFonts w:ascii="Century Schoolbook" w:eastAsia="Times New Roman" w:hAnsi="Century Schoolbook" w:cs="Times New Roman"/>
          <w:lang w:eastAsia="fr-FR"/>
        </w:rPr>
        <w:t>portfolio is 6.93</w:t>
      </w:r>
      <w:r w:rsidR="004017C8">
        <w:rPr>
          <w:rFonts w:ascii="Century Schoolbook" w:eastAsia="Times New Roman" w:hAnsi="Century Schoolbook" w:cs="Times New Roman"/>
          <w:lang w:eastAsia="fr-FR"/>
        </w:rPr>
        <w:t>.</w:t>
      </w:r>
      <w:r w:rsidR="005E4C4F" w:rsidRPr="00AB75FD">
        <w:rPr>
          <w:rFonts w:ascii="Century Schoolbook" w:eastAsia="Times New Roman" w:hAnsi="Century Schoolbook" w:cs="Times New Roman"/>
          <w:lang w:eastAsia="fr-FR"/>
        </w:rPr>
        <w:t xml:space="preserve"> </w:t>
      </w:r>
      <w:r w:rsidR="004017C8">
        <w:rPr>
          <w:rFonts w:ascii="Century Schoolbook" w:hAnsi="Century Schoolbook" w:cs="Times New Roman"/>
        </w:rPr>
        <w:t>The</w:t>
      </w:r>
      <w:r w:rsidR="007E1125" w:rsidRPr="00AB75FD">
        <w:rPr>
          <w:rFonts w:ascii="Century Schoolbook" w:hAnsi="Century Schoolbook" w:cs="Times New Roman"/>
        </w:rPr>
        <w:t xml:space="preserve"> descriptive </w:t>
      </w:r>
      <w:r w:rsidR="006D7DF5">
        <w:rPr>
          <w:rFonts w:ascii="Century Schoolbook" w:hAnsi="Century Schoolbook" w:cs="Times New Roman"/>
        </w:rPr>
        <w:t xml:space="preserve">statistics </w:t>
      </w:r>
      <w:r w:rsidR="007E1125" w:rsidRPr="00AB75FD">
        <w:rPr>
          <w:rFonts w:ascii="Century Schoolbook" w:hAnsi="Century Schoolbook" w:cs="Times New Roman"/>
        </w:rPr>
        <w:t xml:space="preserve">of analyst characteristics reported in Table 1 are </w:t>
      </w:r>
      <w:r w:rsidR="009B48F7" w:rsidRPr="00AB75FD">
        <w:rPr>
          <w:rFonts w:ascii="Century Schoolbook" w:hAnsi="Century Schoolbook" w:cs="Times New Roman"/>
        </w:rPr>
        <w:t>in line with the</w:t>
      </w:r>
      <w:r w:rsidR="007E1125" w:rsidRPr="00AB75FD">
        <w:rPr>
          <w:rFonts w:ascii="Century Schoolbook" w:hAnsi="Century Schoolbook" w:cs="Times New Roman"/>
        </w:rPr>
        <w:t xml:space="preserve"> literature. </w:t>
      </w:r>
    </w:p>
    <w:p w14:paraId="51E3B703" w14:textId="0F3F4E0C" w:rsidR="00B16E94" w:rsidRDefault="004017C8" w:rsidP="00A00DFF">
      <w:pPr>
        <w:spacing w:line="480" w:lineRule="auto"/>
        <w:ind w:firstLine="284"/>
        <w:jc w:val="both"/>
        <w:rPr>
          <w:rFonts w:ascii="Century Schoolbook" w:hAnsi="Century Schoolbook" w:cs="Times New Roman"/>
        </w:rPr>
      </w:pPr>
      <w:r>
        <w:rPr>
          <w:rFonts w:ascii="Century Schoolbook" w:eastAsiaTheme="minorEastAsia" w:hAnsi="Century Schoolbook" w:cs="Times New Roman"/>
          <w:color w:val="000000"/>
          <w:shd w:val="clear" w:color="auto" w:fill="FFFFFF" w:themeFill="background1"/>
          <w:lang w:eastAsia="en-CA"/>
        </w:rPr>
        <w:lastRenderedPageBreak/>
        <w:t>The</w:t>
      </w:r>
      <w:r w:rsidR="007E1125" w:rsidRPr="00AB75FD">
        <w:rPr>
          <w:rFonts w:ascii="Century Schoolbook" w:eastAsiaTheme="minorEastAsia" w:hAnsi="Century Schoolbook" w:cs="Times New Roman"/>
          <w:color w:val="000000"/>
          <w:shd w:val="clear" w:color="auto" w:fill="FFFFFF" w:themeFill="background1"/>
          <w:lang w:eastAsia="en-CA"/>
        </w:rPr>
        <w:t xml:space="preserve"> average </w:t>
      </w:r>
      <w:r w:rsidR="001A6206">
        <w:rPr>
          <w:rFonts w:ascii="Century Schoolbook" w:eastAsiaTheme="minorEastAsia" w:hAnsi="Century Schoolbook" w:cs="Times New Roman"/>
          <w:i/>
          <w:color w:val="000000"/>
          <w:shd w:val="clear" w:color="auto" w:fill="FFFFFF" w:themeFill="background1"/>
          <w:lang w:eastAsia="en-CA"/>
        </w:rPr>
        <w:t xml:space="preserve">Months </w:t>
      </w:r>
      <w:r w:rsidR="00B16E94" w:rsidRPr="00AB75FD">
        <w:rPr>
          <w:rFonts w:ascii="Century Schoolbook" w:eastAsiaTheme="minorEastAsia" w:hAnsi="Century Schoolbook" w:cs="Times New Roman"/>
          <w:i/>
          <w:color w:val="000000"/>
          <w:shd w:val="clear" w:color="auto" w:fill="FFFFFF" w:themeFill="background1"/>
          <w:lang w:eastAsia="en-CA"/>
        </w:rPr>
        <w:t xml:space="preserve">recommendation is in place </w:t>
      </w:r>
      <w:r w:rsidR="007E1125" w:rsidRPr="00AB75FD">
        <w:rPr>
          <w:rFonts w:ascii="Century Schoolbook" w:eastAsiaTheme="minorEastAsia" w:hAnsi="Century Schoolbook" w:cs="Times New Roman"/>
          <w:color w:val="000000"/>
          <w:shd w:val="clear" w:color="auto" w:fill="FFFFFF" w:themeFill="background1"/>
          <w:lang w:eastAsia="en-CA"/>
        </w:rPr>
        <w:t>is 1</w:t>
      </w:r>
      <w:r w:rsidR="001A6206">
        <w:rPr>
          <w:rFonts w:ascii="Century Schoolbook" w:eastAsiaTheme="minorEastAsia" w:hAnsi="Century Schoolbook" w:cs="Times New Roman"/>
          <w:color w:val="000000"/>
          <w:shd w:val="clear" w:color="auto" w:fill="FFFFFF" w:themeFill="background1"/>
          <w:lang w:eastAsia="en-CA"/>
        </w:rPr>
        <w:t>1.92</w:t>
      </w:r>
      <w:r w:rsidR="007E1125" w:rsidRPr="00AB75FD">
        <w:rPr>
          <w:rFonts w:ascii="Century Schoolbook" w:eastAsiaTheme="minorEastAsia" w:hAnsi="Century Schoolbook" w:cs="Times New Roman"/>
          <w:color w:val="000000"/>
          <w:shd w:val="clear" w:color="auto" w:fill="FFFFFF" w:themeFill="background1"/>
          <w:lang w:eastAsia="en-CA"/>
        </w:rPr>
        <w:t xml:space="preserve"> months, with a median of 11.</w:t>
      </w:r>
      <w:r w:rsidR="001A6206">
        <w:rPr>
          <w:rFonts w:ascii="Century Schoolbook" w:eastAsiaTheme="minorEastAsia" w:hAnsi="Century Schoolbook" w:cs="Times New Roman"/>
          <w:color w:val="000000"/>
          <w:shd w:val="clear" w:color="auto" w:fill="FFFFFF" w:themeFill="background1"/>
          <w:lang w:eastAsia="en-CA"/>
        </w:rPr>
        <w:t>19</w:t>
      </w:r>
      <w:r w:rsidR="007E1125" w:rsidRPr="00AB75FD">
        <w:rPr>
          <w:rFonts w:ascii="Century Schoolbook" w:eastAsiaTheme="minorEastAsia" w:hAnsi="Century Schoolbook" w:cs="Times New Roman"/>
          <w:color w:val="000000"/>
          <w:shd w:val="clear" w:color="auto" w:fill="FFFFFF" w:themeFill="background1"/>
          <w:lang w:eastAsia="en-CA"/>
        </w:rPr>
        <w:t xml:space="preserve"> months.</w:t>
      </w:r>
      <w:r w:rsidR="00B16E94" w:rsidRPr="00AB75FD">
        <w:rPr>
          <w:rFonts w:ascii="Century Schoolbook" w:eastAsiaTheme="minorEastAsia" w:hAnsi="Century Schoolbook" w:cs="Times New Roman"/>
          <w:color w:val="000000"/>
          <w:shd w:val="clear" w:color="auto" w:fill="FFFFFF" w:themeFill="background1"/>
          <w:lang w:eastAsia="en-CA"/>
        </w:rPr>
        <w:t xml:space="preserve"> </w:t>
      </w:r>
      <w:r w:rsidR="007E1125" w:rsidRPr="00AB75FD">
        <w:rPr>
          <w:rFonts w:ascii="Century Schoolbook" w:hAnsi="Century Schoolbook" w:cs="Times New Roman"/>
        </w:rPr>
        <w:t xml:space="preserve">This </w:t>
      </w:r>
      <w:r w:rsidR="006D46FE">
        <w:rPr>
          <w:rFonts w:ascii="Century Schoolbook" w:hAnsi="Century Schoolbook" w:cs="Times New Roman"/>
        </w:rPr>
        <w:t xml:space="preserve">key </w:t>
      </w:r>
      <w:r w:rsidR="007E1125" w:rsidRPr="00AB75FD">
        <w:rPr>
          <w:rFonts w:ascii="Century Schoolbook" w:hAnsi="Century Schoolbook" w:cs="Times New Roman"/>
        </w:rPr>
        <w:t xml:space="preserve">variable reflects the </w:t>
      </w:r>
      <w:r>
        <w:rPr>
          <w:rFonts w:ascii="Century Schoolbook" w:hAnsi="Century Schoolbook" w:cs="Times New Roman"/>
        </w:rPr>
        <w:t>time that</w:t>
      </w:r>
      <w:r w:rsidR="007E1125" w:rsidRPr="00AB75FD">
        <w:rPr>
          <w:rFonts w:ascii="Century Schoolbook" w:hAnsi="Century Schoolbook" w:cs="Times New Roman"/>
        </w:rPr>
        <w:t xml:space="preserve"> a recommendation by an analyst remains outstanding</w:t>
      </w:r>
      <w:r>
        <w:rPr>
          <w:rFonts w:ascii="Century Schoolbook" w:hAnsi="Century Schoolbook" w:cs="Times New Roman"/>
        </w:rPr>
        <w:t xml:space="preserve"> in </w:t>
      </w:r>
      <w:r w:rsidR="00B16E94" w:rsidRPr="00AB75FD">
        <w:rPr>
          <w:rFonts w:ascii="Century Schoolbook" w:eastAsia="Times New Roman" w:hAnsi="Century Schoolbook" w:cs="Times New Roman"/>
          <w:lang w:eastAsia="fr-FR"/>
        </w:rPr>
        <w:t xml:space="preserve">monthly units. </w:t>
      </w:r>
      <w:r w:rsidR="00B16E94" w:rsidRPr="00AB75FD">
        <w:rPr>
          <w:rFonts w:ascii="Century Schoolbook" w:hAnsi="Century Schoolbook" w:cs="Times New Roman"/>
        </w:rPr>
        <w:t>Importantly, we find the standard deviation and the percentile distribution of this key variable shows a significant variation.</w:t>
      </w:r>
    </w:p>
    <w:p w14:paraId="412E42B2" w14:textId="62F511D4" w:rsidR="00AD1C46" w:rsidRPr="00AB75FD" w:rsidRDefault="00C23EF3" w:rsidP="00A00DFF">
      <w:pPr>
        <w:pStyle w:val="ListParagraph"/>
        <w:numPr>
          <w:ilvl w:val="1"/>
          <w:numId w:val="17"/>
        </w:numPr>
        <w:spacing w:line="480" w:lineRule="auto"/>
        <w:rPr>
          <w:rFonts w:ascii="Century Schoolbook" w:hAnsi="Century Schoolbook" w:cs="Times New Roman"/>
          <w:b/>
          <w:i/>
        </w:rPr>
      </w:pPr>
      <w:r>
        <w:rPr>
          <w:rFonts w:ascii="Century Schoolbook" w:hAnsi="Century Schoolbook" w:cs="Times New Roman"/>
          <w:b/>
          <w:i/>
        </w:rPr>
        <w:t xml:space="preserve"> </w:t>
      </w:r>
      <w:r w:rsidR="00693C23">
        <w:rPr>
          <w:rFonts w:ascii="Century Schoolbook" w:hAnsi="Century Schoolbook" w:cs="Times New Roman"/>
          <w:b/>
          <w:i/>
        </w:rPr>
        <w:t>Methodology for i</w:t>
      </w:r>
      <w:r w:rsidR="00734125" w:rsidRPr="00AB75FD">
        <w:rPr>
          <w:rFonts w:ascii="Century Schoolbook" w:hAnsi="Century Schoolbook" w:cs="Times New Roman"/>
          <w:b/>
          <w:i/>
        </w:rPr>
        <w:t>dentifying</w:t>
      </w:r>
      <w:r w:rsidR="00E354EB" w:rsidRPr="00AB75FD">
        <w:rPr>
          <w:rFonts w:ascii="Century Schoolbook" w:hAnsi="Century Schoolbook" w:cs="Times New Roman"/>
          <w:b/>
          <w:i/>
        </w:rPr>
        <w:t xml:space="preserve"> analysts’ recommendation speed</w:t>
      </w:r>
      <w:r w:rsidR="008F0377" w:rsidRPr="00AB75FD">
        <w:rPr>
          <w:rFonts w:ascii="Century Schoolbook" w:hAnsi="Century Schoolbook" w:cs="Times New Roman"/>
          <w:b/>
          <w:i/>
        </w:rPr>
        <w:t>-</w:t>
      </w:r>
      <w:r w:rsidR="00E354EB" w:rsidRPr="00AB75FD">
        <w:rPr>
          <w:rFonts w:ascii="Century Schoolbook" w:hAnsi="Century Schoolbook" w:cs="Times New Roman"/>
          <w:b/>
          <w:i/>
        </w:rPr>
        <w:t>style</w:t>
      </w:r>
    </w:p>
    <w:p w14:paraId="07790E97" w14:textId="13A1215B" w:rsidR="00AD1C46" w:rsidRDefault="005A482B" w:rsidP="00DF23A3">
      <w:pPr>
        <w:spacing w:line="480" w:lineRule="auto"/>
        <w:jc w:val="both"/>
        <w:rPr>
          <w:rFonts w:ascii="Century Schoolbook" w:hAnsi="Century Schoolbook" w:cs="Times New Roman"/>
        </w:rPr>
      </w:pPr>
      <w:r>
        <w:rPr>
          <w:rFonts w:ascii="Century Schoolbook" w:eastAsia="Times New Roman" w:hAnsi="Century Schoolbook" w:cs="Times New Roman"/>
          <w:lang w:eastAsia="fr-FR"/>
        </w:rPr>
        <w:t xml:space="preserve">We classify analysts into different recommendation speed-style groups </w:t>
      </w:r>
      <w:r w:rsidR="00BC56A5">
        <w:rPr>
          <w:rFonts w:ascii="Century Schoolbook" w:eastAsia="Times New Roman" w:hAnsi="Century Schoolbook" w:cs="Times New Roman"/>
          <w:lang w:eastAsia="fr-FR"/>
        </w:rPr>
        <w:t>on a yearly basis from 1996 to 2013. The</w:t>
      </w:r>
      <w:r>
        <w:rPr>
          <w:rFonts w:ascii="Century Schoolbook" w:eastAsia="Times New Roman" w:hAnsi="Century Schoolbook" w:cs="Times New Roman"/>
          <w:lang w:eastAsia="fr-FR"/>
        </w:rPr>
        <w:t xml:space="preserve"> </w:t>
      </w:r>
      <w:r w:rsidR="00BC56A5">
        <w:rPr>
          <w:rFonts w:ascii="Century Schoolbook" w:eastAsia="Times New Roman" w:hAnsi="Century Schoolbook" w:cs="Times New Roman"/>
          <w:lang w:eastAsia="fr-FR"/>
        </w:rPr>
        <w:t>method is an</w:t>
      </w:r>
      <w:r>
        <w:rPr>
          <w:rFonts w:ascii="Century Schoolbook" w:eastAsia="Times New Roman" w:hAnsi="Century Schoolbook" w:cs="Times New Roman"/>
          <w:lang w:eastAsia="fr-FR"/>
        </w:rPr>
        <w:t xml:space="preserve"> </w:t>
      </w:r>
      <w:r w:rsidRPr="005A482B">
        <w:rPr>
          <w:rFonts w:ascii="Century Schoolbook" w:eastAsia="Times New Roman" w:hAnsi="Century Schoolbook" w:cs="Times New Roman"/>
          <w:i/>
          <w:lang w:eastAsia="fr-FR"/>
        </w:rPr>
        <w:t xml:space="preserve">out-of-sample </w:t>
      </w:r>
      <w:r>
        <w:rPr>
          <w:rFonts w:ascii="Century Schoolbook" w:eastAsia="Times New Roman" w:hAnsi="Century Schoolbook" w:cs="Times New Roman"/>
          <w:lang w:eastAsia="fr-FR"/>
        </w:rPr>
        <w:t xml:space="preserve">classification. </w:t>
      </w:r>
      <w:r w:rsidRPr="00CD0FBA">
        <w:rPr>
          <w:rFonts w:ascii="Century Schoolbook" w:eastAsia="Times New Roman" w:hAnsi="Century Schoolbook" w:cs="Times New Roman"/>
          <w:lang w:eastAsia="fr-FR"/>
        </w:rPr>
        <w:t xml:space="preserve">For instance, when classifying the speed of analysts in the year 2000, we use </w:t>
      </w:r>
      <w:r w:rsidR="0037512A">
        <w:rPr>
          <w:rFonts w:ascii="Century Schoolbook" w:eastAsia="Times New Roman" w:hAnsi="Century Schoolbook" w:cs="Times New Roman"/>
          <w:lang w:eastAsia="fr-FR"/>
        </w:rPr>
        <w:t xml:space="preserve">I/B/E/S </w:t>
      </w:r>
      <w:r w:rsidRPr="00CD0FBA">
        <w:rPr>
          <w:rFonts w:ascii="Century Schoolbook" w:eastAsia="Times New Roman" w:hAnsi="Century Schoolbook" w:cs="Times New Roman"/>
          <w:lang w:eastAsia="fr-FR"/>
        </w:rPr>
        <w:t xml:space="preserve">recommendations history </w:t>
      </w:r>
      <w:r w:rsidR="0037512A">
        <w:rPr>
          <w:rFonts w:ascii="Century Schoolbook" w:eastAsia="Times New Roman" w:hAnsi="Century Schoolbook" w:cs="Times New Roman"/>
          <w:lang w:eastAsia="fr-FR"/>
        </w:rPr>
        <w:t xml:space="preserve">only </w:t>
      </w:r>
      <w:r w:rsidRPr="00CD0FBA">
        <w:rPr>
          <w:rFonts w:ascii="Century Schoolbook" w:eastAsia="Times New Roman" w:hAnsi="Century Schoolbook" w:cs="Times New Roman"/>
          <w:lang w:eastAsia="fr-FR"/>
        </w:rPr>
        <w:t>up until December 1999.</w:t>
      </w:r>
      <w:r>
        <w:rPr>
          <w:rFonts w:ascii="Century Schoolbook" w:eastAsia="Times New Roman" w:hAnsi="Century Schoolbook" w:cs="Times New Roman"/>
          <w:lang w:eastAsia="fr-FR"/>
        </w:rPr>
        <w:t xml:space="preserve"> As for the year 2001, we extend the history file to include an additional year of recommendation-change records.</w:t>
      </w:r>
      <w:r w:rsidRPr="00AB75FD">
        <w:rPr>
          <w:rStyle w:val="FootnoteReference"/>
          <w:rFonts w:ascii="Century Schoolbook" w:eastAsia="Times New Roman" w:hAnsi="Century Schoolbook" w:cs="Times New Roman"/>
          <w:lang w:eastAsia="fr-FR"/>
        </w:rPr>
        <w:footnoteReference w:id="9"/>
      </w:r>
      <w:r>
        <w:rPr>
          <w:rStyle w:val="FootnoteReference"/>
          <w:rFonts w:ascii="Century Schoolbook" w:eastAsia="Times New Roman" w:hAnsi="Century Schoolbook" w:cs="Times New Roman"/>
          <w:lang w:eastAsia="fr-FR"/>
        </w:rPr>
        <w:t xml:space="preserve"> </w:t>
      </w:r>
      <w:r>
        <w:rPr>
          <w:rFonts w:ascii="Century Schoolbook" w:hAnsi="Century Schoolbook" w:cs="Times New Roman"/>
        </w:rPr>
        <w:t>The</w:t>
      </w:r>
      <w:r w:rsidR="00AD1C46" w:rsidRPr="00AB75FD">
        <w:rPr>
          <w:rFonts w:ascii="Century Schoolbook" w:hAnsi="Century Schoolbook" w:cs="Times New Roman"/>
        </w:rPr>
        <w:t xml:space="preserve"> methodology </w:t>
      </w:r>
      <w:r w:rsidR="008B2C86">
        <w:rPr>
          <w:rFonts w:ascii="Century Schoolbook" w:hAnsi="Century Schoolbook" w:cs="Times New Roman"/>
        </w:rPr>
        <w:t xml:space="preserve">for classifying analysts into different speed-style groups </w:t>
      </w:r>
      <w:r w:rsidR="00716FF9" w:rsidRPr="00AB75FD">
        <w:rPr>
          <w:rFonts w:ascii="Century Schoolbook" w:hAnsi="Century Schoolbook" w:cs="Times New Roman"/>
        </w:rPr>
        <w:t xml:space="preserve">consists of </w:t>
      </w:r>
      <w:r w:rsidR="008B2C86">
        <w:rPr>
          <w:rFonts w:ascii="Century Schoolbook" w:hAnsi="Century Schoolbook" w:cs="Times New Roman"/>
        </w:rPr>
        <w:t xml:space="preserve">the following </w:t>
      </w:r>
      <w:r w:rsidR="00716FF9" w:rsidRPr="00AB75FD">
        <w:rPr>
          <w:rFonts w:ascii="Century Schoolbook" w:hAnsi="Century Schoolbook" w:cs="Times New Roman"/>
        </w:rPr>
        <w:t>three</w:t>
      </w:r>
      <w:r w:rsidR="00E07011" w:rsidRPr="00AB75FD">
        <w:rPr>
          <w:rFonts w:ascii="Century Schoolbook" w:hAnsi="Century Schoolbook" w:cs="Times New Roman"/>
        </w:rPr>
        <w:t xml:space="preserve"> </w:t>
      </w:r>
      <w:r w:rsidR="00716FF9" w:rsidRPr="00AB75FD">
        <w:rPr>
          <w:rFonts w:ascii="Century Schoolbook" w:hAnsi="Century Schoolbook" w:cs="Times New Roman"/>
        </w:rPr>
        <w:t>steps</w:t>
      </w:r>
      <w:r w:rsidR="009E0456">
        <w:rPr>
          <w:rFonts w:ascii="Century Schoolbook" w:hAnsi="Century Schoolbook" w:cs="Times New Roman"/>
        </w:rPr>
        <w:t>,</w:t>
      </w:r>
      <w:r w:rsidR="00876EE2">
        <w:rPr>
          <w:rFonts w:ascii="Century Schoolbook" w:hAnsi="Century Schoolbook" w:cs="Times New Roman"/>
        </w:rPr>
        <w:t xml:space="preserve"> </w:t>
      </w:r>
      <w:r w:rsidR="0037512A">
        <w:rPr>
          <w:rFonts w:ascii="Century Schoolbook" w:hAnsi="Century Schoolbook" w:cs="Times New Roman"/>
        </w:rPr>
        <w:t xml:space="preserve">which we </w:t>
      </w:r>
      <w:r w:rsidR="00876EE2">
        <w:rPr>
          <w:rFonts w:ascii="Century Schoolbook" w:hAnsi="Century Schoolbook" w:cs="Times New Roman"/>
        </w:rPr>
        <w:t>discuss next.</w:t>
      </w:r>
      <w:r w:rsidR="00E07011" w:rsidRPr="00AB75FD">
        <w:rPr>
          <w:rFonts w:ascii="Century Schoolbook" w:hAnsi="Century Schoolbook" w:cs="Times New Roman"/>
        </w:rPr>
        <w:t xml:space="preserve"> </w:t>
      </w:r>
    </w:p>
    <w:p w14:paraId="7DD4AE19" w14:textId="73248536" w:rsidR="00CD0FBA" w:rsidRPr="00C23EF3" w:rsidRDefault="007A76AB" w:rsidP="00C23EF3">
      <w:pPr>
        <w:spacing w:line="480" w:lineRule="auto"/>
        <w:jc w:val="center"/>
        <w:rPr>
          <w:rFonts w:ascii="Century Schoolbook" w:eastAsia="Times New Roman" w:hAnsi="Century Schoolbook" w:cs="Times New Roman"/>
          <w:lang w:eastAsia="fr-FR"/>
        </w:rPr>
      </w:pPr>
      <w:r w:rsidRPr="00C23EF3">
        <w:rPr>
          <w:rFonts w:ascii="Century Schoolbook" w:hAnsi="Century Schoolbook" w:cs="Times New Roman"/>
          <w:b/>
          <w:i/>
        </w:rPr>
        <w:t>S</w:t>
      </w:r>
      <w:r w:rsidR="009D7275" w:rsidRPr="00C23EF3">
        <w:rPr>
          <w:rFonts w:ascii="Century Schoolbook" w:hAnsi="Century Schoolbook" w:cs="Times New Roman"/>
          <w:b/>
          <w:i/>
        </w:rPr>
        <w:t>tep</w:t>
      </w:r>
      <w:r w:rsidRPr="00C23EF3">
        <w:rPr>
          <w:rFonts w:ascii="Century Schoolbook" w:hAnsi="Century Schoolbook" w:cs="Times New Roman"/>
          <w:b/>
          <w:i/>
        </w:rPr>
        <w:t xml:space="preserve"> 1:</w:t>
      </w:r>
      <w:r w:rsidR="007561D6" w:rsidRPr="00C23EF3">
        <w:rPr>
          <w:rFonts w:ascii="Century Schoolbook" w:hAnsi="Century Schoolbook" w:cs="Times New Roman"/>
          <w:b/>
          <w:i/>
        </w:rPr>
        <w:t xml:space="preserve"> </w:t>
      </w:r>
      <w:r w:rsidR="009E0456" w:rsidRPr="00C23EF3">
        <w:rPr>
          <w:rFonts w:ascii="Century Schoolbook" w:hAnsi="Century Schoolbook" w:cs="Times New Roman"/>
          <w:b/>
          <w:i/>
        </w:rPr>
        <w:t>Estimating</w:t>
      </w:r>
      <w:r w:rsidR="00AD1C46" w:rsidRPr="00C23EF3">
        <w:rPr>
          <w:rFonts w:ascii="Century Schoolbook" w:hAnsi="Century Schoolbook" w:cs="Times New Roman"/>
          <w:b/>
          <w:i/>
        </w:rPr>
        <w:t xml:space="preserve"> </w:t>
      </w:r>
      <w:r w:rsidR="001569AC" w:rsidRPr="00C23EF3">
        <w:rPr>
          <w:rFonts w:ascii="Century Schoolbook" w:hAnsi="Century Schoolbook" w:cs="Times New Roman"/>
          <w:b/>
          <w:i/>
        </w:rPr>
        <w:t xml:space="preserve">the </w:t>
      </w:r>
      <w:r w:rsidR="00047B5B" w:rsidRPr="00C23EF3">
        <w:rPr>
          <w:rFonts w:ascii="Century Schoolbook" w:hAnsi="Century Schoolbook" w:cs="Times New Roman"/>
          <w:b/>
          <w:i/>
        </w:rPr>
        <w:t xml:space="preserve">time between </w:t>
      </w:r>
      <w:r w:rsidR="009E0456" w:rsidRPr="00C23EF3">
        <w:rPr>
          <w:rFonts w:ascii="Century Schoolbook" w:hAnsi="Century Schoolbook" w:cs="Times New Roman"/>
          <w:b/>
          <w:i/>
        </w:rPr>
        <w:t>revisions</w:t>
      </w:r>
      <w:r w:rsidR="00047B5B" w:rsidRPr="00C23EF3">
        <w:rPr>
          <w:rFonts w:ascii="Century Schoolbook" w:hAnsi="Century Schoolbook" w:cs="Times New Roman"/>
          <w:b/>
          <w:i/>
        </w:rPr>
        <w:t xml:space="preserve"> </w:t>
      </w:r>
      <w:r w:rsidR="009E0456" w:rsidRPr="00C23EF3">
        <w:rPr>
          <w:rFonts w:ascii="Century Schoolbook" w:hAnsi="Century Schoolbook" w:cs="Times New Roman"/>
          <w:b/>
          <w:i/>
        </w:rPr>
        <w:t>for each analyst-stock pair</w:t>
      </w:r>
    </w:p>
    <w:p w14:paraId="6E335D7A" w14:textId="189AFB72" w:rsidR="000A403A" w:rsidRDefault="009F782C" w:rsidP="00DF23A3">
      <w:pPr>
        <w:spacing w:line="480" w:lineRule="auto"/>
        <w:jc w:val="both"/>
        <w:rPr>
          <w:rFonts w:ascii="Century Schoolbook" w:eastAsia="Times New Roman" w:hAnsi="Century Schoolbook" w:cs="Times New Roman"/>
          <w:lang w:eastAsia="fr-FR"/>
        </w:rPr>
      </w:pPr>
      <w:r>
        <w:rPr>
          <w:rFonts w:ascii="Century Schoolbook" w:eastAsia="Times New Roman" w:hAnsi="Century Schoolbook" w:cs="Times New Roman"/>
          <w:lang w:eastAsia="fr-FR"/>
        </w:rPr>
        <w:t xml:space="preserve">At the end of each calendar year </w:t>
      </w:r>
      <w:r w:rsidR="00400427">
        <w:rPr>
          <w:rFonts w:ascii="Century Schoolbook" w:eastAsia="Times New Roman" w:hAnsi="Century Schoolbook" w:cs="Times New Roman"/>
          <w:lang w:eastAsia="fr-FR"/>
        </w:rPr>
        <w:t>starting in 1995</w:t>
      </w:r>
      <w:r w:rsidR="005A482B">
        <w:rPr>
          <w:rFonts w:ascii="Century Schoolbook" w:eastAsia="Times New Roman" w:hAnsi="Century Schoolbook" w:cs="Times New Roman"/>
          <w:lang w:eastAsia="fr-FR"/>
        </w:rPr>
        <w:t>,</w:t>
      </w:r>
      <w:r w:rsidR="00E354EB" w:rsidRPr="00AB75FD">
        <w:rPr>
          <w:rFonts w:ascii="Century Schoolbook" w:eastAsia="Times New Roman" w:hAnsi="Century Schoolbook" w:cs="Times New Roman"/>
          <w:lang w:eastAsia="fr-FR"/>
        </w:rPr>
        <w:t xml:space="preserve"> we calculate the </w:t>
      </w:r>
      <w:r w:rsidR="00E354EB" w:rsidRPr="00CE5A82">
        <w:rPr>
          <w:rFonts w:ascii="Century Schoolbook" w:eastAsia="Times New Roman" w:hAnsi="Century Schoolbook" w:cs="Times New Roman"/>
          <w:lang w:eastAsia="fr-FR"/>
        </w:rPr>
        <w:t xml:space="preserve">average number of days between recommendation revisions for each </w:t>
      </w:r>
      <w:r w:rsidR="00E354EB" w:rsidRPr="00CE5A82">
        <w:rPr>
          <w:rFonts w:ascii="Century Schoolbook" w:eastAsia="Times New Roman" w:hAnsi="Century Schoolbook" w:cs="Times New Roman"/>
          <w:i/>
          <w:lang w:eastAsia="fr-FR"/>
        </w:rPr>
        <w:t>analyst</w:t>
      </w:r>
      <w:r w:rsidR="008F0377" w:rsidRPr="00CE5A82">
        <w:rPr>
          <w:rFonts w:ascii="Century Schoolbook" w:hAnsi="Century Schoolbook" w:cs="Times New Roman"/>
          <w:i/>
        </w:rPr>
        <w:t>-</w:t>
      </w:r>
      <w:r w:rsidR="00E354EB" w:rsidRPr="00CE5A82">
        <w:rPr>
          <w:rFonts w:ascii="Century Schoolbook" w:eastAsia="Times New Roman" w:hAnsi="Century Schoolbook" w:cs="Times New Roman"/>
          <w:i/>
          <w:lang w:eastAsia="fr-FR"/>
        </w:rPr>
        <w:t>stock</w:t>
      </w:r>
      <w:r w:rsidR="00E354EB" w:rsidRPr="00CE5A82">
        <w:rPr>
          <w:rFonts w:ascii="Century Schoolbook" w:eastAsia="Times New Roman" w:hAnsi="Century Schoolbook" w:cs="Times New Roman"/>
          <w:lang w:eastAsia="fr-FR"/>
        </w:rPr>
        <w:t xml:space="preserve"> pair.</w:t>
      </w:r>
      <w:r w:rsidR="00FB7EE3" w:rsidRPr="00CE5A82">
        <w:rPr>
          <w:rFonts w:ascii="Century Schoolbook" w:eastAsia="Times New Roman" w:hAnsi="Century Schoolbook" w:cs="Times New Roman"/>
          <w:lang w:eastAsia="fr-FR"/>
        </w:rPr>
        <w:t xml:space="preserve"> </w:t>
      </w:r>
      <w:r w:rsidR="00734125" w:rsidRPr="00CE5A82">
        <w:rPr>
          <w:rFonts w:ascii="Century Schoolbook" w:eastAsia="Times New Roman" w:hAnsi="Century Schoolbook" w:cs="Times New Roman"/>
          <w:lang w:eastAsia="fr-FR"/>
        </w:rPr>
        <w:t>One</w:t>
      </w:r>
      <w:r w:rsidR="00FB7EE3" w:rsidRPr="00CE5A82">
        <w:rPr>
          <w:rFonts w:ascii="Century Schoolbook" w:eastAsia="Times New Roman" w:hAnsi="Century Schoolbook" w:cs="Times New Roman"/>
          <w:lang w:eastAsia="fr-FR"/>
        </w:rPr>
        <w:t xml:space="preserve"> concern associated with the annual updating is </w:t>
      </w:r>
      <w:r w:rsidR="00734125" w:rsidRPr="00CE5A82">
        <w:rPr>
          <w:rFonts w:ascii="Century Schoolbook" w:eastAsia="Times New Roman" w:hAnsi="Century Schoolbook" w:cs="Times New Roman"/>
          <w:lang w:eastAsia="fr-FR"/>
        </w:rPr>
        <w:t xml:space="preserve">the </w:t>
      </w:r>
      <w:r w:rsidR="00FB7EE3" w:rsidRPr="00CE5A82">
        <w:rPr>
          <w:rFonts w:ascii="Century Schoolbook" w:eastAsia="Times New Roman" w:hAnsi="Century Schoolbook" w:cs="Times New Roman"/>
          <w:lang w:eastAsia="fr-FR"/>
        </w:rPr>
        <w:t>right-truncation bias</w:t>
      </w:r>
      <w:r w:rsidR="00876EE2">
        <w:rPr>
          <w:rFonts w:ascii="Century Schoolbook" w:eastAsia="Times New Roman" w:hAnsi="Century Schoolbook" w:cs="Times New Roman"/>
          <w:lang w:eastAsia="fr-FR"/>
        </w:rPr>
        <w:t>, which</w:t>
      </w:r>
      <w:r w:rsidR="002B2384">
        <w:rPr>
          <w:rFonts w:ascii="Century Schoolbook" w:eastAsia="Times New Roman" w:hAnsi="Century Schoolbook" w:cs="Times New Roman"/>
          <w:lang w:eastAsia="fr-FR"/>
        </w:rPr>
        <w:t xml:space="preserve"> we illustrate</w:t>
      </w:r>
      <w:r w:rsidR="000A403A" w:rsidRPr="00CE5A82">
        <w:rPr>
          <w:rFonts w:ascii="Century Schoolbook" w:eastAsia="Times New Roman" w:hAnsi="Century Schoolbook" w:cs="Times New Roman"/>
          <w:lang w:eastAsia="fr-FR"/>
        </w:rPr>
        <w:t xml:space="preserve"> in Figure 1.</w:t>
      </w:r>
      <w:r w:rsidR="000A403A" w:rsidRPr="00AB75FD">
        <w:rPr>
          <w:rFonts w:ascii="Century Schoolbook" w:eastAsia="Times New Roman" w:hAnsi="Century Schoolbook" w:cs="Times New Roman"/>
          <w:lang w:eastAsia="fr-FR"/>
        </w:rPr>
        <w:t xml:space="preserve"> In this example, we want to calculate the average time between recommendation revisions for an</w:t>
      </w:r>
      <w:r w:rsidR="00734125" w:rsidRPr="00AB75FD">
        <w:rPr>
          <w:rFonts w:ascii="Century Schoolbook" w:eastAsia="Times New Roman" w:hAnsi="Century Schoolbook" w:cs="Times New Roman"/>
          <w:lang w:eastAsia="fr-FR"/>
        </w:rPr>
        <w:t xml:space="preserve"> analyst-</w:t>
      </w:r>
      <w:r w:rsidR="000A403A" w:rsidRPr="00AB75FD">
        <w:rPr>
          <w:rFonts w:ascii="Century Schoolbook" w:eastAsia="Times New Roman" w:hAnsi="Century Schoolbook" w:cs="Times New Roman"/>
          <w:lang w:eastAsia="fr-FR"/>
        </w:rPr>
        <w:t xml:space="preserve">stock pair at the end of 1999. This particular analyst initiates the coverage in 1996. Based on December 31st 1999, this analyst has revised his recommendation three times with the last revision in 1998, which is 790 days after his coverage initiation. A </w:t>
      </w:r>
      <w:r w:rsidR="004344CE">
        <w:rPr>
          <w:rFonts w:ascii="Century Schoolbook" w:eastAsia="Times New Roman" w:hAnsi="Century Schoolbook" w:cs="Times New Roman"/>
          <w:lang w:eastAsia="fr-FR"/>
        </w:rPr>
        <w:t>naïve</w:t>
      </w:r>
      <w:r w:rsidR="000A403A" w:rsidRPr="00AB75FD">
        <w:rPr>
          <w:rFonts w:ascii="Century Schoolbook" w:eastAsia="Times New Roman" w:hAnsi="Century Schoolbook" w:cs="Times New Roman"/>
          <w:lang w:eastAsia="fr-FR"/>
        </w:rPr>
        <w:t xml:space="preserve"> calculation would suggest that this analyst revises his recommendation on this stock approximately every 263 (~790/3</w:t>
      </w:r>
      <w:r w:rsidR="00047B5B" w:rsidRPr="00AB75FD">
        <w:rPr>
          <w:rFonts w:ascii="Century Schoolbook" w:eastAsia="Times New Roman" w:hAnsi="Century Schoolbook" w:cs="Times New Roman"/>
          <w:lang w:eastAsia="fr-FR"/>
        </w:rPr>
        <w:t>) days. However, there is a 380-</w:t>
      </w:r>
      <w:r w:rsidR="000A403A" w:rsidRPr="00AB75FD">
        <w:rPr>
          <w:rFonts w:ascii="Century Schoolbook" w:eastAsia="Times New Roman" w:hAnsi="Century Schoolbook" w:cs="Times New Roman"/>
          <w:lang w:eastAsia="fr-FR"/>
        </w:rPr>
        <w:t>day gap between his 1998 revision and when we tr</w:t>
      </w:r>
      <w:r w:rsidR="00047B5B" w:rsidRPr="00AB75FD">
        <w:rPr>
          <w:rFonts w:ascii="Century Schoolbook" w:eastAsia="Times New Roman" w:hAnsi="Century Schoolbook" w:cs="Times New Roman"/>
          <w:lang w:eastAsia="fr-FR"/>
        </w:rPr>
        <w:t>uncate the</w:t>
      </w:r>
      <w:r w:rsidR="000A403A" w:rsidRPr="00AB75FD">
        <w:rPr>
          <w:rFonts w:ascii="Century Schoolbook" w:eastAsia="Times New Roman" w:hAnsi="Century Schoolbook" w:cs="Times New Roman"/>
          <w:lang w:eastAsia="fr-FR"/>
        </w:rPr>
        <w:t xml:space="preserve"> sample on Dec 31</w:t>
      </w:r>
      <w:r w:rsidR="000A403A" w:rsidRPr="00AB75FD">
        <w:rPr>
          <w:rFonts w:ascii="Century Schoolbook" w:eastAsia="Times New Roman" w:hAnsi="Century Schoolbook" w:cs="Times New Roman"/>
          <w:vertAlign w:val="superscript"/>
          <w:lang w:eastAsia="fr-FR"/>
        </w:rPr>
        <w:t>st</w:t>
      </w:r>
      <w:r w:rsidR="000A403A" w:rsidRPr="00AB75FD">
        <w:rPr>
          <w:rFonts w:ascii="Century Schoolbook" w:eastAsia="Times New Roman" w:hAnsi="Century Schoolbook" w:cs="Times New Roman"/>
          <w:lang w:eastAsia="fr-FR"/>
        </w:rPr>
        <w:t xml:space="preserve"> 1999.  Therefore, </w:t>
      </w:r>
      <w:r w:rsidR="002B2384">
        <w:rPr>
          <w:rFonts w:ascii="Century Schoolbook" w:eastAsia="Times New Roman" w:hAnsi="Century Schoolbook" w:cs="Times New Roman"/>
          <w:lang w:eastAsia="fr-FR"/>
        </w:rPr>
        <w:t xml:space="preserve">an </w:t>
      </w:r>
      <w:r w:rsidR="000A403A" w:rsidRPr="00AB75FD">
        <w:rPr>
          <w:rFonts w:ascii="Century Schoolbook" w:eastAsia="Times New Roman" w:hAnsi="Century Schoolbook" w:cs="Times New Roman"/>
          <w:lang w:eastAsia="fr-FR"/>
        </w:rPr>
        <w:t>exclusion of th</w:t>
      </w:r>
      <w:r w:rsidR="0038748A" w:rsidRPr="00AB75FD">
        <w:rPr>
          <w:rFonts w:ascii="Century Schoolbook" w:eastAsia="Times New Roman" w:hAnsi="Century Schoolbook" w:cs="Times New Roman"/>
          <w:lang w:eastAsia="fr-FR"/>
        </w:rPr>
        <w:t>is</w:t>
      </w:r>
      <w:r w:rsidR="00047B5B" w:rsidRPr="00AB75FD">
        <w:rPr>
          <w:rFonts w:ascii="Century Schoolbook" w:eastAsia="Times New Roman" w:hAnsi="Century Schoolbook" w:cs="Times New Roman"/>
          <w:lang w:eastAsia="fr-FR"/>
        </w:rPr>
        <w:t xml:space="preserve"> 380-day</w:t>
      </w:r>
      <w:r w:rsidR="000A403A" w:rsidRPr="00AB75FD">
        <w:rPr>
          <w:rFonts w:ascii="Century Schoolbook" w:eastAsia="Times New Roman" w:hAnsi="Century Schoolbook" w:cs="Times New Roman"/>
          <w:lang w:eastAsia="fr-FR"/>
        </w:rPr>
        <w:t xml:space="preserve"> </w:t>
      </w:r>
      <w:r w:rsidR="00047B5B" w:rsidRPr="00AB75FD">
        <w:rPr>
          <w:rFonts w:ascii="Century Schoolbook" w:eastAsia="Times New Roman" w:hAnsi="Century Schoolbook" w:cs="Times New Roman"/>
          <w:lang w:eastAsia="fr-FR"/>
        </w:rPr>
        <w:t xml:space="preserve">truncation </w:t>
      </w:r>
      <w:r w:rsidR="000A403A" w:rsidRPr="00AB75FD">
        <w:rPr>
          <w:rFonts w:ascii="Century Schoolbook" w:eastAsia="Times New Roman" w:hAnsi="Century Schoolbook" w:cs="Times New Roman"/>
          <w:lang w:eastAsia="fr-FR"/>
        </w:rPr>
        <w:t xml:space="preserve">gap </w:t>
      </w:r>
      <w:r w:rsidR="000F581E" w:rsidRPr="00AB75FD">
        <w:rPr>
          <w:rFonts w:ascii="Century Schoolbook" w:eastAsia="Times New Roman" w:hAnsi="Century Schoolbook" w:cs="Times New Roman"/>
          <w:lang w:eastAsia="fr-FR"/>
        </w:rPr>
        <w:lastRenderedPageBreak/>
        <w:t>will</w:t>
      </w:r>
      <w:r w:rsidR="000A403A" w:rsidRPr="00AB75FD">
        <w:rPr>
          <w:rFonts w:ascii="Century Schoolbook" w:eastAsia="Times New Roman" w:hAnsi="Century Schoolbook" w:cs="Times New Roman"/>
          <w:lang w:eastAsia="fr-FR"/>
        </w:rPr>
        <w:t xml:space="preserve"> result in an underestimation of </w:t>
      </w:r>
      <w:r w:rsidR="00047B5B" w:rsidRPr="00AB75FD">
        <w:rPr>
          <w:rFonts w:ascii="Century Schoolbook" w:eastAsia="Times New Roman" w:hAnsi="Century Schoolbook" w:cs="Times New Roman"/>
          <w:lang w:eastAsia="fr-FR"/>
        </w:rPr>
        <w:t xml:space="preserve">the </w:t>
      </w:r>
      <w:r w:rsidR="000A403A" w:rsidRPr="00AB75FD">
        <w:rPr>
          <w:rFonts w:ascii="Century Schoolbook" w:eastAsia="Times New Roman" w:hAnsi="Century Schoolbook" w:cs="Times New Roman"/>
          <w:lang w:eastAsia="fr-FR"/>
        </w:rPr>
        <w:t>time between recommendation revisions</w:t>
      </w:r>
      <w:r w:rsidR="00482ADF" w:rsidRPr="00482ADF">
        <w:rPr>
          <w:rFonts w:ascii="Century Schoolbook" w:eastAsia="Times New Roman" w:hAnsi="Century Schoolbook" w:cs="Times New Roman"/>
          <w:lang w:eastAsia="fr-FR"/>
        </w:rPr>
        <w:t xml:space="preserve">. </w:t>
      </w:r>
      <w:r w:rsidR="000A403A" w:rsidRPr="00482ADF">
        <w:rPr>
          <w:rFonts w:ascii="Century Schoolbook" w:eastAsia="Times New Roman" w:hAnsi="Century Schoolbook" w:cs="Times New Roman"/>
          <w:lang w:eastAsia="fr-FR"/>
        </w:rPr>
        <w:t xml:space="preserve">We </w:t>
      </w:r>
      <w:r w:rsidR="002B2384">
        <w:rPr>
          <w:rFonts w:ascii="Century Schoolbook" w:eastAsia="Times New Roman" w:hAnsi="Century Schoolbook" w:cs="Times New Roman"/>
          <w:lang w:eastAsia="fr-FR"/>
        </w:rPr>
        <w:t xml:space="preserve">adjust </w:t>
      </w:r>
      <w:r w:rsidR="00482ADF" w:rsidRPr="00482ADF">
        <w:rPr>
          <w:rFonts w:ascii="Century Schoolbook" w:eastAsia="Times New Roman" w:hAnsi="Century Schoolbook" w:cs="Times New Roman"/>
          <w:lang w:eastAsia="fr-FR"/>
        </w:rPr>
        <w:t xml:space="preserve">for this right-truncation bias </w:t>
      </w:r>
      <w:r w:rsidR="002B2384">
        <w:rPr>
          <w:rFonts w:ascii="Century Schoolbook" w:eastAsia="Times New Roman" w:hAnsi="Century Schoolbook" w:cs="Times New Roman"/>
          <w:lang w:eastAsia="fr-FR"/>
        </w:rPr>
        <w:t xml:space="preserve">when we calculate the average number of days between recommendation revisions for each analyst-stock pair. We discuss the procedure </w:t>
      </w:r>
      <w:r w:rsidR="00AC234A" w:rsidRPr="00482ADF">
        <w:rPr>
          <w:rFonts w:ascii="Century Schoolbook" w:eastAsia="Times New Roman" w:hAnsi="Century Schoolbook" w:cs="Times New Roman"/>
          <w:lang w:eastAsia="fr-FR"/>
        </w:rPr>
        <w:t>in Section B of the Online Appendix</w:t>
      </w:r>
      <w:r w:rsidR="000A403A" w:rsidRPr="00482ADF">
        <w:rPr>
          <w:rFonts w:ascii="Century Schoolbook" w:eastAsia="Times New Roman" w:hAnsi="Century Schoolbook" w:cs="Times New Roman"/>
          <w:lang w:eastAsia="fr-FR"/>
        </w:rPr>
        <w:t>.</w:t>
      </w:r>
    </w:p>
    <w:p w14:paraId="4EAF65FB" w14:textId="738CA7A7" w:rsidR="00E07011" w:rsidRPr="00C23EF3" w:rsidRDefault="007A76AB" w:rsidP="00C23EF3">
      <w:pPr>
        <w:spacing w:line="480" w:lineRule="auto"/>
        <w:jc w:val="center"/>
        <w:rPr>
          <w:rFonts w:ascii="Century Schoolbook" w:hAnsi="Century Schoolbook" w:cs="Times New Roman"/>
          <w:b/>
          <w:i/>
        </w:rPr>
      </w:pPr>
      <w:r w:rsidRPr="00C23EF3">
        <w:rPr>
          <w:rFonts w:ascii="Century Schoolbook" w:hAnsi="Century Schoolbook" w:cs="Times New Roman"/>
          <w:b/>
          <w:i/>
        </w:rPr>
        <w:t>S</w:t>
      </w:r>
      <w:r w:rsidR="009D7275" w:rsidRPr="00C23EF3">
        <w:rPr>
          <w:rFonts w:ascii="Century Schoolbook" w:hAnsi="Century Schoolbook" w:cs="Times New Roman"/>
          <w:b/>
          <w:i/>
        </w:rPr>
        <w:t xml:space="preserve">tep </w:t>
      </w:r>
      <w:r w:rsidRPr="00C23EF3">
        <w:rPr>
          <w:rFonts w:ascii="Century Schoolbook" w:hAnsi="Century Schoolbook" w:cs="Times New Roman"/>
          <w:b/>
          <w:i/>
        </w:rPr>
        <w:t>2:</w:t>
      </w:r>
      <w:r w:rsidR="007561D6" w:rsidRPr="00C23EF3">
        <w:rPr>
          <w:rFonts w:ascii="Century Schoolbook" w:hAnsi="Century Schoolbook" w:cs="Times New Roman"/>
          <w:b/>
          <w:i/>
        </w:rPr>
        <w:t xml:space="preserve"> </w:t>
      </w:r>
      <w:r w:rsidR="00033C3C" w:rsidRPr="00C23EF3">
        <w:rPr>
          <w:rFonts w:ascii="Century Schoolbook" w:hAnsi="Century Schoolbook" w:cs="Times New Roman"/>
          <w:b/>
          <w:i/>
        </w:rPr>
        <w:t>Rank</w:t>
      </w:r>
      <w:r w:rsidR="009E0456" w:rsidRPr="00C23EF3">
        <w:rPr>
          <w:rFonts w:ascii="Century Schoolbook" w:hAnsi="Century Schoolbook" w:cs="Times New Roman"/>
          <w:b/>
          <w:i/>
        </w:rPr>
        <w:t>ing</w:t>
      </w:r>
      <w:r w:rsidR="00E07011" w:rsidRPr="00C23EF3">
        <w:rPr>
          <w:rFonts w:ascii="Century Schoolbook" w:hAnsi="Century Schoolbook" w:cs="Times New Roman"/>
          <w:b/>
          <w:i/>
        </w:rPr>
        <w:t xml:space="preserve"> analysts</w:t>
      </w:r>
      <w:r w:rsidR="00053179" w:rsidRPr="00C23EF3">
        <w:rPr>
          <w:rFonts w:ascii="Century Schoolbook" w:hAnsi="Century Schoolbook" w:cs="Times New Roman"/>
          <w:b/>
          <w:i/>
        </w:rPr>
        <w:t>’ revision times</w:t>
      </w:r>
      <w:r w:rsidR="00E07011" w:rsidRPr="00C23EF3">
        <w:rPr>
          <w:rFonts w:ascii="Century Schoolbook" w:hAnsi="Century Schoolbook" w:cs="Times New Roman"/>
          <w:b/>
          <w:i/>
        </w:rPr>
        <w:t xml:space="preserve"> </w:t>
      </w:r>
      <w:r w:rsidR="00053179" w:rsidRPr="00C23EF3">
        <w:rPr>
          <w:rFonts w:ascii="Century Schoolbook" w:hAnsi="Century Schoolbook" w:cs="Times New Roman"/>
          <w:b/>
          <w:i/>
        </w:rPr>
        <w:t>stock by stock</w:t>
      </w:r>
    </w:p>
    <w:p w14:paraId="143A651B" w14:textId="6F64ABDE" w:rsidR="005A482B" w:rsidRDefault="009E0456" w:rsidP="00A00DFF">
      <w:pPr>
        <w:spacing w:line="480" w:lineRule="auto"/>
        <w:jc w:val="both"/>
        <w:rPr>
          <w:rFonts w:ascii="Century Schoolbook" w:eastAsia="Times New Roman" w:hAnsi="Century Schoolbook" w:cs="Times New Roman"/>
          <w:lang w:eastAsia="fr-FR"/>
        </w:rPr>
      </w:pPr>
      <w:r>
        <w:rPr>
          <w:rFonts w:ascii="Century Schoolbook" w:eastAsiaTheme="minorEastAsia" w:hAnsi="Century Schoolbook" w:cs="Times New Roman"/>
        </w:rPr>
        <w:t>We control for</w:t>
      </w:r>
      <w:r w:rsidR="009E4207" w:rsidRPr="00F27F5B">
        <w:rPr>
          <w:rFonts w:ascii="Century Schoolbook" w:eastAsiaTheme="minorEastAsia" w:hAnsi="Century Schoolbook" w:cs="Times New Roman"/>
        </w:rPr>
        <w:t xml:space="preserve"> </w:t>
      </w:r>
      <w:r w:rsidR="009677CC">
        <w:rPr>
          <w:rFonts w:ascii="Century Schoolbook" w:eastAsiaTheme="minorEastAsia" w:hAnsi="Century Schoolbook" w:cs="Times New Roman"/>
        </w:rPr>
        <w:t>firm</w:t>
      </w:r>
      <w:r w:rsidR="00DD6374" w:rsidRPr="00F27F5B">
        <w:rPr>
          <w:rFonts w:ascii="Century Schoolbook" w:eastAsiaTheme="minorEastAsia" w:hAnsi="Century Schoolbook" w:cs="Times New Roman"/>
        </w:rPr>
        <w:t xml:space="preserve"> characteristics</w:t>
      </w:r>
      <w:r w:rsidR="009677CC">
        <w:rPr>
          <w:rFonts w:ascii="Century Schoolbook" w:eastAsiaTheme="minorEastAsia" w:hAnsi="Century Schoolbook" w:cs="Times New Roman"/>
        </w:rPr>
        <w:t xml:space="preserve"> that may influence analysts to revise recommendations </w:t>
      </w:r>
      <w:r w:rsidR="00362CB5">
        <w:rPr>
          <w:rFonts w:ascii="Century Schoolbook" w:eastAsiaTheme="minorEastAsia" w:hAnsi="Century Schoolbook" w:cs="Times New Roman"/>
        </w:rPr>
        <w:t xml:space="preserve">on </w:t>
      </w:r>
      <w:r w:rsidR="005A482B">
        <w:rPr>
          <w:rFonts w:ascii="Century Schoolbook" w:eastAsiaTheme="minorEastAsia" w:hAnsi="Century Schoolbook" w:cs="Times New Roman"/>
        </w:rPr>
        <w:t>the</w:t>
      </w:r>
      <w:r w:rsidR="00362CB5">
        <w:rPr>
          <w:rFonts w:ascii="Century Schoolbook" w:eastAsiaTheme="minorEastAsia" w:hAnsi="Century Schoolbook" w:cs="Times New Roman"/>
        </w:rPr>
        <w:t xml:space="preserve"> </w:t>
      </w:r>
      <w:r w:rsidR="000809EA">
        <w:rPr>
          <w:rFonts w:ascii="Century Schoolbook" w:eastAsiaTheme="minorEastAsia" w:hAnsi="Century Schoolbook" w:cs="Times New Roman"/>
        </w:rPr>
        <w:t xml:space="preserve">same </w:t>
      </w:r>
      <w:r w:rsidR="00362CB5">
        <w:rPr>
          <w:rFonts w:ascii="Century Schoolbook" w:eastAsiaTheme="minorEastAsia" w:hAnsi="Century Schoolbook" w:cs="Times New Roman"/>
        </w:rPr>
        <w:t xml:space="preserve">stock </w:t>
      </w:r>
      <w:r>
        <w:rPr>
          <w:rFonts w:ascii="Century Schoolbook" w:eastAsiaTheme="minorEastAsia" w:hAnsi="Century Schoolbook" w:cs="Times New Roman"/>
        </w:rPr>
        <w:t xml:space="preserve">more (or less) frequently </w:t>
      </w:r>
      <w:r w:rsidR="00362CB5">
        <w:rPr>
          <w:rFonts w:ascii="Century Schoolbook" w:eastAsiaTheme="minorEastAsia" w:hAnsi="Century Schoolbook" w:cs="Times New Roman"/>
        </w:rPr>
        <w:t xml:space="preserve">over </w:t>
      </w:r>
      <w:r w:rsidR="0083403C">
        <w:rPr>
          <w:rFonts w:ascii="Century Schoolbook" w:eastAsiaTheme="minorEastAsia" w:hAnsi="Century Schoolbook" w:cs="Times New Roman"/>
        </w:rPr>
        <w:t xml:space="preserve">a </w:t>
      </w:r>
      <w:r w:rsidR="00925C1C">
        <w:rPr>
          <w:rFonts w:ascii="Century Schoolbook" w:eastAsiaTheme="minorEastAsia" w:hAnsi="Century Schoolbook" w:cs="Times New Roman"/>
        </w:rPr>
        <w:t>similar</w:t>
      </w:r>
      <w:r w:rsidR="00AE4FAA">
        <w:rPr>
          <w:rFonts w:ascii="Century Schoolbook" w:eastAsiaTheme="minorEastAsia" w:hAnsi="Century Schoolbook" w:cs="Times New Roman"/>
        </w:rPr>
        <w:t xml:space="preserve"> </w:t>
      </w:r>
      <w:r>
        <w:rPr>
          <w:rFonts w:ascii="Century Schoolbook" w:eastAsiaTheme="minorEastAsia" w:hAnsi="Century Schoolbook" w:cs="Times New Roman"/>
        </w:rPr>
        <w:t>period. To do so, we sort</w:t>
      </w:r>
      <w:r w:rsidR="002D467F" w:rsidRPr="00AB75FD">
        <w:rPr>
          <w:rFonts w:ascii="Century Schoolbook" w:eastAsia="Times New Roman" w:hAnsi="Century Schoolbook" w:cs="Times New Roman"/>
          <w:lang w:eastAsia="fr-FR"/>
        </w:rPr>
        <w:t xml:space="preserve"> all analysts covering the </w:t>
      </w:r>
      <w:r w:rsidR="002D467F" w:rsidRPr="00AB75FD">
        <w:rPr>
          <w:rFonts w:ascii="Century Schoolbook" w:eastAsia="Times New Roman" w:hAnsi="Century Schoolbook" w:cs="Times New Roman"/>
          <w:i/>
          <w:lang w:eastAsia="fr-FR"/>
        </w:rPr>
        <w:t xml:space="preserve">same </w:t>
      </w:r>
      <w:r w:rsidR="00E354EB" w:rsidRPr="00AB75FD">
        <w:rPr>
          <w:rFonts w:ascii="Century Schoolbook" w:eastAsia="Times New Roman" w:hAnsi="Century Schoolbook" w:cs="Times New Roman"/>
          <w:i/>
          <w:lang w:eastAsia="fr-FR"/>
        </w:rPr>
        <w:t>stock</w:t>
      </w:r>
      <w:r w:rsidR="00E354EB" w:rsidRPr="00AB75FD">
        <w:rPr>
          <w:rFonts w:ascii="Century Schoolbook" w:eastAsia="Times New Roman" w:hAnsi="Century Schoolbook" w:cs="Times New Roman"/>
          <w:lang w:eastAsia="fr-FR"/>
        </w:rPr>
        <w:t xml:space="preserve"> into quartiles based on the</w:t>
      </w:r>
      <w:r>
        <w:rPr>
          <w:rFonts w:ascii="Century Schoolbook" w:eastAsia="Times New Roman" w:hAnsi="Century Schoolbook" w:cs="Times New Roman"/>
          <w:lang w:eastAsia="fr-FR"/>
        </w:rPr>
        <w:t>ir</w:t>
      </w:r>
      <w:r w:rsidR="00E354EB" w:rsidRPr="00AB75FD">
        <w:rPr>
          <w:rFonts w:ascii="Century Schoolbook" w:eastAsia="Times New Roman" w:hAnsi="Century Schoolbook" w:cs="Times New Roman"/>
          <w:lang w:eastAsia="fr-FR"/>
        </w:rPr>
        <w:t xml:space="preserve"> </w:t>
      </w:r>
      <w:r w:rsidR="00E354EB" w:rsidRPr="00F27F5B">
        <w:rPr>
          <w:rFonts w:ascii="Century Schoolbook" w:eastAsiaTheme="minorEastAsia" w:hAnsi="Century Schoolbook" w:cs="Times New Roman"/>
        </w:rPr>
        <w:t>average revisions time</w:t>
      </w:r>
      <w:r w:rsidR="00E354EB" w:rsidRPr="00AB75FD">
        <w:rPr>
          <w:rFonts w:ascii="Century Schoolbook" w:eastAsia="Times New Roman" w:hAnsi="Century Schoolbook" w:cs="Times New Roman"/>
          <w:lang w:eastAsia="fr-FR"/>
        </w:rPr>
        <w:t xml:space="preserve">, i.e. from fastest </w:t>
      </w:r>
      <w:r w:rsidR="00B512D9" w:rsidRPr="00AB75FD">
        <w:rPr>
          <w:rFonts w:ascii="Century Schoolbook" w:eastAsia="Times New Roman" w:hAnsi="Century Schoolbook" w:cs="Times New Roman"/>
          <w:lang w:eastAsia="fr-FR"/>
        </w:rPr>
        <w:t>(top 25</w:t>
      </w:r>
      <w:r w:rsidR="00B512D9" w:rsidRPr="00AB75FD">
        <w:rPr>
          <w:rFonts w:ascii="Century Schoolbook" w:eastAsia="Times New Roman" w:hAnsi="Century Schoolbook" w:cs="Times New Roman"/>
          <w:vertAlign w:val="superscript"/>
          <w:lang w:eastAsia="fr-FR"/>
        </w:rPr>
        <w:t>th</w:t>
      </w:r>
      <w:r w:rsidR="00B512D9" w:rsidRPr="00AB75FD">
        <w:rPr>
          <w:rFonts w:ascii="Century Schoolbook" w:eastAsia="Times New Roman" w:hAnsi="Century Schoolbook" w:cs="Times New Roman"/>
          <w:lang w:eastAsia="fr-FR"/>
        </w:rPr>
        <w:t xml:space="preserve"> percentile) </w:t>
      </w:r>
      <w:r w:rsidR="00E354EB" w:rsidRPr="00AB75FD">
        <w:rPr>
          <w:rFonts w:ascii="Century Schoolbook" w:eastAsia="Times New Roman" w:hAnsi="Century Schoolbook" w:cs="Times New Roman"/>
          <w:lang w:eastAsia="fr-FR"/>
        </w:rPr>
        <w:t>to slowest</w:t>
      </w:r>
      <w:r w:rsidR="00B512D9" w:rsidRPr="00AB75FD">
        <w:rPr>
          <w:rFonts w:ascii="Century Schoolbook" w:eastAsia="Times New Roman" w:hAnsi="Century Schoolbook" w:cs="Times New Roman"/>
          <w:lang w:eastAsia="fr-FR"/>
        </w:rPr>
        <w:t xml:space="preserve"> (bottom 25</w:t>
      </w:r>
      <w:r w:rsidR="00B512D9" w:rsidRPr="00AB75FD">
        <w:rPr>
          <w:rFonts w:ascii="Century Schoolbook" w:eastAsia="Times New Roman" w:hAnsi="Century Schoolbook" w:cs="Times New Roman"/>
          <w:vertAlign w:val="superscript"/>
          <w:lang w:eastAsia="fr-FR"/>
        </w:rPr>
        <w:t>th</w:t>
      </w:r>
      <w:r w:rsidR="00B512D9" w:rsidRPr="00AB75FD">
        <w:rPr>
          <w:rFonts w:ascii="Century Schoolbook" w:eastAsia="Times New Roman" w:hAnsi="Century Schoolbook" w:cs="Times New Roman"/>
          <w:lang w:eastAsia="fr-FR"/>
        </w:rPr>
        <w:t xml:space="preserve"> percentile)</w:t>
      </w:r>
      <w:r w:rsidR="00E354EB" w:rsidRPr="00AB75FD">
        <w:rPr>
          <w:rFonts w:ascii="Century Schoolbook" w:eastAsia="Times New Roman" w:hAnsi="Century Schoolbook" w:cs="Times New Roman"/>
          <w:lang w:eastAsia="fr-FR"/>
        </w:rPr>
        <w:t xml:space="preserve">. </w:t>
      </w:r>
      <w:r w:rsidR="004F1122">
        <w:rPr>
          <w:rFonts w:ascii="Century Schoolbook" w:eastAsia="Times New Roman" w:hAnsi="Century Schoolbook" w:cs="Times New Roman"/>
          <w:lang w:eastAsia="fr-FR"/>
        </w:rPr>
        <w:t xml:space="preserve">The </w:t>
      </w:r>
      <w:r w:rsidR="000809EA">
        <w:rPr>
          <w:rFonts w:ascii="Century Schoolbook" w:eastAsia="Times New Roman" w:hAnsi="Century Schoolbook" w:cs="Times New Roman"/>
          <w:lang w:eastAsia="fr-FR"/>
        </w:rPr>
        <w:t xml:space="preserve">sorting </w:t>
      </w:r>
      <w:r w:rsidR="004F1122">
        <w:rPr>
          <w:rFonts w:ascii="Century Schoolbook" w:eastAsia="Times New Roman" w:hAnsi="Century Schoolbook" w:cs="Times New Roman"/>
          <w:lang w:eastAsia="fr-FR"/>
        </w:rPr>
        <w:t xml:space="preserve">is done annually </w:t>
      </w:r>
      <w:r w:rsidR="00254F78">
        <w:rPr>
          <w:rFonts w:ascii="Century Schoolbook" w:eastAsia="Times New Roman" w:hAnsi="Century Schoolbook" w:cs="Times New Roman"/>
          <w:lang w:eastAsia="fr-FR"/>
        </w:rPr>
        <w:t>using the biased-adjusted time between revisions</w:t>
      </w:r>
      <w:r w:rsidR="00970684">
        <w:rPr>
          <w:rFonts w:ascii="Century Schoolbook" w:eastAsia="Times New Roman" w:hAnsi="Century Schoolbook" w:cs="Times New Roman"/>
          <w:lang w:eastAsia="fr-FR"/>
        </w:rPr>
        <w:t xml:space="preserve"> </w:t>
      </w:r>
      <w:r w:rsidR="00543C41" w:rsidRPr="00543C41">
        <w:rPr>
          <w:rFonts w:ascii="Century Schoolbook" w:eastAsia="Times New Roman" w:hAnsi="Century Schoolbook" w:cs="Times New Roman"/>
          <w:lang w:eastAsia="fr-FR"/>
        </w:rPr>
        <w:t xml:space="preserve">that we </w:t>
      </w:r>
      <w:r w:rsidR="00970684" w:rsidRPr="00543C41">
        <w:rPr>
          <w:rFonts w:ascii="Century Schoolbook" w:eastAsia="Times New Roman" w:hAnsi="Century Schoolbook" w:cs="Times New Roman"/>
          <w:lang w:eastAsia="fr-FR"/>
        </w:rPr>
        <w:t>calculated</w:t>
      </w:r>
      <w:r w:rsidR="005A482B" w:rsidRPr="00543C41">
        <w:rPr>
          <w:rFonts w:ascii="Century Schoolbook" w:eastAsia="Times New Roman" w:hAnsi="Century Schoolbook" w:cs="Times New Roman"/>
          <w:lang w:eastAsia="fr-FR"/>
        </w:rPr>
        <w:t xml:space="preserve"> in </w:t>
      </w:r>
      <w:r w:rsidR="00675C03">
        <w:rPr>
          <w:rFonts w:ascii="Century Schoolbook" w:eastAsia="Times New Roman" w:hAnsi="Century Schoolbook" w:cs="Times New Roman"/>
          <w:lang w:eastAsia="fr-FR"/>
        </w:rPr>
        <w:t>Step 1</w:t>
      </w:r>
      <w:r w:rsidR="005A482B" w:rsidRPr="00543C41">
        <w:rPr>
          <w:rFonts w:ascii="Century Schoolbook" w:eastAsia="Times New Roman" w:hAnsi="Century Schoolbook" w:cs="Times New Roman"/>
          <w:lang w:eastAsia="fr-FR"/>
        </w:rPr>
        <w:t>.</w:t>
      </w:r>
    </w:p>
    <w:p w14:paraId="51D1049A" w14:textId="499DDF2A" w:rsidR="005F0DED" w:rsidRDefault="004F1122" w:rsidP="00A00DFF">
      <w:pPr>
        <w:spacing w:line="480" w:lineRule="auto"/>
        <w:ind w:firstLine="360"/>
        <w:jc w:val="both"/>
        <w:rPr>
          <w:rFonts w:ascii="Century Schoolbook" w:eastAsia="Times New Roman" w:hAnsi="Century Schoolbook" w:cs="Times New Roman"/>
          <w:lang w:eastAsia="fr-FR"/>
        </w:rPr>
      </w:pPr>
      <w:r>
        <w:rPr>
          <w:rFonts w:ascii="Century Schoolbook" w:eastAsia="Times New Roman" w:hAnsi="Century Schoolbook" w:cs="Times New Roman"/>
          <w:lang w:eastAsia="fr-FR"/>
        </w:rPr>
        <w:t>More formally, consider the</w:t>
      </w:r>
      <w:r w:rsidR="00254F78">
        <w:rPr>
          <w:rFonts w:ascii="Century Schoolbook" w:eastAsia="Times New Roman" w:hAnsi="Century Schoolbook" w:cs="Times New Roman"/>
          <w:lang w:eastAsia="fr-FR"/>
        </w:rPr>
        <w:t xml:space="preserve"> ranking </w:t>
      </w:r>
      <w:r>
        <w:rPr>
          <w:rFonts w:ascii="Century Schoolbook" w:eastAsia="Times New Roman" w:hAnsi="Century Schoolbook" w:cs="Times New Roman"/>
          <w:lang w:eastAsia="fr-FR"/>
        </w:rPr>
        <w:t xml:space="preserve">of analysts’ revision speed on stock </w:t>
      </w:r>
      <w:r>
        <w:rPr>
          <w:rFonts w:ascii="Century Schoolbook" w:eastAsia="Times New Roman" w:hAnsi="Century Schoolbook" w:cs="Times New Roman"/>
          <w:i/>
          <w:lang w:eastAsia="fr-FR"/>
        </w:rPr>
        <w:t xml:space="preserve">j </w:t>
      </w:r>
      <w:r w:rsidR="00254F78">
        <w:rPr>
          <w:rFonts w:ascii="Century Schoolbook" w:eastAsia="Times New Roman" w:hAnsi="Century Schoolbook" w:cs="Times New Roman"/>
          <w:lang w:eastAsia="fr-FR"/>
        </w:rPr>
        <w:t>in year 2000</w:t>
      </w:r>
      <w:r w:rsidR="00543C41">
        <w:rPr>
          <w:rFonts w:ascii="Century Schoolbook" w:eastAsia="Times New Roman" w:hAnsi="Century Schoolbook" w:cs="Times New Roman"/>
          <w:lang w:eastAsia="fr-FR"/>
        </w:rPr>
        <w:t>.  Here, w</w:t>
      </w:r>
      <w:r>
        <w:rPr>
          <w:rFonts w:ascii="Century Schoolbook" w:eastAsia="Times New Roman" w:hAnsi="Century Schoolbook" w:cs="Times New Roman"/>
          <w:lang w:eastAsia="fr-FR"/>
        </w:rPr>
        <w:t xml:space="preserve">e use analysts’ biased-adjusted time between recommendation revisions that were calculated in December 1999. </w:t>
      </w:r>
      <w:r w:rsidR="00615585">
        <w:rPr>
          <w:rFonts w:ascii="Century Schoolbook" w:eastAsia="Times New Roman" w:hAnsi="Century Schoolbook" w:cs="Times New Roman"/>
          <w:lang w:eastAsia="fr-FR"/>
        </w:rPr>
        <w:t>Let</w:t>
      </w:r>
      <m:oMath>
        <m:sSub>
          <m:sSubPr>
            <m:ctrlPr>
              <w:rPr>
                <w:rFonts w:ascii="Cambria Math" w:hAnsi="Cambria Math" w:cs="Times New Roman"/>
                <w:i/>
              </w:rPr>
            </m:ctrlPr>
          </m:sSubPr>
          <m:e>
            <m:r>
              <w:rPr>
                <w:rFonts w:ascii="Cambria Math" w:hAnsi="Cambria Math" w:cs="Times New Roman"/>
              </w:rPr>
              <m:t xml:space="preserve"> τ</m:t>
            </m:r>
          </m:e>
          <m:sub>
            <m:r>
              <w:rPr>
                <w:rFonts w:ascii="Cambria Math" w:hAnsi="Cambria Math" w:cs="Times New Roman"/>
              </w:rPr>
              <m:t>a,j</m:t>
            </m:r>
          </m:sub>
        </m:sSub>
      </m:oMath>
      <w:r w:rsidR="00235BFB" w:rsidRPr="00F27F5B">
        <w:rPr>
          <w:rFonts w:ascii="Century Schoolbook" w:eastAsiaTheme="minorEastAsia" w:hAnsi="Century Schoolbook" w:cs="Times New Roman"/>
        </w:rPr>
        <w:t xml:space="preserve"> denote the bias</w:t>
      </w:r>
      <w:r w:rsidR="00827B73">
        <w:rPr>
          <w:rFonts w:ascii="Century Schoolbook" w:eastAsiaTheme="minorEastAsia" w:hAnsi="Century Schoolbook" w:cs="Times New Roman"/>
        </w:rPr>
        <w:t>-</w:t>
      </w:r>
      <w:r w:rsidR="00235BFB" w:rsidRPr="00F27F5B">
        <w:rPr>
          <w:rFonts w:ascii="Century Schoolbook" w:eastAsiaTheme="minorEastAsia" w:hAnsi="Century Schoolbook" w:cs="Times New Roman"/>
        </w:rPr>
        <w:t xml:space="preserve">corrected average revision time of analyst </w:t>
      </w:r>
      <w:proofErr w:type="spellStart"/>
      <w:r w:rsidR="00235BFB" w:rsidRPr="00F27F5B">
        <w:rPr>
          <w:rFonts w:ascii="Century Schoolbook" w:eastAsiaTheme="minorEastAsia" w:hAnsi="Century Schoolbook" w:cs="Times New Roman"/>
          <w:i/>
        </w:rPr>
        <w:t>a</w:t>
      </w:r>
      <w:proofErr w:type="spellEnd"/>
      <w:r w:rsidR="00235BFB" w:rsidRPr="00F27F5B">
        <w:rPr>
          <w:rFonts w:ascii="Century Schoolbook" w:eastAsiaTheme="minorEastAsia" w:hAnsi="Century Schoolbook" w:cs="Times New Roman"/>
          <w:i/>
        </w:rPr>
        <w:t xml:space="preserve"> </w:t>
      </w:r>
      <w:r w:rsidR="00235BFB" w:rsidRPr="00096ABD">
        <w:rPr>
          <w:rFonts w:ascii="Century Schoolbook" w:eastAsiaTheme="minorEastAsia" w:hAnsi="Century Schoolbook" w:cs="Times New Roman"/>
        </w:rPr>
        <w:t xml:space="preserve">on stock </w:t>
      </w:r>
      <w:r>
        <w:rPr>
          <w:rFonts w:ascii="Century Schoolbook" w:eastAsiaTheme="minorEastAsia" w:hAnsi="Century Schoolbook" w:cs="Times New Roman"/>
          <w:i/>
        </w:rPr>
        <w:t>j</w:t>
      </w:r>
      <w:r w:rsidR="00B512D9" w:rsidRPr="00F27F5B">
        <w:rPr>
          <w:rFonts w:ascii="Century Schoolbook" w:eastAsiaTheme="minorEastAsia" w:hAnsi="Century Schoolbook" w:cs="Times New Roman"/>
        </w:rPr>
        <w:t xml:space="preserve">, </w:t>
      </w:r>
      <w:r w:rsidR="00615585">
        <w:rPr>
          <w:rFonts w:ascii="Century Schoolbook" w:eastAsiaTheme="minorEastAsia" w:hAnsi="Century Schoolbook" w:cs="Times New Roman"/>
        </w:rPr>
        <w:t xml:space="preserve">and assuming </w:t>
      </w:r>
      <w:r w:rsidR="00615585">
        <w:rPr>
          <w:rFonts w:ascii="Century Schoolbook" w:eastAsia="Times New Roman" w:hAnsi="Century Schoolbook" w:cs="Times New Roman"/>
          <w:lang w:eastAsia="fr-FR"/>
        </w:rPr>
        <w:t xml:space="preserve">that there are </w:t>
      </w:r>
      <w:proofErr w:type="spellStart"/>
      <w:r w:rsidR="00615585" w:rsidRPr="00096ABD">
        <w:rPr>
          <w:rFonts w:ascii="Century Schoolbook" w:eastAsiaTheme="minorEastAsia" w:hAnsi="Century Schoolbook" w:cs="Times New Roman"/>
          <w:i/>
        </w:rPr>
        <w:t>A</w:t>
      </w:r>
      <w:r w:rsidR="00615585" w:rsidRPr="00096ABD">
        <w:rPr>
          <w:rFonts w:ascii="Century Schoolbook" w:eastAsiaTheme="minorEastAsia" w:hAnsi="Century Schoolbook" w:cs="Times New Roman"/>
          <w:i/>
          <w:vertAlign w:val="subscript"/>
        </w:rPr>
        <w:t>j</w:t>
      </w:r>
      <w:proofErr w:type="spellEnd"/>
      <w:r w:rsidR="00615585">
        <w:rPr>
          <w:rFonts w:ascii="Century Schoolbook" w:eastAsia="Times New Roman" w:hAnsi="Century Schoolbook" w:cs="Times New Roman"/>
          <w:lang w:eastAsia="fr-FR"/>
        </w:rPr>
        <w:t xml:space="preserve"> analysts covering this stock </w:t>
      </w:r>
      <w:r w:rsidR="00615585">
        <w:rPr>
          <w:rFonts w:ascii="Century Schoolbook" w:eastAsia="Times New Roman" w:hAnsi="Century Schoolbook" w:cs="Times New Roman"/>
          <w:i/>
          <w:lang w:eastAsia="fr-FR"/>
        </w:rPr>
        <w:t>j</w:t>
      </w:r>
      <w:r w:rsidR="00615585">
        <w:rPr>
          <w:rFonts w:ascii="Century Schoolbook" w:eastAsia="Times New Roman" w:hAnsi="Century Schoolbook" w:cs="Times New Roman"/>
          <w:lang w:eastAsia="fr-FR"/>
        </w:rPr>
        <w:t xml:space="preserve">. </w:t>
      </w:r>
      <w:r w:rsidR="00615585">
        <w:rPr>
          <w:rFonts w:ascii="Century Schoolbook" w:eastAsiaTheme="minorEastAsia" w:hAnsi="Century Schoolbook" w:cs="Times New Roman"/>
        </w:rPr>
        <w:t>W</w:t>
      </w:r>
      <w:r w:rsidR="005F0DED" w:rsidRPr="00096ABD">
        <w:rPr>
          <w:rFonts w:ascii="Century Schoolbook" w:eastAsiaTheme="minorEastAsia" w:hAnsi="Century Schoolbook" w:cs="Times New Roman"/>
        </w:rPr>
        <w:t xml:space="preserve">e sort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a,j</m:t>
            </m:r>
          </m:sub>
        </m:sSub>
        <m:r>
          <w:rPr>
            <w:rFonts w:ascii="Cambria Math" w:hAnsi="Cambria Math" w:cs="Times New Roman"/>
          </w:rPr>
          <m:t xml:space="preserve"> </m:t>
        </m:r>
      </m:oMath>
      <w:r w:rsidR="005F0DED" w:rsidRPr="00F27F5B">
        <w:rPr>
          <w:rFonts w:ascii="Century Schoolbook" w:eastAsiaTheme="minorEastAsia" w:hAnsi="Century Schoolbook" w:cs="Times New Roman"/>
        </w:rPr>
        <w:t xml:space="preserve">across </w:t>
      </w:r>
      <w:proofErr w:type="spellStart"/>
      <w:r w:rsidR="005F0DED" w:rsidRPr="00096ABD">
        <w:rPr>
          <w:rFonts w:ascii="Century Schoolbook" w:eastAsiaTheme="minorEastAsia" w:hAnsi="Century Schoolbook" w:cs="Times New Roman"/>
          <w:i/>
        </w:rPr>
        <w:t>A</w:t>
      </w:r>
      <w:r w:rsidR="005F0DED" w:rsidRPr="00096ABD">
        <w:rPr>
          <w:rFonts w:ascii="Century Schoolbook" w:eastAsiaTheme="minorEastAsia" w:hAnsi="Century Schoolbook" w:cs="Times New Roman"/>
          <w:i/>
          <w:vertAlign w:val="subscript"/>
        </w:rPr>
        <w:t>j</w:t>
      </w:r>
      <w:proofErr w:type="spellEnd"/>
      <w:r w:rsidR="005F0DED" w:rsidRPr="00096ABD">
        <w:rPr>
          <w:rFonts w:ascii="Century Schoolbook" w:eastAsiaTheme="minorEastAsia" w:hAnsi="Century Schoolbook" w:cs="Times New Roman"/>
          <w:i/>
          <w:vertAlign w:val="subscript"/>
        </w:rPr>
        <w:t xml:space="preserve"> </w:t>
      </w:r>
      <w:r w:rsidR="005F0DED" w:rsidRPr="007953BB">
        <w:rPr>
          <w:rFonts w:ascii="Century Schoolbook" w:eastAsiaTheme="minorEastAsia" w:hAnsi="Century Schoolbook" w:cs="Times New Roman"/>
        </w:rPr>
        <w:t xml:space="preserve">analysts into four </w:t>
      </w:r>
      <w:r w:rsidR="000F581E" w:rsidRPr="007953BB">
        <w:rPr>
          <w:rFonts w:ascii="Century Schoolbook" w:eastAsiaTheme="minorEastAsia" w:hAnsi="Century Schoolbook" w:cs="Times New Roman"/>
        </w:rPr>
        <w:t>equal groups</w:t>
      </w:r>
      <w:r w:rsidR="005F0DED" w:rsidRPr="003C3E50">
        <w:rPr>
          <w:rFonts w:ascii="Century Schoolbook" w:eastAsiaTheme="minorEastAsia" w:hAnsi="Century Schoolbook" w:cs="Times New Roman"/>
        </w:rPr>
        <w:t xml:space="preserve"> from </w:t>
      </w:r>
      <w:r w:rsidR="005861A0">
        <w:rPr>
          <w:rFonts w:ascii="Century Schoolbook" w:eastAsiaTheme="minorEastAsia" w:hAnsi="Century Schoolbook" w:cs="Times New Roman"/>
        </w:rPr>
        <w:t xml:space="preserve">smallest </w:t>
      </w:r>
      <w:r w:rsidR="00581AE3">
        <w:rPr>
          <w:rFonts w:ascii="Century Schoolbook" w:eastAsiaTheme="minorEastAsia" w:hAnsi="Century Schoolbook" w:cs="Times New Roman"/>
        </w:rPr>
        <w:t>(fastest)</w:t>
      </w:r>
      <w:r w:rsidR="005F0DED" w:rsidRPr="003C3E50">
        <w:rPr>
          <w:rFonts w:ascii="Century Schoolbook" w:eastAsiaTheme="minorEastAsia" w:hAnsi="Century Schoolbook" w:cs="Times New Roman"/>
        </w:rPr>
        <w:t xml:space="preserve"> to largest</w:t>
      </w:r>
      <w:r w:rsidR="00664A69">
        <w:rPr>
          <w:rFonts w:ascii="Century Schoolbook" w:eastAsiaTheme="minorEastAsia" w:hAnsi="Century Schoolbook" w:cs="Times New Roman"/>
        </w:rPr>
        <w:t xml:space="preserve"> (slowest</w:t>
      </w:r>
      <w:r w:rsidR="00581AE3">
        <w:rPr>
          <w:rFonts w:ascii="Century Schoolbook" w:eastAsiaTheme="minorEastAsia" w:hAnsi="Century Schoolbook" w:cs="Times New Roman"/>
        </w:rPr>
        <w:t>)</w:t>
      </w:r>
      <w:r w:rsidR="005F0DED" w:rsidRPr="003C3E50">
        <w:rPr>
          <w:rFonts w:ascii="Century Schoolbook" w:eastAsiaTheme="minorEastAsia" w:hAnsi="Century Schoolbook" w:cs="Times New Roman"/>
        </w:rPr>
        <w:t xml:space="preserve">. </w:t>
      </w:r>
      <w:r w:rsidR="00543C41">
        <w:rPr>
          <w:rFonts w:ascii="Century Schoolbook" w:eastAsiaTheme="minorEastAsia" w:hAnsi="Century Schoolbook" w:cs="Times New Roman"/>
        </w:rPr>
        <w:t>We repeat t</w:t>
      </w:r>
      <w:r w:rsidR="00816ED3" w:rsidRPr="00AB75FD">
        <w:rPr>
          <w:rFonts w:ascii="Century Schoolbook" w:eastAsia="Times New Roman" w:hAnsi="Century Schoolbook" w:cs="Times New Roman"/>
          <w:lang w:eastAsia="fr-FR"/>
        </w:rPr>
        <w:t xml:space="preserve">his procedure </w:t>
      </w:r>
      <w:r w:rsidR="00BC56A5">
        <w:rPr>
          <w:rFonts w:ascii="Century Schoolbook" w:eastAsia="Times New Roman" w:hAnsi="Century Schoolbook" w:cs="Times New Roman"/>
          <w:lang w:eastAsia="fr-FR"/>
        </w:rPr>
        <w:t>for</w:t>
      </w:r>
      <w:r w:rsidR="00816ED3" w:rsidRPr="00AB75FD">
        <w:rPr>
          <w:rFonts w:ascii="Century Schoolbook" w:eastAsia="Times New Roman" w:hAnsi="Century Schoolbook" w:cs="Times New Roman"/>
          <w:lang w:eastAsia="fr-FR"/>
        </w:rPr>
        <w:t xml:space="preserve"> all the stocks </w:t>
      </w:r>
      <w:r w:rsidR="00816ED3" w:rsidRPr="00F27F5B">
        <w:rPr>
          <w:rFonts w:ascii="Century Schoolbook" w:eastAsia="Times New Roman" w:hAnsi="Century Schoolbook" w:cs="Times New Roman"/>
          <w:i/>
        </w:rPr>
        <w:t>j</w:t>
      </w:r>
      <w:r w:rsidR="00BC56A5">
        <w:rPr>
          <w:rFonts w:ascii="Century Schoolbook" w:eastAsia="Times New Roman" w:hAnsi="Century Schoolbook" w:cs="Times New Roman"/>
        </w:rPr>
        <w:t xml:space="preserve"> annually from 1996 to 2013. </w:t>
      </w:r>
      <w:r w:rsidR="005A482B">
        <w:rPr>
          <w:rFonts w:ascii="Century Schoolbook" w:eastAsia="Times New Roman" w:hAnsi="Century Schoolbook" w:cs="Times New Roman"/>
          <w:lang w:eastAsia="fr-FR"/>
        </w:rPr>
        <w:t xml:space="preserve">As we move forward </w:t>
      </w:r>
      <w:r w:rsidR="00400427">
        <w:rPr>
          <w:rFonts w:ascii="Century Schoolbook" w:eastAsia="Times New Roman" w:hAnsi="Century Schoolbook" w:cs="Times New Roman"/>
          <w:lang w:eastAsia="fr-FR"/>
        </w:rPr>
        <w:t xml:space="preserve">each </w:t>
      </w:r>
      <w:r w:rsidR="005A482B">
        <w:rPr>
          <w:rFonts w:ascii="Century Schoolbook" w:eastAsia="Times New Roman" w:hAnsi="Century Schoolbook" w:cs="Times New Roman"/>
          <w:lang w:eastAsia="fr-FR"/>
        </w:rPr>
        <w:t xml:space="preserve">year, </w:t>
      </w:r>
      <w:r w:rsidR="00BC56A5">
        <w:rPr>
          <w:rFonts w:ascii="Century Schoolbook" w:eastAsia="Times New Roman" w:hAnsi="Century Schoolbook" w:cs="Times New Roman"/>
          <w:lang w:eastAsia="fr-FR"/>
        </w:rPr>
        <w:t>an</w:t>
      </w:r>
      <w:r w:rsidR="005A482B">
        <w:rPr>
          <w:rFonts w:ascii="Century Schoolbook" w:eastAsia="Times New Roman" w:hAnsi="Century Schoolbook" w:cs="Times New Roman"/>
          <w:lang w:eastAsia="fr-FR"/>
        </w:rPr>
        <w:t xml:space="preserve"> additional year of recommendation-change records</w:t>
      </w:r>
      <w:r w:rsidR="00BC56A5">
        <w:rPr>
          <w:rFonts w:ascii="Century Schoolbook" w:eastAsia="Times New Roman" w:hAnsi="Century Schoolbook" w:cs="Times New Roman"/>
          <w:lang w:eastAsia="fr-FR"/>
        </w:rPr>
        <w:t xml:space="preserve"> </w:t>
      </w:r>
      <w:r w:rsidR="00400427">
        <w:rPr>
          <w:rFonts w:ascii="Century Schoolbook" w:eastAsia="Times New Roman" w:hAnsi="Century Schoolbook" w:cs="Times New Roman"/>
          <w:lang w:eastAsia="fr-FR"/>
        </w:rPr>
        <w:t xml:space="preserve">is </w:t>
      </w:r>
      <w:r w:rsidR="00BC56A5">
        <w:rPr>
          <w:rFonts w:ascii="Century Schoolbook" w:eastAsia="Times New Roman" w:hAnsi="Century Schoolbook" w:cs="Times New Roman"/>
          <w:lang w:eastAsia="fr-FR"/>
        </w:rPr>
        <w:t>a</w:t>
      </w:r>
      <w:r w:rsidR="00400427">
        <w:rPr>
          <w:rFonts w:ascii="Century Schoolbook" w:eastAsia="Times New Roman" w:hAnsi="Century Schoolbook" w:cs="Times New Roman"/>
          <w:lang w:eastAsia="fr-FR"/>
        </w:rPr>
        <w:t>dded to the ranking</w:t>
      </w:r>
      <w:r w:rsidR="00400427">
        <w:rPr>
          <w:rFonts w:ascii="Century Schoolbook" w:eastAsia="Times New Roman" w:hAnsi="Century Schoolbook" w:cs="Times New Roman"/>
        </w:rPr>
        <w:t xml:space="preserve"> method.</w:t>
      </w:r>
      <w:r w:rsidR="00BC56A5">
        <w:rPr>
          <w:rFonts w:ascii="Century Schoolbook" w:eastAsia="Times New Roman" w:hAnsi="Century Schoolbook" w:cs="Times New Roman"/>
        </w:rPr>
        <w:t xml:space="preserve"> </w:t>
      </w:r>
      <w:r w:rsidR="005F0DED" w:rsidRPr="00F27F5B">
        <w:rPr>
          <w:rFonts w:ascii="Century Schoolbook" w:eastAsia="Times New Roman" w:hAnsi="Century Schoolbook" w:cs="Times New Roman"/>
        </w:rPr>
        <w:t xml:space="preserve">As a result, we have </w:t>
      </w:r>
      <w:r w:rsidR="00615585">
        <w:rPr>
          <w:rFonts w:ascii="Century Schoolbook" w:eastAsia="Times New Roman" w:hAnsi="Century Schoolbook" w:cs="Times New Roman"/>
        </w:rPr>
        <w:t xml:space="preserve">out-of-sample revision-speed </w:t>
      </w:r>
      <w:r w:rsidR="005F0DED" w:rsidRPr="00F27F5B">
        <w:rPr>
          <w:rFonts w:ascii="Century Schoolbook" w:eastAsia="Times New Roman" w:hAnsi="Century Schoolbook" w:cs="Times New Roman"/>
        </w:rPr>
        <w:t xml:space="preserve">rankings (from fastest to </w:t>
      </w:r>
      <w:r w:rsidR="005F0DED" w:rsidRPr="00096ABD">
        <w:rPr>
          <w:rFonts w:ascii="Century Schoolbook" w:eastAsia="Times New Roman" w:hAnsi="Century Schoolbook" w:cs="Times New Roman"/>
        </w:rPr>
        <w:t>slowest quartiles) of all analyst</w:t>
      </w:r>
      <w:r w:rsidR="00827B73">
        <w:rPr>
          <w:rFonts w:ascii="Century Schoolbook" w:eastAsiaTheme="minorEastAsia" w:hAnsi="Century Schoolbook" w:cs="Times New Roman"/>
        </w:rPr>
        <w:t>-</w:t>
      </w:r>
      <w:r w:rsidR="005F0DED" w:rsidRPr="007953BB">
        <w:rPr>
          <w:rFonts w:ascii="Century Schoolbook" w:eastAsia="Times New Roman" w:hAnsi="Century Schoolbook" w:cs="Times New Roman"/>
        </w:rPr>
        <w:t xml:space="preserve">stock pairs in the sample. </w:t>
      </w:r>
    </w:p>
    <w:p w14:paraId="63A3D271" w14:textId="7DD7391E" w:rsidR="00235BFB" w:rsidRPr="002B51BA" w:rsidRDefault="007A76AB" w:rsidP="00C23EF3">
      <w:pPr>
        <w:spacing w:line="480" w:lineRule="auto"/>
        <w:jc w:val="center"/>
        <w:rPr>
          <w:rFonts w:ascii="Century Schoolbook" w:hAnsi="Century Schoolbook" w:cs="Times New Roman"/>
          <w:b/>
          <w:i/>
        </w:rPr>
      </w:pPr>
      <w:r>
        <w:rPr>
          <w:rFonts w:ascii="Century Schoolbook" w:hAnsi="Century Schoolbook" w:cs="Times New Roman"/>
          <w:b/>
          <w:i/>
        </w:rPr>
        <w:t>S</w:t>
      </w:r>
      <w:r w:rsidR="009D7275">
        <w:rPr>
          <w:rFonts w:ascii="Century Schoolbook" w:hAnsi="Century Schoolbook" w:cs="Times New Roman"/>
          <w:b/>
          <w:i/>
        </w:rPr>
        <w:t>tep</w:t>
      </w:r>
      <w:r>
        <w:rPr>
          <w:rFonts w:ascii="Century Schoolbook" w:hAnsi="Century Schoolbook" w:cs="Times New Roman"/>
          <w:b/>
          <w:i/>
        </w:rPr>
        <w:t xml:space="preserve"> 3: </w:t>
      </w:r>
      <w:r w:rsidR="00235BFB" w:rsidRPr="002B51BA">
        <w:rPr>
          <w:rFonts w:ascii="Century Schoolbook" w:hAnsi="Century Schoolbook" w:cs="Times New Roman"/>
          <w:b/>
          <w:i/>
        </w:rPr>
        <w:t xml:space="preserve">Identifying </w:t>
      </w:r>
      <w:r w:rsidR="00E36AFB">
        <w:rPr>
          <w:rFonts w:ascii="Century Schoolbook" w:hAnsi="Century Schoolbook" w:cs="Times New Roman"/>
          <w:b/>
          <w:i/>
        </w:rPr>
        <w:t xml:space="preserve">the </w:t>
      </w:r>
      <w:r w:rsidR="00235BFB" w:rsidRPr="002B51BA">
        <w:rPr>
          <w:rFonts w:ascii="Century Schoolbook" w:hAnsi="Century Schoolbook" w:cs="Times New Roman"/>
          <w:b/>
          <w:i/>
        </w:rPr>
        <w:t>speed-style</w:t>
      </w:r>
      <w:r w:rsidR="002B51BA">
        <w:rPr>
          <w:rFonts w:ascii="Century Schoolbook" w:hAnsi="Century Schoolbook" w:cs="Times New Roman"/>
          <w:b/>
          <w:i/>
        </w:rPr>
        <w:t xml:space="preserve"> </w:t>
      </w:r>
      <w:r w:rsidR="00E36AFB">
        <w:rPr>
          <w:rFonts w:ascii="Century Schoolbook" w:hAnsi="Century Schoolbook" w:cs="Times New Roman"/>
          <w:b/>
          <w:i/>
        </w:rPr>
        <w:t>of</w:t>
      </w:r>
      <w:r w:rsidR="002B51BA">
        <w:rPr>
          <w:rFonts w:ascii="Century Schoolbook" w:hAnsi="Century Schoolbook" w:cs="Times New Roman"/>
          <w:b/>
          <w:i/>
        </w:rPr>
        <w:t xml:space="preserve"> each analyst</w:t>
      </w:r>
    </w:p>
    <w:p w14:paraId="149CDFED" w14:textId="042254B8" w:rsidR="0062796D" w:rsidRDefault="00187F9D" w:rsidP="00FE1EAB">
      <w:pPr>
        <w:autoSpaceDE w:val="0"/>
        <w:autoSpaceDN w:val="0"/>
        <w:adjustRightInd w:val="0"/>
        <w:spacing w:after="0" w:line="480" w:lineRule="auto"/>
        <w:jc w:val="both"/>
        <w:rPr>
          <w:rFonts w:ascii="Century Schoolbook" w:eastAsia="Times New Roman" w:hAnsi="Century Schoolbook" w:cs="Times New Roman"/>
          <w:lang w:eastAsia="fr-FR"/>
        </w:rPr>
      </w:pPr>
      <w:r>
        <w:rPr>
          <w:rFonts w:ascii="Century Schoolbook" w:eastAsia="Times New Roman" w:hAnsi="Century Schoolbook" w:cs="Times New Roman"/>
          <w:lang w:eastAsia="fr-FR"/>
        </w:rPr>
        <w:t xml:space="preserve">Using the revision-speed ranking results from </w:t>
      </w:r>
      <w:r w:rsidR="00581AE3">
        <w:rPr>
          <w:rFonts w:ascii="Century Schoolbook" w:eastAsia="Times New Roman" w:hAnsi="Century Schoolbook" w:cs="Times New Roman"/>
          <w:lang w:eastAsia="fr-FR"/>
        </w:rPr>
        <w:t>Step 2</w:t>
      </w:r>
      <w:r>
        <w:rPr>
          <w:rFonts w:ascii="Century Schoolbook" w:eastAsia="Times New Roman" w:hAnsi="Century Schoolbook" w:cs="Times New Roman"/>
          <w:lang w:eastAsia="fr-FR"/>
        </w:rPr>
        <w:t>, w</w:t>
      </w:r>
      <w:r w:rsidR="00AF14F6">
        <w:rPr>
          <w:rFonts w:ascii="Century Schoolbook" w:eastAsia="Times New Roman" w:hAnsi="Century Schoolbook" w:cs="Times New Roman"/>
          <w:lang w:eastAsia="fr-FR"/>
        </w:rPr>
        <w:t xml:space="preserve">e </w:t>
      </w:r>
      <w:r w:rsidR="0076183D">
        <w:rPr>
          <w:rFonts w:ascii="Century Schoolbook" w:eastAsia="Times New Roman" w:hAnsi="Century Schoolbook" w:cs="Times New Roman"/>
          <w:lang w:eastAsia="fr-FR"/>
        </w:rPr>
        <w:t xml:space="preserve">statistically </w:t>
      </w:r>
      <w:r w:rsidR="007C331A" w:rsidRPr="00AB75FD">
        <w:rPr>
          <w:rFonts w:ascii="Century Schoolbook" w:eastAsia="Times New Roman" w:hAnsi="Century Schoolbook" w:cs="Times New Roman"/>
          <w:lang w:eastAsia="fr-FR"/>
        </w:rPr>
        <w:t>test</w:t>
      </w:r>
      <w:r w:rsidR="00AF14F6">
        <w:rPr>
          <w:rFonts w:ascii="Century Schoolbook" w:eastAsia="Times New Roman" w:hAnsi="Century Schoolbook" w:cs="Times New Roman"/>
          <w:lang w:eastAsia="fr-FR"/>
        </w:rPr>
        <w:t xml:space="preserve">, for each analyst, whether he </w:t>
      </w:r>
      <w:r w:rsidR="007C331A" w:rsidRPr="00AB75FD">
        <w:rPr>
          <w:rFonts w:ascii="Century Schoolbook" w:eastAsia="Times New Roman" w:hAnsi="Century Schoolbook" w:cs="Times New Roman"/>
          <w:lang w:eastAsia="fr-FR"/>
        </w:rPr>
        <w:t>exhibits</w:t>
      </w:r>
      <w:r w:rsidR="00235BFB" w:rsidRPr="00AB75FD">
        <w:rPr>
          <w:rFonts w:ascii="Century Schoolbook" w:eastAsia="Times New Roman" w:hAnsi="Century Schoolbook" w:cs="Times New Roman"/>
          <w:lang w:eastAsia="fr-FR"/>
        </w:rPr>
        <w:t xml:space="preserve"> </w:t>
      </w:r>
      <w:r w:rsidR="007C331A" w:rsidRPr="00AB75FD">
        <w:rPr>
          <w:rFonts w:ascii="Century Schoolbook" w:eastAsia="Times New Roman" w:hAnsi="Century Schoolbook" w:cs="Times New Roman"/>
          <w:lang w:eastAsia="fr-FR"/>
        </w:rPr>
        <w:t xml:space="preserve">a distinct </w:t>
      </w:r>
      <w:r w:rsidR="00CA1AAE">
        <w:rPr>
          <w:rFonts w:ascii="Century Schoolbook" w:eastAsia="Times New Roman" w:hAnsi="Century Schoolbook" w:cs="Times New Roman"/>
          <w:lang w:eastAsia="fr-FR"/>
        </w:rPr>
        <w:t>recommendation</w:t>
      </w:r>
      <w:r w:rsidR="00827B73">
        <w:rPr>
          <w:rFonts w:ascii="Century Schoolbook" w:eastAsiaTheme="minorEastAsia" w:hAnsi="Century Schoolbook" w:cs="Times New Roman"/>
        </w:rPr>
        <w:t>-</w:t>
      </w:r>
      <w:r w:rsidR="007C331A" w:rsidRPr="00AB75FD">
        <w:rPr>
          <w:rFonts w:ascii="Century Schoolbook" w:eastAsia="Times New Roman" w:hAnsi="Century Schoolbook" w:cs="Times New Roman"/>
          <w:lang w:eastAsia="fr-FR"/>
        </w:rPr>
        <w:t>speed pattern</w:t>
      </w:r>
      <w:r w:rsidR="00235BFB" w:rsidRPr="00AB75FD">
        <w:rPr>
          <w:rFonts w:ascii="Century Schoolbook" w:eastAsia="Times New Roman" w:hAnsi="Century Schoolbook" w:cs="Times New Roman"/>
          <w:lang w:eastAsia="fr-FR"/>
        </w:rPr>
        <w:t xml:space="preserve"> </w:t>
      </w:r>
      <w:r w:rsidR="007C331A" w:rsidRPr="00AB75FD">
        <w:rPr>
          <w:rFonts w:ascii="Century Schoolbook" w:eastAsia="Times New Roman" w:hAnsi="Century Schoolbook" w:cs="Times New Roman"/>
          <w:lang w:eastAsia="fr-FR"/>
        </w:rPr>
        <w:t xml:space="preserve">(i.e., fast or slow) </w:t>
      </w:r>
      <w:r w:rsidR="00235BFB" w:rsidRPr="00EB48AB">
        <w:rPr>
          <w:rFonts w:ascii="Century Schoolbook" w:eastAsia="Times New Roman" w:hAnsi="Century Schoolbook" w:cs="Times New Roman"/>
          <w:i/>
          <w:lang w:eastAsia="fr-FR"/>
        </w:rPr>
        <w:t xml:space="preserve">across </w:t>
      </w:r>
      <w:r w:rsidR="00235BFB" w:rsidRPr="00AB75FD">
        <w:rPr>
          <w:rFonts w:ascii="Century Schoolbook" w:eastAsia="Times New Roman" w:hAnsi="Century Schoolbook" w:cs="Times New Roman"/>
          <w:lang w:eastAsia="fr-FR"/>
        </w:rPr>
        <w:t xml:space="preserve">all the stocks that </w:t>
      </w:r>
      <w:r w:rsidR="007C331A" w:rsidRPr="00AB75FD">
        <w:rPr>
          <w:rFonts w:ascii="Century Schoolbook" w:eastAsia="Times New Roman" w:hAnsi="Century Schoolbook" w:cs="Times New Roman"/>
          <w:lang w:eastAsia="fr-FR"/>
        </w:rPr>
        <w:t>he</w:t>
      </w:r>
      <w:r w:rsidR="00235BFB" w:rsidRPr="00AB75FD">
        <w:rPr>
          <w:rFonts w:ascii="Century Schoolbook" w:eastAsia="Times New Roman" w:hAnsi="Century Schoolbook" w:cs="Times New Roman"/>
          <w:lang w:eastAsia="fr-FR"/>
        </w:rPr>
        <w:t xml:space="preserve"> covers. </w:t>
      </w:r>
      <w:r w:rsidR="00AF14F6">
        <w:rPr>
          <w:rFonts w:ascii="Century Schoolbook" w:eastAsia="Times New Roman" w:hAnsi="Century Schoolbook" w:cs="Times New Roman"/>
          <w:lang w:eastAsia="fr-FR"/>
        </w:rPr>
        <w:t>T</w:t>
      </w:r>
      <w:r w:rsidR="00235BFB" w:rsidRPr="00AB75FD">
        <w:rPr>
          <w:rFonts w:ascii="Century Schoolbook" w:eastAsia="Times New Roman" w:hAnsi="Century Schoolbook" w:cs="Times New Roman"/>
          <w:lang w:eastAsia="fr-FR"/>
        </w:rPr>
        <w:t xml:space="preserve">he logic of our test </w:t>
      </w:r>
      <w:r w:rsidR="00181ED5" w:rsidRPr="00AB75FD">
        <w:rPr>
          <w:rFonts w:ascii="Century Schoolbook" w:eastAsia="Times New Roman" w:hAnsi="Century Schoolbook" w:cs="Times New Roman"/>
          <w:lang w:eastAsia="fr-FR"/>
        </w:rPr>
        <w:t xml:space="preserve">is </w:t>
      </w:r>
      <w:r w:rsidR="007C331A" w:rsidRPr="00AB75FD">
        <w:rPr>
          <w:rFonts w:ascii="Century Schoolbook" w:eastAsia="Times New Roman" w:hAnsi="Century Schoolbook" w:cs="Times New Roman"/>
          <w:lang w:eastAsia="fr-FR"/>
        </w:rPr>
        <w:t xml:space="preserve">as </w:t>
      </w:r>
      <w:r w:rsidR="00235BFB" w:rsidRPr="00AB75FD">
        <w:rPr>
          <w:rFonts w:ascii="Century Schoolbook" w:eastAsia="Times New Roman" w:hAnsi="Century Schoolbook" w:cs="Times New Roman"/>
          <w:lang w:eastAsia="fr-FR"/>
        </w:rPr>
        <w:t>follow</w:t>
      </w:r>
      <w:r w:rsidR="007C331A" w:rsidRPr="00AB75FD">
        <w:rPr>
          <w:rFonts w:ascii="Century Schoolbook" w:eastAsia="Times New Roman" w:hAnsi="Century Schoolbook" w:cs="Times New Roman"/>
          <w:lang w:eastAsia="fr-FR"/>
        </w:rPr>
        <w:t>s</w:t>
      </w:r>
      <w:r w:rsidR="00235BFB" w:rsidRPr="00AB75FD">
        <w:rPr>
          <w:rFonts w:ascii="Century Schoolbook" w:eastAsia="Times New Roman" w:hAnsi="Century Schoolbook" w:cs="Times New Roman"/>
          <w:lang w:eastAsia="fr-FR"/>
        </w:rPr>
        <w:t xml:space="preserve">: </w:t>
      </w:r>
      <w:r w:rsidR="00EA71B4" w:rsidRPr="00AB75FD">
        <w:rPr>
          <w:rFonts w:ascii="Century Schoolbook" w:eastAsia="Times New Roman" w:hAnsi="Century Schoolbook" w:cs="Times New Roman"/>
          <w:lang w:eastAsia="fr-FR"/>
        </w:rPr>
        <w:t xml:space="preserve">If an analyst does not exhibit a distinct </w:t>
      </w:r>
      <w:r w:rsidR="00EA71B4" w:rsidRPr="00AB75FD">
        <w:rPr>
          <w:rFonts w:ascii="Century Schoolbook" w:eastAsia="Times New Roman" w:hAnsi="Century Schoolbook" w:cs="Times New Roman"/>
          <w:lang w:eastAsia="fr-FR"/>
        </w:rPr>
        <w:lastRenderedPageBreak/>
        <w:t>reco</w:t>
      </w:r>
      <w:r w:rsidR="00CA1AAE">
        <w:rPr>
          <w:rFonts w:ascii="Century Schoolbook" w:eastAsia="Times New Roman" w:hAnsi="Century Schoolbook" w:cs="Times New Roman"/>
          <w:lang w:eastAsia="fr-FR"/>
        </w:rPr>
        <w:t>mmendation-</w:t>
      </w:r>
      <w:r w:rsidR="00400419" w:rsidRPr="00AB75FD">
        <w:rPr>
          <w:rFonts w:ascii="Century Schoolbook" w:eastAsia="Times New Roman" w:hAnsi="Century Schoolbook" w:cs="Times New Roman"/>
          <w:lang w:eastAsia="fr-FR"/>
        </w:rPr>
        <w:t xml:space="preserve">revision speed, </w:t>
      </w:r>
      <w:r w:rsidR="00EA71B4" w:rsidRPr="00AB75FD">
        <w:rPr>
          <w:rFonts w:ascii="Century Schoolbook" w:eastAsia="Times New Roman" w:hAnsi="Century Schoolbook" w:cs="Times New Roman"/>
          <w:lang w:eastAsia="fr-FR"/>
        </w:rPr>
        <w:t>he should be</w:t>
      </w:r>
      <w:r w:rsidR="002D467F" w:rsidRPr="00AB75FD">
        <w:rPr>
          <w:rFonts w:ascii="Century Schoolbook" w:eastAsia="Times New Roman" w:hAnsi="Century Schoolbook" w:cs="Times New Roman"/>
          <w:lang w:eastAsia="fr-FR"/>
        </w:rPr>
        <w:t xml:space="preserve"> </w:t>
      </w:r>
      <w:r w:rsidR="00E354EB" w:rsidRPr="00AB75FD">
        <w:rPr>
          <w:rFonts w:ascii="Century Schoolbook" w:eastAsia="Times New Roman" w:hAnsi="Century Schoolbook" w:cs="Times New Roman"/>
          <w:lang w:eastAsia="fr-FR"/>
        </w:rPr>
        <w:t xml:space="preserve">equally represented in all four speed quartiles. </w:t>
      </w:r>
      <w:r w:rsidR="0076183D">
        <w:rPr>
          <w:rFonts w:ascii="Century Schoolbook" w:eastAsia="Times New Roman" w:hAnsi="Century Schoolbook" w:cs="Times New Roman"/>
          <w:lang w:eastAsia="fr-FR"/>
        </w:rPr>
        <w:t>In other words</w:t>
      </w:r>
      <w:r w:rsidR="0076183D" w:rsidRPr="00AB75FD">
        <w:rPr>
          <w:rFonts w:ascii="Century Schoolbook" w:eastAsia="Times New Roman" w:hAnsi="Century Schoolbook" w:cs="Times New Roman"/>
          <w:lang w:eastAsia="fr-FR"/>
        </w:rPr>
        <w:t>, the likelihood that his revision speed on a</w:t>
      </w:r>
      <w:r w:rsidR="00EB48AB">
        <w:rPr>
          <w:rFonts w:ascii="Century Schoolbook" w:eastAsia="Times New Roman" w:hAnsi="Century Schoolbook" w:cs="Times New Roman"/>
          <w:lang w:eastAsia="fr-FR"/>
        </w:rPr>
        <w:t>ny particular</w:t>
      </w:r>
      <w:r w:rsidR="0076183D" w:rsidRPr="00AB75FD">
        <w:rPr>
          <w:rFonts w:ascii="Century Schoolbook" w:eastAsia="Times New Roman" w:hAnsi="Century Schoolbook" w:cs="Times New Roman"/>
          <w:lang w:eastAsia="fr-FR"/>
        </w:rPr>
        <w:t xml:space="preserve"> stock falls in the first (or the fourth) speed quartile </w:t>
      </w:r>
      <w:r w:rsidR="0076183D">
        <w:rPr>
          <w:rFonts w:ascii="Century Schoolbook" w:eastAsia="Times New Roman" w:hAnsi="Century Schoolbook" w:cs="Times New Roman"/>
          <w:lang w:eastAsia="fr-FR"/>
        </w:rPr>
        <w:t xml:space="preserve">should be </w:t>
      </w:r>
      <w:r w:rsidR="0076183D" w:rsidRPr="00AB75FD">
        <w:rPr>
          <w:rFonts w:ascii="Century Schoolbook" w:eastAsia="Times New Roman" w:hAnsi="Century Schoolbook" w:cs="Times New Roman"/>
          <w:lang w:eastAsia="fr-FR"/>
        </w:rPr>
        <w:t>one</w:t>
      </w:r>
      <w:r w:rsidR="0076183D">
        <w:rPr>
          <w:rFonts w:ascii="Century Schoolbook" w:eastAsia="Times New Roman" w:hAnsi="Century Schoolbook" w:cs="Times New Roman"/>
          <w:lang w:eastAsia="fr-FR"/>
        </w:rPr>
        <w:t>-</w:t>
      </w:r>
      <w:r w:rsidR="0076183D" w:rsidRPr="00AB75FD">
        <w:rPr>
          <w:rFonts w:ascii="Century Schoolbook" w:eastAsia="Times New Roman" w:hAnsi="Century Schoolbook" w:cs="Times New Roman"/>
          <w:lang w:eastAsia="fr-FR"/>
        </w:rPr>
        <w:t xml:space="preserve">fourth. </w:t>
      </w:r>
      <w:r w:rsidR="00EA71B4" w:rsidRPr="00AB75FD">
        <w:rPr>
          <w:rFonts w:ascii="Century Schoolbook" w:eastAsia="Times New Roman" w:hAnsi="Century Schoolbook" w:cs="Times New Roman"/>
          <w:lang w:eastAsia="fr-FR"/>
        </w:rPr>
        <w:t xml:space="preserve">This is the null hypothesis that we test. </w:t>
      </w:r>
    </w:p>
    <w:p w14:paraId="149DAA66" w14:textId="32F40E45" w:rsidR="00E354EB" w:rsidRDefault="00322858" w:rsidP="00AC6297">
      <w:pPr>
        <w:autoSpaceDE w:val="0"/>
        <w:autoSpaceDN w:val="0"/>
        <w:adjustRightInd w:val="0"/>
        <w:spacing w:after="0" w:line="480" w:lineRule="auto"/>
        <w:ind w:firstLine="360"/>
        <w:jc w:val="both"/>
        <w:rPr>
          <w:rFonts w:ascii="Century Schoolbook" w:eastAsia="Times New Roman" w:hAnsi="Century Schoolbook" w:cs="Times New Roman"/>
          <w:lang w:eastAsia="fr-FR"/>
        </w:rPr>
      </w:pPr>
      <w:r w:rsidRPr="00AB75FD">
        <w:rPr>
          <w:rFonts w:ascii="Century Schoolbook" w:eastAsia="Times New Roman" w:hAnsi="Century Schoolbook" w:cs="Times New Roman"/>
          <w:lang w:eastAsia="fr-FR"/>
        </w:rPr>
        <w:t>For instance</w:t>
      </w:r>
      <w:r w:rsidR="00FE1EAB">
        <w:rPr>
          <w:rFonts w:ascii="Century Schoolbook" w:eastAsia="Times New Roman" w:hAnsi="Century Schoolbook" w:cs="Times New Roman"/>
          <w:lang w:eastAsia="fr-FR"/>
        </w:rPr>
        <w:t xml:space="preserve">, consider </w:t>
      </w:r>
      <w:r w:rsidR="00E354EB" w:rsidRPr="00AB75FD">
        <w:rPr>
          <w:rFonts w:ascii="Century Schoolbook" w:eastAsia="Times New Roman" w:hAnsi="Century Schoolbook" w:cs="Times New Roman"/>
          <w:lang w:eastAsia="fr-FR"/>
        </w:rPr>
        <w:t>an analy</w:t>
      </w:r>
      <w:r w:rsidR="001D6731" w:rsidRPr="00AB75FD">
        <w:rPr>
          <w:rFonts w:ascii="Century Schoolbook" w:eastAsia="Times New Roman" w:hAnsi="Century Schoolbook" w:cs="Times New Roman"/>
          <w:lang w:eastAsia="fr-FR"/>
        </w:rPr>
        <w:t xml:space="preserve">st covers </w:t>
      </w:r>
      <w:r w:rsidR="00E354EB" w:rsidRPr="00AB75FD">
        <w:rPr>
          <w:rFonts w:ascii="Century Schoolbook" w:eastAsia="Times New Roman" w:hAnsi="Century Schoolbook" w:cs="Times New Roman"/>
          <w:lang w:eastAsia="fr-FR"/>
        </w:rPr>
        <w:t>8 stocks and does not have an extreme speed</w:t>
      </w:r>
      <w:r w:rsidR="00827B73">
        <w:rPr>
          <w:rFonts w:ascii="Century Schoolbook" w:hAnsi="Century Schoolbook" w:cs="Times New Roman"/>
        </w:rPr>
        <w:t>-</w:t>
      </w:r>
      <w:r w:rsidR="00E354EB" w:rsidRPr="00AB75FD">
        <w:rPr>
          <w:rFonts w:ascii="Century Schoolbook" w:eastAsia="Times New Roman" w:hAnsi="Century Schoolbook" w:cs="Times New Roman"/>
          <w:lang w:eastAsia="fr-FR"/>
        </w:rPr>
        <w:t xml:space="preserve">style preference, we expect probabilistically that </w:t>
      </w:r>
      <w:r w:rsidR="00EB48AB">
        <w:rPr>
          <w:rFonts w:ascii="Century Schoolbook" w:eastAsia="Times New Roman" w:hAnsi="Century Schoolbook" w:cs="Times New Roman"/>
          <w:lang w:eastAsia="fr-FR"/>
        </w:rPr>
        <w:t>1/4</w:t>
      </w:r>
      <w:r w:rsidR="00EB48AB">
        <w:rPr>
          <w:rFonts w:ascii="Century Schoolbook" w:eastAsia="Times New Roman" w:hAnsi="Century Schoolbook" w:cs="Times New Roman"/>
          <w:lang w:eastAsia="fr-FR"/>
        </w:rPr>
        <w:sym w:font="Symbol" w:char="F0B4"/>
      </w:r>
      <w:r w:rsidR="00EB48AB">
        <w:rPr>
          <w:rFonts w:ascii="Century Schoolbook" w:eastAsia="Times New Roman" w:hAnsi="Century Schoolbook" w:cs="Times New Roman"/>
          <w:lang w:eastAsia="fr-FR"/>
        </w:rPr>
        <w:t xml:space="preserve">8 = </w:t>
      </w:r>
      <w:r w:rsidR="00E354EB" w:rsidRPr="00AB75FD">
        <w:rPr>
          <w:rFonts w:ascii="Century Schoolbook" w:eastAsia="Times New Roman" w:hAnsi="Century Schoolbook" w:cs="Times New Roman"/>
          <w:lang w:eastAsia="fr-FR"/>
        </w:rPr>
        <w:t xml:space="preserve">2 of his </w:t>
      </w:r>
      <w:r w:rsidR="00EB48AB">
        <w:rPr>
          <w:rFonts w:ascii="Century Schoolbook" w:eastAsia="Times New Roman" w:hAnsi="Century Schoolbook" w:cs="Times New Roman"/>
          <w:lang w:eastAsia="fr-FR"/>
        </w:rPr>
        <w:t>stock</w:t>
      </w:r>
      <w:r w:rsidR="00FE1EAB">
        <w:rPr>
          <w:rFonts w:ascii="Century Schoolbook" w:eastAsia="Times New Roman" w:hAnsi="Century Schoolbook" w:cs="Times New Roman"/>
          <w:lang w:eastAsia="fr-FR"/>
        </w:rPr>
        <w:t>-revision</w:t>
      </w:r>
      <w:r w:rsidR="00E354EB" w:rsidRPr="00AB75FD">
        <w:rPr>
          <w:rFonts w:ascii="Century Schoolbook" w:eastAsia="Times New Roman" w:hAnsi="Century Schoolbook" w:cs="Times New Roman"/>
          <w:lang w:eastAsia="fr-FR"/>
        </w:rPr>
        <w:t xml:space="preserve"> </w:t>
      </w:r>
      <w:r w:rsidR="00FE1EAB">
        <w:rPr>
          <w:rFonts w:ascii="Century Schoolbook" w:eastAsia="Times New Roman" w:hAnsi="Century Schoolbook" w:cs="Times New Roman"/>
          <w:lang w:eastAsia="fr-FR"/>
        </w:rPr>
        <w:t>speeds are equally observed in</w:t>
      </w:r>
      <w:r w:rsidR="00E354EB" w:rsidRPr="00AB75FD">
        <w:rPr>
          <w:rFonts w:ascii="Century Schoolbook" w:eastAsia="Times New Roman" w:hAnsi="Century Schoolbook" w:cs="Times New Roman"/>
          <w:lang w:eastAsia="fr-FR"/>
        </w:rPr>
        <w:t xml:space="preserve"> </w:t>
      </w:r>
      <w:r w:rsidR="00FE1EAB">
        <w:rPr>
          <w:rFonts w:ascii="Century Schoolbook" w:eastAsia="Times New Roman" w:hAnsi="Century Schoolbook" w:cs="Times New Roman"/>
          <w:lang w:eastAsia="fr-FR"/>
        </w:rPr>
        <w:t xml:space="preserve">one of the four quartiles from the </w:t>
      </w:r>
      <w:r w:rsidR="00F20A7F">
        <w:rPr>
          <w:rFonts w:ascii="Century Schoolbook" w:eastAsia="Times New Roman" w:hAnsi="Century Schoolbook" w:cs="Times New Roman"/>
          <w:lang w:eastAsia="fr-FR"/>
        </w:rPr>
        <w:t>first (</w:t>
      </w:r>
      <w:r w:rsidR="00E354EB" w:rsidRPr="00AB75FD">
        <w:rPr>
          <w:rFonts w:ascii="Century Schoolbook" w:eastAsia="Times New Roman" w:hAnsi="Century Schoolbook" w:cs="Times New Roman"/>
          <w:lang w:eastAsia="fr-FR"/>
        </w:rPr>
        <w:t>fastest</w:t>
      </w:r>
      <w:r w:rsidR="00F20A7F">
        <w:rPr>
          <w:rFonts w:ascii="Century Schoolbook" w:eastAsia="Times New Roman" w:hAnsi="Century Schoolbook" w:cs="Times New Roman"/>
          <w:lang w:eastAsia="fr-FR"/>
        </w:rPr>
        <w:t>)</w:t>
      </w:r>
      <w:r w:rsidR="00E354EB" w:rsidRPr="00AB75FD">
        <w:rPr>
          <w:rFonts w:ascii="Century Schoolbook" w:eastAsia="Times New Roman" w:hAnsi="Century Schoolbook" w:cs="Times New Roman"/>
          <w:lang w:eastAsia="fr-FR"/>
        </w:rPr>
        <w:t xml:space="preserve"> </w:t>
      </w:r>
      <w:r w:rsidR="00FE1EAB">
        <w:rPr>
          <w:rFonts w:ascii="Century Schoolbook" w:eastAsia="Times New Roman" w:hAnsi="Century Schoolbook" w:cs="Times New Roman"/>
          <w:lang w:eastAsia="fr-FR"/>
        </w:rPr>
        <w:t xml:space="preserve">to </w:t>
      </w:r>
      <w:r w:rsidR="00E354EB" w:rsidRPr="00AB75FD">
        <w:rPr>
          <w:rFonts w:ascii="Century Schoolbook" w:eastAsia="Times New Roman" w:hAnsi="Century Schoolbook" w:cs="Times New Roman"/>
          <w:lang w:eastAsia="fr-FR"/>
        </w:rPr>
        <w:t xml:space="preserve">the </w:t>
      </w:r>
      <w:r w:rsidR="00F20A7F">
        <w:rPr>
          <w:rFonts w:ascii="Century Schoolbook" w:eastAsia="Times New Roman" w:hAnsi="Century Schoolbook" w:cs="Times New Roman"/>
          <w:lang w:eastAsia="fr-FR"/>
        </w:rPr>
        <w:t>fourth (</w:t>
      </w:r>
      <w:r w:rsidR="00E354EB" w:rsidRPr="00AB75FD">
        <w:rPr>
          <w:rFonts w:ascii="Century Schoolbook" w:eastAsia="Times New Roman" w:hAnsi="Century Schoolbook" w:cs="Times New Roman"/>
          <w:lang w:eastAsia="fr-FR"/>
        </w:rPr>
        <w:t>slowest</w:t>
      </w:r>
      <w:r w:rsidR="00F20A7F">
        <w:rPr>
          <w:rFonts w:ascii="Century Schoolbook" w:eastAsia="Times New Roman" w:hAnsi="Century Schoolbook" w:cs="Times New Roman"/>
          <w:lang w:eastAsia="fr-FR"/>
        </w:rPr>
        <w:t>)</w:t>
      </w:r>
      <w:r w:rsidR="00E354EB" w:rsidRPr="00AB75FD">
        <w:rPr>
          <w:rFonts w:ascii="Century Schoolbook" w:eastAsia="Times New Roman" w:hAnsi="Century Schoolbook" w:cs="Times New Roman"/>
          <w:lang w:eastAsia="fr-FR"/>
        </w:rPr>
        <w:t xml:space="preserve">. </w:t>
      </w:r>
      <w:r w:rsidR="00FE1EAB">
        <w:rPr>
          <w:rFonts w:ascii="Century Schoolbook" w:eastAsia="Times New Roman" w:hAnsi="Century Schoolbook" w:cs="Times New Roman"/>
          <w:lang w:eastAsia="fr-FR"/>
        </w:rPr>
        <w:t xml:space="preserve"> However</w:t>
      </w:r>
      <w:r w:rsidR="003D3573">
        <w:rPr>
          <w:rFonts w:ascii="Century Schoolbook" w:eastAsia="Times New Roman" w:hAnsi="Century Schoolbook" w:cs="Times New Roman"/>
          <w:lang w:eastAsia="fr-FR"/>
        </w:rPr>
        <w:t>, if we</w:t>
      </w:r>
      <w:r w:rsidR="00E354EB" w:rsidRPr="00AB75FD">
        <w:rPr>
          <w:rFonts w:ascii="Century Schoolbook" w:eastAsia="Times New Roman" w:hAnsi="Century Schoolbook" w:cs="Times New Roman"/>
          <w:lang w:eastAsia="fr-FR"/>
        </w:rPr>
        <w:t xml:space="preserve"> find 7 out of 8 stocks in his portfolio are ranked in the fastest revisions quartile, it is likely that this analyst has a </w:t>
      </w:r>
      <w:r w:rsidR="00EB48AB">
        <w:rPr>
          <w:rFonts w:ascii="Century Schoolbook" w:eastAsia="Times New Roman" w:hAnsi="Century Schoolbook" w:cs="Times New Roman"/>
          <w:lang w:eastAsia="fr-FR"/>
        </w:rPr>
        <w:t>revision</w:t>
      </w:r>
      <w:r w:rsidR="00E354EB" w:rsidRPr="00AB75FD">
        <w:rPr>
          <w:rFonts w:ascii="Century Schoolbook" w:eastAsia="Times New Roman" w:hAnsi="Century Schoolbook" w:cs="Times New Roman"/>
          <w:lang w:eastAsia="fr-FR"/>
        </w:rPr>
        <w:t xml:space="preserve"> speed</w:t>
      </w:r>
      <w:r w:rsidR="00827B73">
        <w:rPr>
          <w:rFonts w:ascii="Century Schoolbook" w:hAnsi="Century Schoolbook" w:cs="Times New Roman"/>
        </w:rPr>
        <w:t>-</w:t>
      </w:r>
      <w:r w:rsidR="00E354EB" w:rsidRPr="00AB75FD">
        <w:rPr>
          <w:rFonts w:ascii="Century Schoolbook" w:eastAsia="Times New Roman" w:hAnsi="Century Schoolbook" w:cs="Times New Roman"/>
          <w:lang w:eastAsia="fr-FR"/>
        </w:rPr>
        <w:t>style that is faste</w:t>
      </w:r>
      <w:r w:rsidR="00AF14F6">
        <w:rPr>
          <w:rFonts w:ascii="Century Schoolbook" w:eastAsia="Times New Roman" w:hAnsi="Century Schoolbook" w:cs="Times New Roman"/>
          <w:lang w:eastAsia="fr-FR"/>
        </w:rPr>
        <w:t xml:space="preserve">r than the average </w:t>
      </w:r>
      <w:r w:rsidR="00617B21">
        <w:rPr>
          <w:rFonts w:ascii="Century Schoolbook" w:eastAsia="Times New Roman" w:hAnsi="Century Schoolbook" w:cs="Times New Roman"/>
          <w:lang w:eastAsia="fr-FR"/>
        </w:rPr>
        <w:t>analyst</w:t>
      </w:r>
      <w:r w:rsidR="00AF14F6">
        <w:rPr>
          <w:rFonts w:ascii="Century Schoolbook" w:eastAsia="Times New Roman" w:hAnsi="Century Schoolbook" w:cs="Times New Roman"/>
          <w:lang w:eastAsia="fr-FR"/>
        </w:rPr>
        <w:t>.</w:t>
      </w:r>
      <w:r w:rsidR="00043B0F">
        <w:rPr>
          <w:rFonts w:ascii="Century Schoolbook" w:eastAsia="Times New Roman" w:hAnsi="Century Schoolbook" w:cs="Times New Roman"/>
          <w:lang w:eastAsia="fr-FR"/>
        </w:rPr>
        <w:t xml:space="preserve"> </w:t>
      </w:r>
      <w:r w:rsidR="0062796D">
        <w:rPr>
          <w:rFonts w:ascii="Century Schoolbook" w:eastAsia="Times New Roman" w:hAnsi="Century Schoolbook" w:cs="Times New Roman"/>
          <w:lang w:eastAsia="fr-FR"/>
        </w:rPr>
        <w:t xml:space="preserve">But according to this example, is 7 out of 8 a sufficient cut-off to confidently classify that this analyst is “fast”?  </w:t>
      </w:r>
      <w:r w:rsidR="00AC6297">
        <w:rPr>
          <w:rFonts w:ascii="Century Schoolbook" w:eastAsia="Times New Roman" w:hAnsi="Century Schoolbook" w:cs="Times New Roman"/>
          <w:lang w:eastAsia="fr-FR"/>
        </w:rPr>
        <w:t>Importantly, analysts do not usually cover the same number of stocks. What if this analyst covers 12 stocks instead of 8? What should the cut-off for the minimum number of stocks that are in the fastest quartile be before we can decidedly classify him as a “fast” analyst? We address this issue by applying the standard Binomial test. This method helps us</w:t>
      </w:r>
      <w:r w:rsidR="0062796D">
        <w:rPr>
          <w:rFonts w:ascii="Century Schoolbook" w:eastAsia="Times New Roman" w:hAnsi="Century Schoolbook" w:cs="Times New Roman"/>
          <w:lang w:eastAsia="fr-FR"/>
        </w:rPr>
        <w:t xml:space="preserve"> define </w:t>
      </w:r>
      <w:r w:rsidR="003D3573">
        <w:rPr>
          <w:rFonts w:ascii="Century Schoolbook" w:eastAsia="Times New Roman" w:hAnsi="Century Schoolbook" w:cs="Times New Roman"/>
          <w:lang w:eastAsia="fr-FR"/>
        </w:rPr>
        <w:t>the cut-off</w:t>
      </w:r>
      <w:r w:rsidR="001962DE">
        <w:rPr>
          <w:rFonts w:ascii="Century Schoolbook" w:eastAsia="Times New Roman" w:hAnsi="Century Schoolbook" w:cs="Times New Roman"/>
          <w:lang w:eastAsia="fr-FR"/>
        </w:rPr>
        <w:t>s</w:t>
      </w:r>
      <w:r w:rsidR="003D3573">
        <w:rPr>
          <w:rFonts w:ascii="Century Schoolbook" w:eastAsia="Times New Roman" w:hAnsi="Century Schoolbook" w:cs="Times New Roman"/>
          <w:lang w:eastAsia="fr-FR"/>
        </w:rPr>
        <w:t xml:space="preserve"> that we can use to </w:t>
      </w:r>
      <w:r w:rsidR="00AC6297">
        <w:rPr>
          <w:rFonts w:ascii="Century Schoolbook" w:eastAsia="Times New Roman" w:hAnsi="Century Schoolbook" w:cs="Times New Roman"/>
          <w:lang w:eastAsia="fr-FR"/>
        </w:rPr>
        <w:t>conclusively</w:t>
      </w:r>
      <w:r w:rsidR="003D3573">
        <w:rPr>
          <w:rFonts w:ascii="Century Schoolbook" w:eastAsia="Times New Roman" w:hAnsi="Century Schoolbook" w:cs="Times New Roman"/>
          <w:lang w:eastAsia="fr-FR"/>
        </w:rPr>
        <w:t xml:space="preserve"> classify </w:t>
      </w:r>
      <w:r w:rsidR="0062796D">
        <w:rPr>
          <w:rFonts w:ascii="Century Schoolbook" w:eastAsia="Times New Roman" w:hAnsi="Century Schoolbook" w:cs="Times New Roman"/>
          <w:lang w:eastAsia="fr-FR"/>
        </w:rPr>
        <w:t xml:space="preserve">an </w:t>
      </w:r>
      <w:r w:rsidR="003D3573">
        <w:rPr>
          <w:rFonts w:ascii="Century Schoolbook" w:eastAsia="Times New Roman" w:hAnsi="Century Schoolbook" w:cs="Times New Roman"/>
          <w:lang w:eastAsia="fr-FR"/>
        </w:rPr>
        <w:t>analyst as being distinctly “fast”</w:t>
      </w:r>
      <w:r w:rsidR="0062796D">
        <w:rPr>
          <w:rFonts w:ascii="Century Schoolbook" w:eastAsia="Times New Roman" w:hAnsi="Century Schoolbook" w:cs="Times New Roman"/>
          <w:lang w:eastAsia="fr-FR"/>
        </w:rPr>
        <w:t xml:space="preserve"> or “slow” </w:t>
      </w:r>
      <w:r w:rsidR="00925AC9">
        <w:rPr>
          <w:rFonts w:ascii="Century Schoolbook" w:eastAsia="Times New Roman" w:hAnsi="Century Schoolbook" w:cs="Times New Roman"/>
          <w:lang w:eastAsia="fr-FR"/>
        </w:rPr>
        <w:t xml:space="preserve">using the same statistical criteria (0.05 p-value) regardless of the number of stocks that he covers.  </w:t>
      </w:r>
      <w:r w:rsidR="00E354EB" w:rsidRPr="00AB75FD">
        <w:rPr>
          <w:rFonts w:ascii="Century Schoolbook" w:eastAsia="Times New Roman" w:hAnsi="Century Schoolbook" w:cs="Times New Roman"/>
          <w:lang w:eastAsia="fr-FR"/>
        </w:rPr>
        <w:t>Specifically, we test each of the following null hypotheses:</w:t>
      </w:r>
    </w:p>
    <w:p w14:paraId="65EDC67B" w14:textId="77777777" w:rsidR="0070075A" w:rsidRPr="0070075A" w:rsidRDefault="0070075A" w:rsidP="00A00DFF">
      <w:pPr>
        <w:autoSpaceDE w:val="0"/>
        <w:autoSpaceDN w:val="0"/>
        <w:adjustRightInd w:val="0"/>
        <w:spacing w:after="0" w:line="480" w:lineRule="auto"/>
        <w:ind w:firstLine="360"/>
        <w:jc w:val="both"/>
        <w:rPr>
          <w:rFonts w:ascii="Century Schoolbook" w:eastAsia="Times New Roman" w:hAnsi="Century Schoolbook" w:cs="Times New Roman"/>
          <w:sz w:val="2"/>
          <w:szCs w:val="10"/>
          <w:lang w:eastAsia="fr-FR"/>
        </w:rPr>
      </w:pPr>
    </w:p>
    <w:p w14:paraId="0728A2C8" w14:textId="77777777" w:rsidR="00E354EB" w:rsidRPr="00074FCE" w:rsidRDefault="00E354EB" w:rsidP="00A00DFF">
      <w:pPr>
        <w:autoSpaceDE w:val="0"/>
        <w:autoSpaceDN w:val="0"/>
        <w:adjustRightInd w:val="0"/>
        <w:spacing w:after="0" w:line="480" w:lineRule="auto"/>
        <w:jc w:val="both"/>
        <w:rPr>
          <w:rFonts w:ascii="Century Schoolbook" w:eastAsia="Times New Roman" w:hAnsi="Century Schoolbook" w:cs="Times New Roman"/>
          <w:lang w:eastAsia="fr-FR"/>
        </w:rPr>
      </w:pPr>
      <w:r w:rsidRPr="00E3441B">
        <w:rPr>
          <w:rFonts w:ascii="Century Schoolbook" w:eastAsia="Times New Roman" w:hAnsi="Century Schoolbook" w:cs="Times New Roman"/>
          <w:b/>
          <w:i/>
          <w:lang w:eastAsia="fr-FR"/>
        </w:rPr>
        <w:t>H</w:t>
      </w:r>
      <w:r w:rsidRPr="00E3441B">
        <w:rPr>
          <w:rFonts w:ascii="Century Schoolbook" w:eastAsia="Times New Roman" w:hAnsi="Century Schoolbook" w:cs="Times New Roman"/>
          <w:b/>
          <w:i/>
          <w:vertAlign w:val="subscript"/>
          <w:lang w:eastAsia="fr-FR"/>
        </w:rPr>
        <w:t>0</w:t>
      </w:r>
      <w:r w:rsidRPr="00E3441B">
        <w:rPr>
          <w:rFonts w:ascii="Century Schoolbook" w:eastAsia="Times New Roman" w:hAnsi="Century Schoolbook" w:cs="Times New Roman"/>
          <w:b/>
          <w:i/>
          <w:lang w:eastAsia="fr-FR"/>
        </w:rPr>
        <w:t xml:space="preserve"> (fast):</w:t>
      </w:r>
      <w:r w:rsidRPr="00074FCE">
        <w:rPr>
          <w:rFonts w:ascii="Century Schoolbook" w:eastAsia="Times New Roman" w:hAnsi="Century Schoolbook" w:cs="Times New Roman"/>
          <w:lang w:eastAsia="fr-FR"/>
        </w:rPr>
        <w:t xml:space="preserve"> The probability that stocks in an analyst’s portfolio are ranked in the fastest revisions quartile is not greater than 25%.</w:t>
      </w:r>
    </w:p>
    <w:p w14:paraId="4BE094EB" w14:textId="77777777" w:rsidR="00E354EB" w:rsidRPr="00074FCE" w:rsidRDefault="00E354EB" w:rsidP="00A00DFF">
      <w:pPr>
        <w:autoSpaceDE w:val="0"/>
        <w:autoSpaceDN w:val="0"/>
        <w:adjustRightInd w:val="0"/>
        <w:spacing w:after="0" w:line="480" w:lineRule="auto"/>
        <w:jc w:val="both"/>
        <w:rPr>
          <w:rFonts w:ascii="Century Schoolbook" w:eastAsia="Times New Roman" w:hAnsi="Century Schoolbook" w:cs="Times New Roman"/>
          <w:lang w:eastAsia="fr-FR"/>
        </w:rPr>
      </w:pPr>
      <w:r w:rsidRPr="00E3441B">
        <w:rPr>
          <w:rFonts w:ascii="Century Schoolbook" w:eastAsia="Times New Roman" w:hAnsi="Century Schoolbook" w:cs="Times New Roman"/>
          <w:b/>
          <w:i/>
          <w:lang w:eastAsia="fr-FR"/>
        </w:rPr>
        <w:t>H</w:t>
      </w:r>
      <w:r w:rsidRPr="00E3441B">
        <w:rPr>
          <w:rFonts w:ascii="Century Schoolbook" w:eastAsia="Times New Roman" w:hAnsi="Century Schoolbook" w:cs="Times New Roman"/>
          <w:b/>
          <w:i/>
          <w:vertAlign w:val="subscript"/>
          <w:lang w:eastAsia="fr-FR"/>
        </w:rPr>
        <w:t>0</w:t>
      </w:r>
      <w:r w:rsidRPr="00E3441B">
        <w:rPr>
          <w:rFonts w:ascii="Century Schoolbook" w:eastAsia="Times New Roman" w:hAnsi="Century Schoolbook" w:cs="Times New Roman"/>
          <w:b/>
          <w:i/>
          <w:lang w:eastAsia="fr-FR"/>
        </w:rPr>
        <w:t xml:space="preserve"> (slow):</w:t>
      </w:r>
      <w:r w:rsidRPr="00074FCE">
        <w:rPr>
          <w:rFonts w:ascii="Century Schoolbook" w:eastAsia="Times New Roman" w:hAnsi="Century Schoolbook" w:cs="Times New Roman"/>
          <w:lang w:eastAsia="fr-FR"/>
        </w:rPr>
        <w:t xml:space="preserve"> The probability that stocks in an analyst’s portfolio are ranked in the slowest revisions quartile is not greater than 25%.</w:t>
      </w:r>
    </w:p>
    <w:p w14:paraId="6D04EF21" w14:textId="4D87B30B" w:rsidR="00E354EB" w:rsidRDefault="00925AC9" w:rsidP="00A00DFF">
      <w:pPr>
        <w:autoSpaceDE w:val="0"/>
        <w:autoSpaceDN w:val="0"/>
        <w:adjustRightInd w:val="0"/>
        <w:spacing w:after="0" w:line="480" w:lineRule="auto"/>
        <w:ind w:firstLine="360"/>
        <w:jc w:val="both"/>
        <w:rPr>
          <w:rFonts w:ascii="Century Schoolbook" w:eastAsia="Times New Roman" w:hAnsi="Century Schoolbook" w:cs="Times New Roman"/>
          <w:lang w:eastAsia="fr-FR"/>
        </w:rPr>
      </w:pPr>
      <w:r>
        <w:rPr>
          <w:rFonts w:ascii="Century Schoolbook" w:eastAsia="Times New Roman" w:hAnsi="Century Schoolbook" w:cs="Times New Roman"/>
          <w:lang w:eastAsia="fr-FR"/>
        </w:rPr>
        <w:t xml:space="preserve">A rejection of the above hypothesis </w:t>
      </w:r>
      <w:r w:rsidRPr="00074FCE">
        <w:rPr>
          <w:rFonts w:ascii="Century Schoolbook" w:eastAsia="Times New Roman" w:hAnsi="Century Schoolbook" w:cs="Times New Roman"/>
          <w:i/>
          <w:lang w:eastAsia="fr-FR"/>
        </w:rPr>
        <w:t>H</w:t>
      </w:r>
      <w:r w:rsidRPr="00074FCE">
        <w:rPr>
          <w:rFonts w:ascii="Century Schoolbook" w:eastAsia="Times New Roman" w:hAnsi="Century Schoolbook" w:cs="Times New Roman"/>
          <w:i/>
          <w:vertAlign w:val="subscript"/>
          <w:lang w:eastAsia="fr-FR"/>
        </w:rPr>
        <w:t>0</w:t>
      </w:r>
      <w:r>
        <w:rPr>
          <w:rFonts w:ascii="Century Schoolbook" w:eastAsia="Times New Roman" w:hAnsi="Century Schoolbook" w:cs="Times New Roman"/>
          <w:i/>
          <w:lang w:eastAsia="fr-FR"/>
        </w:rPr>
        <w:t xml:space="preserve"> (fast)</w:t>
      </w:r>
      <w:r>
        <w:rPr>
          <w:rFonts w:ascii="Century Schoolbook" w:eastAsia="Times New Roman" w:hAnsi="Century Schoolbook" w:cs="Times New Roman"/>
          <w:lang w:eastAsia="fr-FR"/>
        </w:rPr>
        <w:t xml:space="preserve"> </w:t>
      </w:r>
      <w:r w:rsidR="00E354EB" w:rsidRPr="00AB75FD">
        <w:rPr>
          <w:rFonts w:ascii="Century Schoolbook" w:eastAsia="Times New Roman" w:hAnsi="Century Schoolbook" w:cs="Times New Roman"/>
          <w:lang w:eastAsia="fr-FR"/>
        </w:rPr>
        <w:t>at the 5 percent significant level allows us to confidently classify an analyst as faster</w:t>
      </w:r>
      <w:r>
        <w:rPr>
          <w:rFonts w:ascii="Century Schoolbook" w:eastAsia="Times New Roman" w:hAnsi="Century Schoolbook" w:cs="Times New Roman"/>
          <w:lang w:eastAsia="fr-FR"/>
        </w:rPr>
        <w:t xml:space="preserve"> </w:t>
      </w:r>
      <w:r w:rsidR="00E354EB" w:rsidRPr="00AB75FD">
        <w:rPr>
          <w:rFonts w:ascii="Century Schoolbook" w:eastAsia="Times New Roman" w:hAnsi="Century Schoolbook" w:cs="Times New Roman"/>
          <w:lang w:eastAsia="fr-FR"/>
        </w:rPr>
        <w:t>at revising recommendations relative to peers.</w:t>
      </w:r>
      <w:r w:rsidR="00E354EB" w:rsidRPr="00AB75FD">
        <w:rPr>
          <w:rStyle w:val="FootnoteReference"/>
          <w:rFonts w:ascii="Century Schoolbook" w:eastAsia="Times New Roman" w:hAnsi="Century Schoolbook" w:cs="Times New Roman"/>
          <w:lang w:eastAsia="fr-FR"/>
        </w:rPr>
        <w:footnoteReference w:id="10"/>
      </w:r>
      <w:r w:rsidR="00E354EB" w:rsidRPr="00AB75FD">
        <w:rPr>
          <w:rFonts w:ascii="Century Schoolbook" w:eastAsia="Times New Roman" w:hAnsi="Century Schoolbook" w:cs="Times New Roman"/>
          <w:lang w:eastAsia="fr-FR"/>
        </w:rPr>
        <w:t xml:space="preserve"> </w:t>
      </w:r>
      <w:r>
        <w:rPr>
          <w:rFonts w:ascii="Century Schoolbook" w:eastAsia="Times New Roman" w:hAnsi="Century Schoolbook" w:cs="Times New Roman"/>
          <w:lang w:eastAsia="fr-FR"/>
        </w:rPr>
        <w:t xml:space="preserve">Similarly, a rejection of </w:t>
      </w:r>
      <w:r w:rsidRPr="00074FCE">
        <w:rPr>
          <w:rFonts w:ascii="Century Schoolbook" w:eastAsia="Times New Roman" w:hAnsi="Century Schoolbook" w:cs="Times New Roman"/>
          <w:i/>
          <w:lang w:eastAsia="fr-FR"/>
        </w:rPr>
        <w:t>H</w:t>
      </w:r>
      <w:r w:rsidRPr="00074FCE">
        <w:rPr>
          <w:rFonts w:ascii="Century Schoolbook" w:eastAsia="Times New Roman" w:hAnsi="Century Schoolbook" w:cs="Times New Roman"/>
          <w:i/>
          <w:vertAlign w:val="subscript"/>
          <w:lang w:eastAsia="fr-FR"/>
        </w:rPr>
        <w:t>0</w:t>
      </w:r>
      <w:r w:rsidRPr="00074FCE">
        <w:rPr>
          <w:rFonts w:ascii="Century Schoolbook" w:eastAsia="Times New Roman" w:hAnsi="Century Schoolbook" w:cs="Times New Roman"/>
          <w:i/>
          <w:lang w:eastAsia="fr-FR"/>
        </w:rPr>
        <w:t xml:space="preserve"> (</w:t>
      </w:r>
      <w:r>
        <w:rPr>
          <w:rFonts w:ascii="Century Schoolbook" w:eastAsia="Times New Roman" w:hAnsi="Century Schoolbook" w:cs="Times New Roman"/>
          <w:i/>
          <w:lang w:eastAsia="fr-FR"/>
        </w:rPr>
        <w:t>slow)</w:t>
      </w:r>
      <w:r>
        <w:rPr>
          <w:rFonts w:ascii="Century Schoolbook" w:eastAsia="Times New Roman" w:hAnsi="Century Schoolbook" w:cs="Times New Roman"/>
          <w:lang w:eastAsia="fr-FR"/>
        </w:rPr>
        <w:t xml:space="preserve"> at the 5 percent </w:t>
      </w:r>
      <w:r w:rsidRPr="00AB75FD">
        <w:rPr>
          <w:rFonts w:ascii="Century Schoolbook" w:eastAsia="Times New Roman" w:hAnsi="Century Schoolbook" w:cs="Times New Roman"/>
          <w:lang w:eastAsia="fr-FR"/>
        </w:rPr>
        <w:t>significant</w:t>
      </w:r>
      <w:r>
        <w:rPr>
          <w:rFonts w:ascii="Century Schoolbook" w:eastAsia="Times New Roman" w:hAnsi="Century Schoolbook" w:cs="Times New Roman"/>
          <w:lang w:eastAsia="fr-FR"/>
        </w:rPr>
        <w:t xml:space="preserve"> level would lead us to conclude </w:t>
      </w:r>
      <w:r>
        <w:rPr>
          <w:rFonts w:ascii="Century Schoolbook" w:eastAsia="Times New Roman" w:hAnsi="Century Schoolbook" w:cs="Times New Roman"/>
          <w:lang w:eastAsia="fr-FR"/>
        </w:rPr>
        <w:lastRenderedPageBreak/>
        <w:t xml:space="preserve">that the analyst is slower </w:t>
      </w:r>
      <w:r w:rsidRPr="00AB75FD">
        <w:rPr>
          <w:rFonts w:ascii="Century Schoolbook" w:eastAsia="Times New Roman" w:hAnsi="Century Schoolbook" w:cs="Times New Roman"/>
          <w:lang w:eastAsia="fr-FR"/>
        </w:rPr>
        <w:t>at revising recommendations</w:t>
      </w:r>
      <w:r>
        <w:rPr>
          <w:rFonts w:ascii="Century Schoolbook" w:eastAsia="Times New Roman" w:hAnsi="Century Schoolbook" w:cs="Times New Roman"/>
          <w:lang w:eastAsia="fr-FR"/>
        </w:rPr>
        <w:t xml:space="preserve"> </w:t>
      </w:r>
      <w:r w:rsidRPr="00AB75FD">
        <w:rPr>
          <w:rFonts w:ascii="Century Schoolbook" w:eastAsia="Times New Roman" w:hAnsi="Century Schoolbook" w:cs="Times New Roman"/>
          <w:lang w:eastAsia="fr-FR"/>
        </w:rPr>
        <w:t>relative to peers</w:t>
      </w:r>
      <w:r>
        <w:rPr>
          <w:rFonts w:ascii="Century Schoolbook" w:eastAsia="Times New Roman" w:hAnsi="Century Schoolbook" w:cs="Times New Roman"/>
          <w:lang w:eastAsia="fr-FR"/>
        </w:rPr>
        <w:t xml:space="preserve">. </w:t>
      </w:r>
      <w:r w:rsidR="00E354EB" w:rsidRPr="00AB75FD">
        <w:rPr>
          <w:rFonts w:ascii="Century Schoolbook" w:eastAsia="Times New Roman" w:hAnsi="Century Schoolbook" w:cs="Times New Roman"/>
          <w:lang w:eastAsia="fr-FR"/>
        </w:rPr>
        <w:t>F</w:t>
      </w:r>
      <w:r w:rsidR="00187F9D">
        <w:rPr>
          <w:rFonts w:ascii="Century Schoolbook" w:eastAsia="Times New Roman" w:hAnsi="Century Schoolbook" w:cs="Times New Roman"/>
          <w:lang w:eastAsia="fr-FR"/>
        </w:rPr>
        <w:t xml:space="preserve">inally, we assign analysts into </w:t>
      </w:r>
      <w:r w:rsidR="00E354EB" w:rsidRPr="00AB75FD">
        <w:rPr>
          <w:rFonts w:ascii="Century Schoolbook" w:eastAsia="Times New Roman" w:hAnsi="Century Schoolbook" w:cs="Times New Roman"/>
          <w:lang w:eastAsia="fr-FR"/>
        </w:rPr>
        <w:t xml:space="preserve">three groups: (1) </w:t>
      </w:r>
      <w:r w:rsidR="00E354EB" w:rsidRPr="00AB75FD">
        <w:rPr>
          <w:rFonts w:ascii="Century Schoolbook" w:eastAsia="Times New Roman" w:hAnsi="Century Schoolbook" w:cs="Times New Roman"/>
          <w:i/>
          <w:lang w:eastAsia="fr-FR"/>
        </w:rPr>
        <w:t>Slow</w:t>
      </w:r>
      <w:r w:rsidR="00827B73">
        <w:rPr>
          <w:rFonts w:ascii="Century Schoolbook" w:eastAsia="Times New Roman" w:hAnsi="Century Schoolbook" w:cs="Times New Roman"/>
          <w:i/>
          <w:lang w:eastAsia="fr-FR"/>
        </w:rPr>
        <w:t>-</w:t>
      </w:r>
      <w:r w:rsidR="00E354EB" w:rsidRPr="00AB75FD">
        <w:rPr>
          <w:rFonts w:ascii="Century Schoolbook" w:eastAsia="Times New Roman" w:hAnsi="Century Schoolbook" w:cs="Times New Roman"/>
          <w:i/>
          <w:lang w:eastAsia="fr-FR"/>
        </w:rPr>
        <w:t>turnover analyst</w:t>
      </w:r>
      <w:r w:rsidR="00E354EB" w:rsidRPr="00AB75FD">
        <w:rPr>
          <w:rFonts w:ascii="Century Schoolbook" w:eastAsia="Times New Roman" w:hAnsi="Century Schoolbook" w:cs="Times New Roman"/>
          <w:lang w:eastAsia="fr-FR"/>
        </w:rPr>
        <w:t xml:space="preserve">, (2) </w:t>
      </w:r>
      <w:r w:rsidR="00E354EB" w:rsidRPr="00AB75FD">
        <w:rPr>
          <w:rFonts w:ascii="Century Schoolbook" w:eastAsia="Times New Roman" w:hAnsi="Century Schoolbook" w:cs="Times New Roman"/>
          <w:i/>
          <w:lang w:eastAsia="fr-FR"/>
        </w:rPr>
        <w:t>Average</w:t>
      </w:r>
      <w:r w:rsidR="00827B73">
        <w:rPr>
          <w:rFonts w:ascii="Times New Roman" w:eastAsia="Times New Roman" w:hAnsi="Times New Roman" w:cs="Times New Roman"/>
          <w:i/>
          <w:lang w:eastAsia="fr-FR"/>
        </w:rPr>
        <w:t>-</w:t>
      </w:r>
      <w:r w:rsidR="00E354EB" w:rsidRPr="00AB75FD">
        <w:rPr>
          <w:rFonts w:ascii="Century Schoolbook" w:eastAsia="Times New Roman" w:hAnsi="Century Schoolbook" w:cs="Times New Roman"/>
          <w:i/>
          <w:lang w:eastAsia="fr-FR"/>
        </w:rPr>
        <w:t>turnover analyst,</w:t>
      </w:r>
      <w:r w:rsidR="00E354EB" w:rsidRPr="00AB75FD">
        <w:rPr>
          <w:rFonts w:ascii="Century Schoolbook" w:eastAsia="Times New Roman" w:hAnsi="Century Schoolbook" w:cs="Times New Roman"/>
          <w:lang w:eastAsia="fr-FR"/>
        </w:rPr>
        <w:t xml:space="preserve"> and (3) </w:t>
      </w:r>
      <w:r w:rsidR="00E354EB" w:rsidRPr="00AB75FD">
        <w:rPr>
          <w:rFonts w:ascii="Century Schoolbook" w:eastAsia="Times New Roman" w:hAnsi="Century Schoolbook" w:cs="Times New Roman"/>
          <w:i/>
          <w:lang w:eastAsia="fr-FR"/>
        </w:rPr>
        <w:t>Fast</w:t>
      </w:r>
      <w:r w:rsidR="00827B73">
        <w:rPr>
          <w:rFonts w:ascii="Century Schoolbook" w:eastAsia="Times New Roman" w:hAnsi="Century Schoolbook" w:cs="Times New Roman"/>
          <w:i/>
          <w:lang w:eastAsia="fr-FR"/>
        </w:rPr>
        <w:t>-</w:t>
      </w:r>
      <w:r w:rsidR="00E354EB" w:rsidRPr="00AB75FD">
        <w:rPr>
          <w:rFonts w:ascii="Century Schoolbook" w:eastAsia="Times New Roman" w:hAnsi="Century Schoolbook" w:cs="Times New Roman"/>
          <w:i/>
          <w:lang w:eastAsia="fr-FR"/>
        </w:rPr>
        <w:t>turnover analyst</w:t>
      </w:r>
      <w:r w:rsidR="00E354EB" w:rsidRPr="00AB75FD">
        <w:rPr>
          <w:rFonts w:ascii="Century Schoolbook" w:eastAsia="Times New Roman" w:hAnsi="Century Schoolbook" w:cs="Times New Roman"/>
          <w:lang w:eastAsia="fr-FR"/>
        </w:rPr>
        <w:t xml:space="preserve">. </w:t>
      </w:r>
      <w:r w:rsidR="00617B21" w:rsidRPr="006C4630">
        <w:rPr>
          <w:rFonts w:ascii="Century Schoolbook" w:eastAsia="Times New Roman" w:hAnsi="Century Schoolbook" w:cs="Times New Roman"/>
          <w:lang w:eastAsia="fr-FR"/>
        </w:rPr>
        <w:t xml:space="preserve">Analysts for whom </w:t>
      </w:r>
      <w:r w:rsidR="00E354EB" w:rsidRPr="006C4630">
        <w:rPr>
          <w:rFonts w:ascii="Century Schoolbook" w:eastAsia="Times New Roman" w:hAnsi="Century Schoolbook" w:cs="Times New Roman"/>
          <w:lang w:eastAsia="fr-FR"/>
        </w:rPr>
        <w:t xml:space="preserve">we can reject neither of the </w:t>
      </w:r>
      <w:r w:rsidR="006C4630" w:rsidRPr="006C4630">
        <w:rPr>
          <w:rFonts w:ascii="Century Schoolbook" w:eastAsia="Times New Roman" w:hAnsi="Century Schoolbook" w:cs="Times New Roman"/>
          <w:lang w:eastAsia="fr-FR"/>
        </w:rPr>
        <w:t>two null hypotheses</w:t>
      </w:r>
      <w:r w:rsidR="00E354EB" w:rsidRPr="006C4630">
        <w:rPr>
          <w:rFonts w:ascii="Century Schoolbook" w:eastAsia="Times New Roman" w:hAnsi="Century Schoolbook" w:cs="Times New Roman"/>
          <w:lang w:eastAsia="fr-FR"/>
        </w:rPr>
        <w:t xml:space="preserve"> are classified as average</w:t>
      </w:r>
      <w:r w:rsidR="004C6F8D" w:rsidRPr="006C4630">
        <w:rPr>
          <w:rFonts w:ascii="Century Schoolbook" w:eastAsia="Times New Roman" w:hAnsi="Century Schoolbook" w:cs="Times New Roman"/>
          <w:lang w:eastAsia="fr-FR"/>
        </w:rPr>
        <w:t>-</w:t>
      </w:r>
      <w:r w:rsidR="00E354EB" w:rsidRPr="006C4630">
        <w:rPr>
          <w:rFonts w:ascii="Century Schoolbook" w:eastAsia="Times New Roman" w:hAnsi="Century Schoolbook" w:cs="Times New Roman"/>
          <w:lang w:eastAsia="fr-FR"/>
        </w:rPr>
        <w:t>turnover analysts.</w:t>
      </w:r>
      <w:r w:rsidR="00E354EB" w:rsidRPr="00AB75FD">
        <w:rPr>
          <w:rFonts w:ascii="Century Schoolbook" w:eastAsia="Times New Roman" w:hAnsi="Century Schoolbook" w:cs="Times New Roman"/>
          <w:lang w:eastAsia="fr-FR"/>
        </w:rPr>
        <w:t xml:space="preserve"> Figure 2 illustrates examples of slow</w:t>
      </w:r>
      <w:r w:rsidR="004C6F8D">
        <w:rPr>
          <w:rFonts w:ascii="Century Schoolbook" w:eastAsia="Times New Roman" w:hAnsi="Century Schoolbook" w:cs="Times New Roman"/>
          <w:lang w:eastAsia="fr-FR"/>
        </w:rPr>
        <w:t>-</w:t>
      </w:r>
      <w:r w:rsidR="00E354EB" w:rsidRPr="00AB75FD">
        <w:rPr>
          <w:rFonts w:ascii="Century Schoolbook" w:eastAsia="Times New Roman" w:hAnsi="Century Schoolbook" w:cs="Times New Roman"/>
          <w:lang w:eastAsia="fr-FR"/>
        </w:rPr>
        <w:t xml:space="preserve"> versus fast</w:t>
      </w:r>
      <w:r w:rsidR="004C6F8D">
        <w:rPr>
          <w:rFonts w:ascii="Century Schoolbook" w:eastAsia="Times New Roman" w:hAnsi="Century Schoolbook" w:cs="Times New Roman"/>
          <w:lang w:eastAsia="fr-FR"/>
        </w:rPr>
        <w:t>-</w:t>
      </w:r>
      <w:r w:rsidR="00E354EB" w:rsidRPr="00AB75FD">
        <w:rPr>
          <w:rFonts w:ascii="Century Schoolbook" w:eastAsia="Times New Roman" w:hAnsi="Century Schoolbook" w:cs="Times New Roman"/>
          <w:lang w:eastAsia="fr-FR"/>
        </w:rPr>
        <w:t xml:space="preserve">turnover analysts’ recommendation patterns on Bank of New York Mellon Corporation (top panel), and Sunoco (bottom panel). </w:t>
      </w:r>
      <w:r w:rsidR="00586D73">
        <w:rPr>
          <w:rFonts w:ascii="Century Schoolbook" w:eastAsia="Times New Roman" w:hAnsi="Century Schoolbook" w:cs="Times New Roman"/>
          <w:lang w:eastAsia="fr-FR"/>
        </w:rPr>
        <w:t>Here,</w:t>
      </w:r>
      <w:r w:rsidR="00E354EB" w:rsidRPr="00AB75FD">
        <w:rPr>
          <w:rFonts w:ascii="Century Schoolbook" w:eastAsia="Times New Roman" w:hAnsi="Century Schoolbook" w:cs="Times New Roman"/>
          <w:lang w:eastAsia="fr-FR"/>
        </w:rPr>
        <w:t xml:space="preserve"> we pick two analysts</w:t>
      </w:r>
      <w:r w:rsidR="00586D73">
        <w:rPr>
          <w:rFonts w:ascii="Century Schoolbook" w:eastAsia="Times New Roman" w:hAnsi="Century Schoolbook" w:cs="Times New Roman"/>
          <w:lang w:eastAsia="fr-FR"/>
        </w:rPr>
        <w:t xml:space="preserve"> with different recommendation </w:t>
      </w:r>
      <w:r w:rsidR="00CE5311">
        <w:rPr>
          <w:rFonts w:ascii="Century Schoolbook" w:eastAsia="Times New Roman" w:hAnsi="Century Schoolbook" w:cs="Times New Roman"/>
          <w:lang w:eastAsia="fr-FR"/>
        </w:rPr>
        <w:t xml:space="preserve">turnover groups who revise their </w:t>
      </w:r>
      <w:r w:rsidR="00E354EB" w:rsidRPr="00AB75FD">
        <w:rPr>
          <w:rFonts w:ascii="Century Schoolbook" w:eastAsia="Times New Roman" w:hAnsi="Century Schoolbook" w:cs="Times New Roman"/>
          <w:lang w:eastAsia="fr-FR"/>
        </w:rPr>
        <w:t>recommendations on the same stock over a similar period</w:t>
      </w:r>
      <w:r w:rsidR="00586D73">
        <w:rPr>
          <w:rFonts w:ascii="Century Schoolbook" w:eastAsia="Times New Roman" w:hAnsi="Century Schoolbook" w:cs="Times New Roman"/>
          <w:lang w:eastAsia="fr-FR"/>
        </w:rPr>
        <w:t>.</w:t>
      </w:r>
    </w:p>
    <w:p w14:paraId="3B352143" w14:textId="52BA9BA8" w:rsidR="000A66AD" w:rsidRDefault="00E354EB" w:rsidP="00A00DFF">
      <w:pPr>
        <w:spacing w:line="480" w:lineRule="auto"/>
        <w:ind w:firstLine="284"/>
        <w:jc w:val="both"/>
        <w:rPr>
          <w:rFonts w:ascii="Century Schoolbook" w:hAnsi="Century Schoolbook" w:cs="Times New Roman"/>
        </w:rPr>
      </w:pPr>
      <w:r w:rsidRPr="00AB75FD">
        <w:rPr>
          <w:rFonts w:ascii="Century Schoolbook" w:eastAsia="Times New Roman" w:hAnsi="Century Schoolbook" w:cs="Times New Roman"/>
          <w:lang w:eastAsia="fr-FR"/>
        </w:rPr>
        <w:t>Panel A of Table 2 reports the number of analysts in each recommendation turno</w:t>
      </w:r>
      <w:r w:rsidR="00223954">
        <w:rPr>
          <w:rFonts w:ascii="Century Schoolbook" w:eastAsia="Times New Roman" w:hAnsi="Century Schoolbook" w:cs="Times New Roman"/>
          <w:lang w:eastAsia="fr-FR"/>
        </w:rPr>
        <w:t>ver group from 1996 through 2013</w:t>
      </w:r>
      <w:r w:rsidRPr="00AB75FD">
        <w:rPr>
          <w:rFonts w:ascii="Century Schoolbook" w:eastAsia="Times New Roman" w:hAnsi="Century Schoolbook" w:cs="Times New Roman"/>
          <w:lang w:eastAsia="fr-FR"/>
        </w:rPr>
        <w:t xml:space="preserve">. </w:t>
      </w:r>
      <w:r w:rsidR="00AC4C95" w:rsidRPr="00AB75FD">
        <w:rPr>
          <w:rFonts w:ascii="Century Schoolbook" w:eastAsia="Times New Roman" w:hAnsi="Century Schoolbook" w:cs="Times New Roman"/>
          <w:lang w:eastAsia="fr-FR"/>
        </w:rPr>
        <w:t>There are 521 distinct analysts in the sample in 1996, which is due to the relatively short recommendation history available in I/B/E/S for identifying eligible analysts.</w:t>
      </w:r>
      <w:r w:rsidR="00AC4C95" w:rsidRPr="00F27F5B">
        <w:rPr>
          <w:rFonts w:ascii="Century Schoolbook" w:hAnsi="Century Schoolbook" w:cs="Times New Roman"/>
          <w:i/>
        </w:rPr>
        <w:t xml:space="preserve"> </w:t>
      </w:r>
      <w:r w:rsidR="00AC4C95" w:rsidRPr="00AB75FD">
        <w:rPr>
          <w:rFonts w:ascii="Century Schoolbook" w:eastAsia="Times New Roman" w:hAnsi="Century Schoolbook" w:cs="Times New Roman"/>
          <w:lang w:eastAsia="fr-FR"/>
        </w:rPr>
        <w:t xml:space="preserve">However, the number of analysts that enter the sample increases steadily each year to 1,714 in the </w:t>
      </w:r>
      <w:r w:rsidR="00223954">
        <w:rPr>
          <w:rFonts w:ascii="Century Schoolbook" w:eastAsia="Times New Roman" w:hAnsi="Century Schoolbook" w:cs="Times New Roman"/>
          <w:lang w:eastAsia="fr-FR"/>
        </w:rPr>
        <w:t xml:space="preserve">year 2004. </w:t>
      </w:r>
      <w:r w:rsidRPr="00AB75FD">
        <w:rPr>
          <w:rFonts w:ascii="Century Schoolbook" w:eastAsia="Times New Roman" w:hAnsi="Century Schoolbook" w:cs="Times New Roman"/>
          <w:lang w:eastAsia="fr-FR"/>
        </w:rPr>
        <w:t xml:space="preserve">Panel B reports summary statistics for the </w:t>
      </w:r>
      <w:r w:rsidR="00FD0896" w:rsidRPr="00AB75FD">
        <w:rPr>
          <w:rFonts w:ascii="Century Schoolbook" w:eastAsia="Times New Roman" w:hAnsi="Century Schoolbook" w:cs="Times New Roman"/>
          <w:lang w:eastAsia="fr-FR"/>
        </w:rPr>
        <w:t xml:space="preserve">bias-adjusted </w:t>
      </w:r>
      <w:r w:rsidRPr="00AB75FD">
        <w:rPr>
          <w:rFonts w:ascii="Century Schoolbook" w:eastAsia="Times New Roman" w:hAnsi="Century Schoolbook" w:cs="Times New Roman"/>
          <w:lang w:eastAsia="fr-FR"/>
        </w:rPr>
        <w:t>time between recommendations</w:t>
      </w:r>
      <w:r w:rsidR="00316D68" w:rsidRPr="00AB75FD">
        <w:rPr>
          <w:rFonts w:ascii="Century Schoolbook" w:eastAsia="Times New Roman" w:hAnsi="Century Schoolbook" w:cs="Times New Roman"/>
          <w:lang w:eastAsia="fr-FR"/>
        </w:rPr>
        <w:t xml:space="preserve">. </w:t>
      </w:r>
      <w:r w:rsidR="00750B20" w:rsidRPr="00AB75FD">
        <w:rPr>
          <w:rFonts w:ascii="Century Schoolbook" w:eastAsia="Times New Roman" w:hAnsi="Century Schoolbook" w:cs="Times New Roman"/>
          <w:lang w:eastAsia="fr-FR"/>
        </w:rPr>
        <w:t>There is a clear difference in the time between recommendation revisions between the slow-turnover group (median of 19.</w:t>
      </w:r>
      <w:r w:rsidR="00516F58">
        <w:rPr>
          <w:rFonts w:ascii="Century Schoolbook" w:eastAsia="Times New Roman" w:hAnsi="Century Schoolbook" w:cs="Times New Roman"/>
          <w:lang w:eastAsia="fr-FR"/>
        </w:rPr>
        <w:t>4</w:t>
      </w:r>
      <w:r w:rsidR="00750B20" w:rsidRPr="00AB75FD">
        <w:rPr>
          <w:rFonts w:ascii="Century Schoolbook" w:eastAsia="Times New Roman" w:hAnsi="Century Schoolbook" w:cs="Times New Roman"/>
          <w:lang w:eastAsia="fr-FR"/>
        </w:rPr>
        <w:t xml:space="preserve"> months) and the fast-turnover group (median of 6.</w:t>
      </w:r>
      <w:r w:rsidR="00516F58">
        <w:rPr>
          <w:rFonts w:ascii="Century Schoolbook" w:eastAsia="Times New Roman" w:hAnsi="Century Schoolbook" w:cs="Times New Roman"/>
          <w:lang w:eastAsia="fr-FR"/>
        </w:rPr>
        <w:t>0</w:t>
      </w:r>
      <w:r w:rsidR="00750B20" w:rsidRPr="00AB75FD">
        <w:rPr>
          <w:rFonts w:ascii="Century Schoolbook" w:eastAsia="Times New Roman" w:hAnsi="Century Schoolbook" w:cs="Times New Roman"/>
          <w:lang w:eastAsia="fr-FR"/>
        </w:rPr>
        <w:t xml:space="preserve"> months). </w:t>
      </w:r>
      <w:r w:rsidR="00AC4C95" w:rsidRPr="00AB75FD">
        <w:rPr>
          <w:rFonts w:ascii="Century Schoolbook" w:eastAsia="Times New Roman" w:hAnsi="Century Schoolbook" w:cs="Times New Roman"/>
          <w:lang w:eastAsia="fr-FR"/>
        </w:rPr>
        <w:t>A</w:t>
      </w:r>
      <w:r w:rsidR="00214993" w:rsidRPr="00AB75FD">
        <w:rPr>
          <w:rFonts w:ascii="Century Schoolbook" w:eastAsia="Times New Roman" w:hAnsi="Century Schoolbook" w:cs="Times New Roman"/>
          <w:lang w:eastAsia="fr-FR"/>
        </w:rPr>
        <w:t xml:space="preserve">bout </w:t>
      </w:r>
      <w:r w:rsidR="00D12690" w:rsidRPr="00AB75FD">
        <w:rPr>
          <w:rFonts w:ascii="Century Schoolbook" w:eastAsia="Times New Roman" w:hAnsi="Century Schoolbook" w:cs="Times New Roman"/>
          <w:lang w:eastAsia="fr-FR"/>
        </w:rPr>
        <w:t>6</w:t>
      </w:r>
      <w:r w:rsidR="00516F58">
        <w:rPr>
          <w:rFonts w:ascii="Century Schoolbook" w:eastAsia="Times New Roman" w:hAnsi="Century Schoolbook" w:cs="Times New Roman"/>
          <w:lang w:eastAsia="fr-FR"/>
        </w:rPr>
        <w:t>8</w:t>
      </w:r>
      <w:r w:rsidR="00214993" w:rsidRPr="00AB75FD">
        <w:rPr>
          <w:rFonts w:ascii="Century Schoolbook" w:eastAsia="Times New Roman" w:hAnsi="Century Schoolbook" w:cs="Times New Roman"/>
          <w:lang w:eastAsia="fr-FR"/>
        </w:rPr>
        <w:t xml:space="preserve">% of analysts </w:t>
      </w:r>
      <w:r w:rsidR="00F2569D" w:rsidRPr="00AB75FD">
        <w:rPr>
          <w:rFonts w:ascii="Century Schoolbook" w:eastAsia="Times New Roman" w:hAnsi="Century Schoolbook" w:cs="Times New Roman"/>
          <w:lang w:eastAsia="fr-FR"/>
        </w:rPr>
        <w:t xml:space="preserve">in the sample </w:t>
      </w:r>
      <w:r w:rsidRPr="00AB75FD">
        <w:rPr>
          <w:rFonts w:ascii="Century Schoolbook" w:eastAsia="Times New Roman" w:hAnsi="Century Schoolbook" w:cs="Times New Roman"/>
          <w:lang w:eastAsia="fr-FR"/>
        </w:rPr>
        <w:t xml:space="preserve">are </w:t>
      </w:r>
      <w:r w:rsidR="00AC4C95" w:rsidRPr="00AB75FD">
        <w:rPr>
          <w:rFonts w:ascii="Century Schoolbook" w:eastAsia="Times New Roman" w:hAnsi="Century Schoolbook" w:cs="Times New Roman"/>
          <w:lang w:eastAsia="fr-FR"/>
        </w:rPr>
        <w:t xml:space="preserve">classified </w:t>
      </w:r>
      <w:r w:rsidRPr="00AB75FD">
        <w:rPr>
          <w:rFonts w:ascii="Century Schoolbook" w:eastAsia="Times New Roman" w:hAnsi="Century Schoolbook" w:cs="Times New Roman"/>
          <w:lang w:eastAsia="fr-FR"/>
        </w:rPr>
        <w:t>in the average</w:t>
      </w:r>
      <w:r w:rsidR="00AC4C95" w:rsidRPr="00AB75FD">
        <w:rPr>
          <w:rFonts w:ascii="Calibri" w:hAnsi="Calibri" w:cs="Times New Roman"/>
        </w:rPr>
        <w:t>-</w:t>
      </w:r>
      <w:r w:rsidRPr="00AB75FD">
        <w:rPr>
          <w:rFonts w:ascii="Century Schoolbook" w:hAnsi="Century Schoolbook" w:cs="Times New Roman"/>
        </w:rPr>
        <w:t>turnover group</w:t>
      </w:r>
      <w:r w:rsidR="00AC4C95" w:rsidRPr="00AB75FD">
        <w:rPr>
          <w:rFonts w:ascii="Century Schoolbook" w:hAnsi="Century Schoolbook" w:cs="Times New Roman"/>
        </w:rPr>
        <w:t>.</w:t>
      </w:r>
    </w:p>
    <w:p w14:paraId="6DC07C16" w14:textId="46DC3698" w:rsidR="00B552A2" w:rsidRDefault="002E4DDF" w:rsidP="00A00DFF">
      <w:pPr>
        <w:pStyle w:val="ListParagraph"/>
        <w:numPr>
          <w:ilvl w:val="0"/>
          <w:numId w:val="3"/>
        </w:numPr>
        <w:spacing w:line="480" w:lineRule="auto"/>
        <w:rPr>
          <w:rFonts w:ascii="Century Schoolbook" w:hAnsi="Century Schoolbook" w:cs="Times New Roman"/>
          <w:b/>
        </w:rPr>
      </w:pPr>
      <w:r w:rsidRPr="000E51CF">
        <w:rPr>
          <w:rFonts w:ascii="Century Schoolbook" w:hAnsi="Century Schoolbook" w:cs="Times New Roman"/>
          <w:b/>
        </w:rPr>
        <w:t xml:space="preserve">Is recommendation speed-style </w:t>
      </w:r>
      <w:r w:rsidR="00D47962" w:rsidRPr="000E51CF">
        <w:rPr>
          <w:rFonts w:ascii="Century Schoolbook" w:hAnsi="Century Schoolbook" w:cs="Times New Roman"/>
          <w:b/>
        </w:rPr>
        <w:t>an analyst</w:t>
      </w:r>
      <w:r w:rsidR="001426E1" w:rsidRPr="000E51CF">
        <w:rPr>
          <w:rFonts w:ascii="Century Schoolbook" w:hAnsi="Century Schoolbook" w:cs="Times New Roman"/>
          <w:b/>
        </w:rPr>
        <w:t>’</w:t>
      </w:r>
      <w:r w:rsidR="00D47962" w:rsidRPr="000E51CF">
        <w:rPr>
          <w:rFonts w:ascii="Century Schoolbook" w:hAnsi="Century Schoolbook" w:cs="Times New Roman"/>
          <w:b/>
        </w:rPr>
        <w:t>s</w:t>
      </w:r>
      <w:r w:rsidR="001426E1" w:rsidRPr="000E51CF">
        <w:rPr>
          <w:rFonts w:ascii="Century Schoolbook" w:hAnsi="Century Schoolbook" w:cs="Times New Roman"/>
          <w:b/>
        </w:rPr>
        <w:t xml:space="preserve"> individual trait</w:t>
      </w:r>
      <w:r w:rsidRPr="000E51CF">
        <w:rPr>
          <w:rFonts w:ascii="Century Schoolbook" w:hAnsi="Century Schoolbook" w:cs="Times New Roman"/>
          <w:b/>
        </w:rPr>
        <w:t>?</w:t>
      </w:r>
    </w:p>
    <w:p w14:paraId="7CA7B463" w14:textId="7CB22F8F" w:rsidR="004A4269" w:rsidRDefault="00074FCE" w:rsidP="00A00DFF">
      <w:pPr>
        <w:pStyle w:val="ListParagraph"/>
        <w:spacing w:line="480" w:lineRule="auto"/>
        <w:ind w:left="0"/>
        <w:jc w:val="both"/>
        <w:rPr>
          <w:rFonts w:ascii="Century Schoolbook" w:hAnsi="Century Schoolbook" w:cs="Times New Roman"/>
        </w:rPr>
      </w:pPr>
      <w:r>
        <w:rPr>
          <w:rFonts w:ascii="Century Schoolbook" w:hAnsi="Century Schoolbook" w:cs="Times New Roman"/>
        </w:rPr>
        <w:t>In this section, we</w:t>
      </w:r>
      <w:r w:rsidR="00C85F37">
        <w:rPr>
          <w:rFonts w:ascii="Century Schoolbook" w:hAnsi="Century Schoolbook" w:cs="Times New Roman"/>
        </w:rPr>
        <w:t xml:space="preserve"> provide </w:t>
      </w:r>
      <w:r w:rsidR="002B4322">
        <w:rPr>
          <w:rFonts w:ascii="Century Schoolbook" w:hAnsi="Century Schoolbook" w:cs="Times New Roman"/>
        </w:rPr>
        <w:t xml:space="preserve">evidence that </w:t>
      </w:r>
      <w:r w:rsidR="00C85F37">
        <w:rPr>
          <w:rFonts w:ascii="Century Schoolbook" w:hAnsi="Century Schoolbook" w:cs="Times New Roman"/>
        </w:rPr>
        <w:t>recommendation speed-style is an analyst characteristic. We start by discuss</w:t>
      </w:r>
      <w:r w:rsidR="00375DC2">
        <w:rPr>
          <w:rFonts w:ascii="Century Schoolbook" w:hAnsi="Century Schoolbook" w:cs="Times New Roman"/>
        </w:rPr>
        <w:t xml:space="preserve">ing </w:t>
      </w:r>
      <w:r w:rsidR="00C85F37">
        <w:rPr>
          <w:rFonts w:ascii="Century Schoolbook" w:hAnsi="Century Schoolbook" w:cs="Times New Roman"/>
        </w:rPr>
        <w:t>factors that could trigger analysts to revise their recom</w:t>
      </w:r>
      <w:r w:rsidR="002B4322">
        <w:rPr>
          <w:rFonts w:ascii="Century Schoolbook" w:hAnsi="Century Schoolbook" w:cs="Times New Roman"/>
        </w:rPr>
        <w:t xml:space="preserve">mendations. </w:t>
      </w:r>
      <w:r w:rsidR="00581AE3">
        <w:rPr>
          <w:rFonts w:ascii="Century Schoolbook" w:hAnsi="Century Schoolbook" w:cs="Times New Roman"/>
        </w:rPr>
        <w:t>Then</w:t>
      </w:r>
      <w:r w:rsidR="005861A0">
        <w:rPr>
          <w:rFonts w:ascii="Century Schoolbook" w:hAnsi="Century Schoolbook" w:cs="Times New Roman"/>
        </w:rPr>
        <w:t xml:space="preserve">, </w:t>
      </w:r>
      <w:r w:rsidR="00CA0E2A">
        <w:rPr>
          <w:rFonts w:ascii="Century Schoolbook" w:hAnsi="Century Schoolbook" w:cs="Times New Roman"/>
        </w:rPr>
        <w:t>w</w:t>
      </w:r>
      <w:r w:rsidR="0077657D">
        <w:rPr>
          <w:rFonts w:ascii="Century Schoolbook" w:hAnsi="Century Schoolbook" w:cs="Times New Roman"/>
        </w:rPr>
        <w:t xml:space="preserve">e show </w:t>
      </w:r>
      <w:r w:rsidR="00C85F37">
        <w:rPr>
          <w:rFonts w:ascii="Century Schoolbook" w:hAnsi="Century Schoolbook" w:cs="Times New Roman"/>
        </w:rPr>
        <w:t xml:space="preserve">that after controlling for </w:t>
      </w:r>
      <w:r w:rsidR="00375DC2">
        <w:rPr>
          <w:rFonts w:ascii="Century Schoolbook" w:hAnsi="Century Schoolbook" w:cs="Times New Roman"/>
        </w:rPr>
        <w:t xml:space="preserve">various recommendation </w:t>
      </w:r>
      <w:r w:rsidR="00C85F37">
        <w:rPr>
          <w:rFonts w:ascii="Century Schoolbook" w:hAnsi="Century Schoolbook" w:cs="Times New Roman"/>
        </w:rPr>
        <w:t xml:space="preserve">triggers, much of the variation in the speed at which analysts revise their recommendations is an </w:t>
      </w:r>
      <w:r w:rsidR="0082662B">
        <w:rPr>
          <w:rFonts w:ascii="Century Schoolbook" w:hAnsi="Century Schoolbook" w:cs="Times New Roman"/>
        </w:rPr>
        <w:t>analyst-</w:t>
      </w:r>
      <w:r w:rsidR="00C85F37">
        <w:rPr>
          <w:rFonts w:ascii="Century Schoolbook" w:hAnsi="Century Schoolbook" w:cs="Times New Roman"/>
        </w:rPr>
        <w:t>individual trait.</w:t>
      </w:r>
      <w:r w:rsidR="0082662B">
        <w:rPr>
          <w:rFonts w:ascii="Century Schoolbook" w:hAnsi="Century Schoolbook" w:cs="Times New Roman"/>
        </w:rPr>
        <w:t xml:space="preserve"> </w:t>
      </w:r>
      <w:r w:rsidR="002B4322">
        <w:rPr>
          <w:rFonts w:ascii="Century Schoolbook" w:hAnsi="Century Schoolbook" w:cs="Times New Roman"/>
        </w:rPr>
        <w:t>Finally, we end this section by examining analyst characteristics that are associated with slower and fast</w:t>
      </w:r>
      <w:r w:rsidR="00366AA5">
        <w:rPr>
          <w:rFonts w:ascii="Century Schoolbook" w:hAnsi="Century Schoolbook" w:cs="Times New Roman"/>
        </w:rPr>
        <w:t>er recommendation-speed styles.</w:t>
      </w:r>
    </w:p>
    <w:p w14:paraId="628FFD9C" w14:textId="77777777" w:rsidR="00A04A6D" w:rsidRDefault="00E47F5C" w:rsidP="00A00DFF">
      <w:pPr>
        <w:pStyle w:val="ListParagraph"/>
        <w:numPr>
          <w:ilvl w:val="1"/>
          <w:numId w:val="3"/>
        </w:numPr>
        <w:spacing w:line="480" w:lineRule="auto"/>
        <w:ind w:left="450"/>
        <w:rPr>
          <w:rFonts w:ascii="Century Schoolbook" w:hAnsi="Century Schoolbook" w:cs="Times New Roman"/>
          <w:b/>
          <w:i/>
        </w:rPr>
      </w:pPr>
      <w:r>
        <w:rPr>
          <w:rFonts w:ascii="Century Schoolbook" w:hAnsi="Century Schoolbook" w:cs="Times New Roman"/>
          <w:b/>
          <w:i/>
        </w:rPr>
        <w:t>Triggers of recommendation revisions</w:t>
      </w:r>
    </w:p>
    <w:p w14:paraId="1A3BFFE8" w14:textId="5B997213" w:rsidR="00E47F5C" w:rsidRDefault="00074FCE" w:rsidP="00A00DFF">
      <w:pPr>
        <w:spacing w:line="480" w:lineRule="auto"/>
        <w:jc w:val="both"/>
        <w:rPr>
          <w:rFonts w:ascii="Century Schoolbook" w:hAnsi="Century Schoolbook" w:cs="Times New Roman"/>
        </w:rPr>
      </w:pPr>
      <w:r>
        <w:rPr>
          <w:rFonts w:ascii="Century Schoolbook" w:hAnsi="Century Schoolbook" w:cs="Times New Roman"/>
        </w:rPr>
        <w:lastRenderedPageBreak/>
        <w:t>Intuitively,</w:t>
      </w:r>
      <w:r w:rsidR="00F30E56" w:rsidRPr="00A04A6D">
        <w:rPr>
          <w:rFonts w:ascii="Century Schoolbook" w:hAnsi="Century Schoolbook" w:cs="Times New Roman"/>
        </w:rPr>
        <w:t xml:space="preserve"> we expect </w:t>
      </w:r>
      <w:r w:rsidR="00A04A6D" w:rsidRPr="00A04A6D">
        <w:rPr>
          <w:rFonts w:ascii="Century Schoolbook" w:hAnsi="Century Schoolbook" w:cs="Times New Roman"/>
        </w:rPr>
        <w:t xml:space="preserve">an </w:t>
      </w:r>
      <w:r w:rsidR="00F30E56" w:rsidRPr="00A04A6D">
        <w:rPr>
          <w:rFonts w:ascii="Century Schoolbook" w:hAnsi="Century Schoolbook" w:cs="Times New Roman"/>
        </w:rPr>
        <w:t>analyst to upgrade (</w:t>
      </w:r>
      <w:r w:rsidR="00C26842">
        <w:rPr>
          <w:rFonts w:ascii="Century Schoolbook" w:hAnsi="Century Schoolbook" w:cs="Times New Roman"/>
        </w:rPr>
        <w:t xml:space="preserve">or </w:t>
      </w:r>
      <w:r w:rsidR="00F30E56" w:rsidRPr="00A04A6D">
        <w:rPr>
          <w:rFonts w:ascii="Century Schoolbook" w:hAnsi="Century Schoolbook" w:cs="Times New Roman"/>
        </w:rPr>
        <w:t>downgrade) a stock when the ratio of his own stock valuation to its current price (</w:t>
      </w:r>
      <w:r w:rsidR="00F30E56" w:rsidRPr="00A04A6D">
        <w:rPr>
          <w:rFonts w:ascii="Century Schoolbook" w:hAnsi="Century Schoolbook" w:cs="Times New Roman"/>
          <w:i/>
        </w:rPr>
        <w:t>V/P</w:t>
      </w:r>
      <w:r w:rsidR="000A66AD">
        <w:rPr>
          <w:rFonts w:ascii="Century Schoolbook" w:hAnsi="Century Schoolbook" w:cs="Times New Roman"/>
        </w:rPr>
        <w:t>) exceeds (</w:t>
      </w:r>
      <w:r w:rsidR="00C26842">
        <w:rPr>
          <w:rFonts w:ascii="Century Schoolbook" w:hAnsi="Century Schoolbook" w:cs="Times New Roman"/>
        </w:rPr>
        <w:t xml:space="preserve">or </w:t>
      </w:r>
      <w:r w:rsidR="00A04A6D" w:rsidRPr="00A04A6D">
        <w:rPr>
          <w:rFonts w:ascii="Century Schoolbook" w:hAnsi="Century Schoolbook" w:cs="Times New Roman"/>
        </w:rPr>
        <w:t>falls</w:t>
      </w:r>
      <w:r w:rsidR="00F30E56" w:rsidRPr="00A04A6D">
        <w:rPr>
          <w:rFonts w:ascii="Century Schoolbook" w:hAnsi="Century Schoolbook" w:cs="Times New Roman"/>
        </w:rPr>
        <w:t xml:space="preserve"> below</w:t>
      </w:r>
      <w:r w:rsidR="00A04A6D" w:rsidRPr="00A04A6D">
        <w:rPr>
          <w:rFonts w:ascii="Century Schoolbook" w:hAnsi="Century Schoolbook" w:cs="Times New Roman"/>
        </w:rPr>
        <w:t>)</w:t>
      </w:r>
      <w:r w:rsidR="00F30E56" w:rsidRPr="00A04A6D">
        <w:rPr>
          <w:rFonts w:ascii="Century Schoolbook" w:hAnsi="Century Schoolbook" w:cs="Times New Roman"/>
        </w:rPr>
        <w:t xml:space="preserve"> a certain threshold. </w:t>
      </w:r>
      <w:r w:rsidR="000A66AD">
        <w:rPr>
          <w:rFonts w:ascii="Century Schoolbook" w:hAnsi="Century Schoolbook" w:cs="Times New Roman"/>
        </w:rPr>
        <w:t xml:space="preserve">In this </w:t>
      </w:r>
      <w:r w:rsidR="00E34050">
        <w:rPr>
          <w:rFonts w:ascii="Century Schoolbook" w:hAnsi="Century Schoolbook" w:cs="Times New Roman"/>
        </w:rPr>
        <w:t xml:space="preserve">framework, </w:t>
      </w:r>
      <w:r w:rsidR="009B626F">
        <w:rPr>
          <w:rFonts w:ascii="Century Schoolbook" w:hAnsi="Century Schoolbook" w:cs="Times New Roman"/>
        </w:rPr>
        <w:t>several factors</w:t>
      </w:r>
      <w:r w:rsidR="0082662B">
        <w:rPr>
          <w:rFonts w:ascii="Century Schoolbook" w:hAnsi="Century Schoolbook" w:cs="Times New Roman"/>
        </w:rPr>
        <w:t xml:space="preserve"> </w:t>
      </w:r>
      <w:r>
        <w:rPr>
          <w:rFonts w:ascii="Century Schoolbook" w:hAnsi="Century Schoolbook" w:cs="Times New Roman"/>
        </w:rPr>
        <w:t xml:space="preserve">can speed up or delay </w:t>
      </w:r>
      <w:r w:rsidR="00E74C6F">
        <w:rPr>
          <w:rFonts w:ascii="Century Schoolbook" w:hAnsi="Century Schoolbook" w:cs="Times New Roman"/>
        </w:rPr>
        <w:t xml:space="preserve">analysts from </w:t>
      </w:r>
      <w:r w:rsidR="00FA7DFC">
        <w:rPr>
          <w:rFonts w:ascii="Century Schoolbook" w:hAnsi="Century Schoolbook" w:cs="Times New Roman"/>
        </w:rPr>
        <w:t>i</w:t>
      </w:r>
      <w:r w:rsidR="00E74C6F">
        <w:rPr>
          <w:rFonts w:ascii="Century Schoolbook" w:hAnsi="Century Schoolbook" w:cs="Times New Roman"/>
        </w:rPr>
        <w:t>ssuing</w:t>
      </w:r>
      <w:r w:rsidR="00FA7DFC">
        <w:rPr>
          <w:rFonts w:ascii="Century Schoolbook" w:hAnsi="Century Schoolbook" w:cs="Times New Roman"/>
        </w:rPr>
        <w:t xml:space="preserve"> </w:t>
      </w:r>
      <w:r w:rsidR="00E74C6F">
        <w:rPr>
          <w:rFonts w:ascii="Century Schoolbook" w:hAnsi="Century Schoolbook" w:cs="Times New Roman"/>
        </w:rPr>
        <w:t xml:space="preserve">a </w:t>
      </w:r>
      <w:r w:rsidR="00FA7DFC">
        <w:rPr>
          <w:rFonts w:ascii="Century Schoolbook" w:hAnsi="Century Schoolbook" w:cs="Times New Roman"/>
        </w:rPr>
        <w:t>new</w:t>
      </w:r>
      <w:r w:rsidR="00E34050">
        <w:rPr>
          <w:rFonts w:ascii="Century Schoolbook" w:hAnsi="Century Schoolbook" w:cs="Times New Roman"/>
        </w:rPr>
        <w:t xml:space="preserve"> </w:t>
      </w:r>
      <w:r w:rsidR="00E74C6F">
        <w:rPr>
          <w:rFonts w:ascii="Century Schoolbook" w:hAnsi="Century Schoolbook" w:cs="Times New Roman"/>
        </w:rPr>
        <w:t>recommendation</w:t>
      </w:r>
      <w:r w:rsidR="003437EA">
        <w:rPr>
          <w:rFonts w:ascii="Century Schoolbook" w:hAnsi="Century Schoolbook" w:cs="Times New Roman"/>
        </w:rPr>
        <w:t xml:space="preserve">. </w:t>
      </w:r>
      <w:r w:rsidR="00C90C3A">
        <w:rPr>
          <w:rFonts w:ascii="Century Schoolbook" w:hAnsi="Century Schoolbook" w:cs="Times New Roman"/>
        </w:rPr>
        <w:t xml:space="preserve">We group them into the following four </w:t>
      </w:r>
      <w:r w:rsidR="000C7AF7">
        <w:rPr>
          <w:rFonts w:ascii="Century Schoolbook" w:hAnsi="Century Schoolbook" w:cs="Times New Roman"/>
        </w:rPr>
        <w:t>channel</w:t>
      </w:r>
      <w:r w:rsidR="008A6C48">
        <w:rPr>
          <w:rFonts w:ascii="Century Schoolbook" w:hAnsi="Century Schoolbook" w:cs="Times New Roman"/>
        </w:rPr>
        <w:t>s</w:t>
      </w:r>
      <w:r>
        <w:rPr>
          <w:rFonts w:ascii="Century Schoolbook" w:hAnsi="Century Schoolbook" w:cs="Times New Roman"/>
        </w:rPr>
        <w:t>.</w:t>
      </w:r>
      <w:r w:rsidR="00C90C3A">
        <w:rPr>
          <w:rFonts w:ascii="Century Schoolbook" w:hAnsi="Century Schoolbook" w:cs="Times New Roman"/>
        </w:rPr>
        <w:t xml:space="preserve"> </w:t>
      </w:r>
      <w:r w:rsidR="00F96A84">
        <w:rPr>
          <w:rFonts w:ascii="Century Schoolbook" w:hAnsi="Century Schoolbook" w:cs="Times New Roman"/>
        </w:rPr>
        <w:t xml:space="preserve">These channels </w:t>
      </w:r>
      <w:r w:rsidR="000A66AD">
        <w:rPr>
          <w:rFonts w:ascii="Century Schoolbook" w:hAnsi="Century Schoolbook" w:cs="Times New Roman"/>
        </w:rPr>
        <w:t>need not be mutually exclusive.</w:t>
      </w:r>
    </w:p>
    <w:p w14:paraId="2B5D8CE1" w14:textId="7339A54C" w:rsidR="00A577E7" w:rsidRDefault="009C6C08" w:rsidP="00A00DFF">
      <w:pPr>
        <w:spacing w:line="480" w:lineRule="auto"/>
        <w:ind w:firstLine="360"/>
        <w:jc w:val="both"/>
        <w:rPr>
          <w:rFonts w:ascii="Century Schoolbook" w:hAnsi="Century Schoolbook" w:cs="Times New Roman"/>
        </w:rPr>
      </w:pPr>
      <w:r>
        <w:rPr>
          <w:rFonts w:ascii="Century Schoolbook" w:hAnsi="Century Schoolbook" w:cs="Times New Roman"/>
        </w:rPr>
        <w:t xml:space="preserve">The first </w:t>
      </w:r>
      <w:r w:rsidR="00D969DA">
        <w:rPr>
          <w:rFonts w:ascii="Century Schoolbook" w:hAnsi="Century Schoolbook" w:cs="Times New Roman"/>
        </w:rPr>
        <w:t>channel</w:t>
      </w:r>
      <w:r>
        <w:rPr>
          <w:rFonts w:ascii="Century Schoolbook" w:hAnsi="Century Schoolbook" w:cs="Times New Roman"/>
        </w:rPr>
        <w:t xml:space="preserve"> is the</w:t>
      </w:r>
      <w:r w:rsidR="00C04F73">
        <w:rPr>
          <w:rFonts w:ascii="Century Schoolbook" w:hAnsi="Century Schoolbook" w:cs="Times New Roman"/>
        </w:rPr>
        <w:t xml:space="preserve"> </w:t>
      </w:r>
      <w:r w:rsidR="00E74C6F">
        <w:rPr>
          <w:rFonts w:ascii="Century Schoolbook" w:hAnsi="Century Schoolbook" w:cs="Times New Roman"/>
        </w:rPr>
        <w:t xml:space="preserve">arrival </w:t>
      </w:r>
      <w:r w:rsidR="000E51CF">
        <w:rPr>
          <w:rFonts w:ascii="Century Schoolbook" w:hAnsi="Century Schoolbook" w:cs="Times New Roman"/>
        </w:rPr>
        <w:t xml:space="preserve">of </w:t>
      </w:r>
      <w:r w:rsidR="00C04F73">
        <w:rPr>
          <w:rFonts w:ascii="Century Schoolbook" w:hAnsi="Century Schoolbook" w:cs="Times New Roman"/>
        </w:rPr>
        <w:t>new information</w:t>
      </w:r>
      <w:r w:rsidR="002E7429">
        <w:rPr>
          <w:rFonts w:ascii="Century Schoolbook" w:hAnsi="Century Schoolbook" w:cs="Times New Roman"/>
        </w:rPr>
        <w:t xml:space="preserve">, which </w:t>
      </w:r>
      <w:r w:rsidR="00D969DA">
        <w:rPr>
          <w:rFonts w:ascii="Century Schoolbook" w:hAnsi="Century Schoolbook" w:cs="Times New Roman"/>
        </w:rPr>
        <w:t xml:space="preserve">affects analysts’ </w:t>
      </w:r>
      <w:r w:rsidR="00C04F73">
        <w:rPr>
          <w:rFonts w:ascii="Century Schoolbook" w:hAnsi="Century Schoolbook" w:cs="Times New Roman"/>
        </w:rPr>
        <w:t xml:space="preserve">assessment of the </w:t>
      </w:r>
      <w:r w:rsidR="00114BD1" w:rsidRPr="00114BD1">
        <w:rPr>
          <w:rFonts w:ascii="Century Schoolbook" w:hAnsi="Century Schoolbook" w:cs="Times New Roman"/>
          <w:i/>
        </w:rPr>
        <w:t xml:space="preserve">stock </w:t>
      </w:r>
      <w:r w:rsidR="00C04F73" w:rsidRPr="00114BD1">
        <w:rPr>
          <w:rFonts w:ascii="Century Schoolbook" w:hAnsi="Century Schoolbook" w:cs="Times New Roman"/>
          <w:i/>
        </w:rPr>
        <w:t>value</w:t>
      </w:r>
      <w:r w:rsidR="00C04F73">
        <w:rPr>
          <w:rFonts w:ascii="Century Schoolbook" w:hAnsi="Century Schoolbook" w:cs="Times New Roman"/>
        </w:rPr>
        <w:t xml:space="preserve"> (</w:t>
      </w:r>
      <w:r w:rsidR="00C04F73">
        <w:rPr>
          <w:rFonts w:ascii="Century Schoolbook" w:hAnsi="Century Schoolbook" w:cs="Times New Roman"/>
          <w:i/>
        </w:rPr>
        <w:t>V</w:t>
      </w:r>
      <w:r w:rsidR="00E74C6F">
        <w:rPr>
          <w:rFonts w:ascii="Century Schoolbook" w:hAnsi="Century Schoolbook" w:cs="Times New Roman"/>
          <w:i/>
        </w:rPr>
        <w:t xml:space="preserve">), </w:t>
      </w:r>
      <w:r w:rsidR="00D969DA">
        <w:rPr>
          <w:rFonts w:ascii="Century Schoolbook" w:hAnsi="Century Schoolbook" w:cs="Times New Roman"/>
        </w:rPr>
        <w:t xml:space="preserve">and </w:t>
      </w:r>
      <w:r w:rsidR="00E74C6F" w:rsidRPr="00E74C6F">
        <w:rPr>
          <w:rFonts w:ascii="Century Schoolbook" w:hAnsi="Century Schoolbook" w:cs="Times New Roman"/>
        </w:rPr>
        <w:t xml:space="preserve">thereby, </w:t>
      </w:r>
      <w:r w:rsidR="00B67B10">
        <w:rPr>
          <w:rFonts w:ascii="Century Schoolbook" w:hAnsi="Century Schoolbook" w:cs="Times New Roman"/>
        </w:rPr>
        <w:t>can</w:t>
      </w:r>
      <w:r w:rsidR="002E7429">
        <w:rPr>
          <w:rFonts w:ascii="Century Schoolbook" w:hAnsi="Century Schoolbook" w:cs="Times New Roman"/>
        </w:rPr>
        <w:t xml:space="preserve"> trigger</w:t>
      </w:r>
      <w:r w:rsidR="00E74C6F">
        <w:rPr>
          <w:rFonts w:ascii="Century Schoolbook" w:hAnsi="Century Schoolbook" w:cs="Times New Roman"/>
        </w:rPr>
        <w:t xml:space="preserve"> recommendation</w:t>
      </w:r>
      <w:r w:rsidR="002E7429">
        <w:rPr>
          <w:rFonts w:ascii="Century Schoolbook" w:hAnsi="Century Schoolbook" w:cs="Times New Roman"/>
        </w:rPr>
        <w:t xml:space="preserve"> revisions</w:t>
      </w:r>
      <w:r w:rsidR="00E74C6F" w:rsidRPr="00E74C6F">
        <w:rPr>
          <w:rFonts w:ascii="Century Schoolbook" w:hAnsi="Century Schoolbook" w:cs="Times New Roman"/>
        </w:rPr>
        <w:t>.</w:t>
      </w:r>
      <w:r w:rsidR="00E74C6F">
        <w:rPr>
          <w:rFonts w:ascii="Century Schoolbook" w:hAnsi="Century Schoolbook" w:cs="Times New Roman"/>
          <w:i/>
        </w:rPr>
        <w:t xml:space="preserve"> </w:t>
      </w:r>
      <w:r w:rsidR="00C04F73">
        <w:rPr>
          <w:rFonts w:ascii="Century Schoolbook" w:hAnsi="Century Schoolbook" w:cs="Times New Roman"/>
        </w:rPr>
        <w:t xml:space="preserve">The information that analysts uncover may be public, such as corporate </w:t>
      </w:r>
      <w:r w:rsidR="004824E7">
        <w:rPr>
          <w:rFonts w:ascii="Century Schoolbook" w:hAnsi="Century Schoolbook" w:cs="Times New Roman"/>
        </w:rPr>
        <w:t>disclosures.</w:t>
      </w:r>
      <w:r w:rsidR="00C04F73">
        <w:rPr>
          <w:rFonts w:ascii="Century Schoolbook" w:hAnsi="Century Schoolbook" w:cs="Times New Roman"/>
        </w:rPr>
        <w:t xml:space="preserve"> </w:t>
      </w:r>
      <w:r w:rsidR="00F04039">
        <w:rPr>
          <w:rFonts w:ascii="Century Schoolbook" w:hAnsi="Century Schoolbook" w:cs="Times New Roman"/>
        </w:rPr>
        <w:t xml:space="preserve">Analysts may </w:t>
      </w:r>
      <w:r w:rsidR="00F70152">
        <w:rPr>
          <w:rFonts w:ascii="Century Schoolbook" w:hAnsi="Century Schoolbook" w:cs="Times New Roman"/>
        </w:rPr>
        <w:t xml:space="preserve">also acquire </w:t>
      </w:r>
      <w:r w:rsidR="00F04039">
        <w:rPr>
          <w:rFonts w:ascii="Century Schoolbook" w:hAnsi="Century Schoolbook" w:cs="Times New Roman"/>
        </w:rPr>
        <w:t>information</w:t>
      </w:r>
      <w:r w:rsidR="00F70152">
        <w:rPr>
          <w:rFonts w:ascii="Century Schoolbook" w:hAnsi="Century Schoolbook" w:cs="Times New Roman"/>
        </w:rPr>
        <w:t xml:space="preserve"> privately</w:t>
      </w:r>
      <w:r w:rsidR="00F04039">
        <w:rPr>
          <w:rFonts w:ascii="Century Schoolbook" w:hAnsi="Century Schoolbook" w:cs="Times New Roman"/>
        </w:rPr>
        <w:t xml:space="preserve"> through their interactions with firm managers or </w:t>
      </w:r>
      <w:r w:rsidR="002E7429">
        <w:rPr>
          <w:rFonts w:ascii="Century Schoolbook" w:hAnsi="Century Schoolbook" w:cs="Times New Roman"/>
        </w:rPr>
        <w:t>from their own research. In the latter</w:t>
      </w:r>
      <w:r w:rsidR="00F04039">
        <w:rPr>
          <w:rFonts w:ascii="Century Schoolbook" w:hAnsi="Century Schoolbook" w:cs="Times New Roman"/>
        </w:rPr>
        <w:t xml:space="preserve"> case, the new information that analysts uncover is </w:t>
      </w:r>
      <w:r w:rsidR="00F70152">
        <w:rPr>
          <w:rFonts w:ascii="Century Schoolbook" w:hAnsi="Century Schoolbook" w:cs="Times New Roman"/>
        </w:rPr>
        <w:t>not publicly observable</w:t>
      </w:r>
      <w:r w:rsidR="002E7429">
        <w:rPr>
          <w:rFonts w:ascii="Century Schoolbook" w:hAnsi="Century Schoolbook" w:cs="Times New Roman"/>
        </w:rPr>
        <w:t xml:space="preserve"> and hence is unknown to </w:t>
      </w:r>
      <w:r w:rsidR="00F04039">
        <w:rPr>
          <w:rFonts w:ascii="Century Schoolbook" w:hAnsi="Century Schoolbook" w:cs="Times New Roman"/>
        </w:rPr>
        <w:t>econometrician</w:t>
      </w:r>
      <w:r w:rsidR="002E7429">
        <w:rPr>
          <w:rFonts w:ascii="Century Schoolbook" w:hAnsi="Century Schoolbook" w:cs="Times New Roman"/>
        </w:rPr>
        <w:t>s</w:t>
      </w:r>
      <w:r w:rsidR="009511F1">
        <w:rPr>
          <w:rFonts w:ascii="Century Schoolbook" w:hAnsi="Century Schoolbook" w:cs="Times New Roman"/>
        </w:rPr>
        <w:t>.</w:t>
      </w:r>
      <w:r w:rsidR="00F04039">
        <w:rPr>
          <w:rFonts w:ascii="Century Schoolbook" w:hAnsi="Century Schoolbook" w:cs="Times New Roman"/>
        </w:rPr>
        <w:t xml:space="preserve"> </w:t>
      </w:r>
      <w:r w:rsidR="00F04039" w:rsidRPr="000A767D">
        <w:rPr>
          <w:rFonts w:ascii="Century Schoolbook" w:hAnsi="Century Schoolbook" w:cs="Times New Roman"/>
        </w:rPr>
        <w:t xml:space="preserve">We </w:t>
      </w:r>
      <w:r w:rsidR="008326E0" w:rsidRPr="000A767D">
        <w:rPr>
          <w:rFonts w:ascii="Century Schoolbook" w:hAnsi="Century Schoolbook" w:cs="Times New Roman"/>
        </w:rPr>
        <w:t xml:space="preserve">expect that the speed at which analysts revise their recommendations </w:t>
      </w:r>
      <w:r w:rsidR="00D46AA8" w:rsidRPr="000A767D">
        <w:rPr>
          <w:rFonts w:ascii="Century Schoolbook" w:hAnsi="Century Schoolbook" w:cs="Times New Roman"/>
        </w:rPr>
        <w:t xml:space="preserve">is </w:t>
      </w:r>
      <w:r w:rsidR="00F70152" w:rsidRPr="000A767D">
        <w:rPr>
          <w:rFonts w:ascii="Century Schoolbook" w:hAnsi="Century Schoolbook" w:cs="Times New Roman"/>
        </w:rPr>
        <w:t>increas</w:t>
      </w:r>
      <w:r w:rsidR="00D46AA8" w:rsidRPr="000A767D">
        <w:rPr>
          <w:rFonts w:ascii="Century Schoolbook" w:hAnsi="Century Schoolbook" w:cs="Times New Roman"/>
        </w:rPr>
        <w:t>ing</w:t>
      </w:r>
      <w:r w:rsidR="00F70152" w:rsidRPr="000A767D">
        <w:rPr>
          <w:rFonts w:ascii="Century Schoolbook" w:hAnsi="Century Schoolbook" w:cs="Times New Roman"/>
        </w:rPr>
        <w:t xml:space="preserve"> </w:t>
      </w:r>
      <w:r w:rsidR="002D141E" w:rsidRPr="000A767D">
        <w:rPr>
          <w:rFonts w:ascii="Century Schoolbook" w:hAnsi="Century Schoolbook" w:cs="Times New Roman"/>
        </w:rPr>
        <w:t xml:space="preserve">with </w:t>
      </w:r>
      <w:r w:rsidR="008326E0" w:rsidRPr="000A767D">
        <w:rPr>
          <w:rFonts w:ascii="Century Schoolbook" w:hAnsi="Century Schoolbook" w:cs="Times New Roman"/>
        </w:rPr>
        <w:t xml:space="preserve">the intensity of </w:t>
      </w:r>
      <w:r w:rsidR="00F70152" w:rsidRPr="000A767D">
        <w:rPr>
          <w:rFonts w:ascii="Century Schoolbook" w:hAnsi="Century Schoolbook" w:cs="Times New Roman"/>
        </w:rPr>
        <w:t>information</w:t>
      </w:r>
      <w:r w:rsidR="008326E0" w:rsidRPr="000A767D">
        <w:rPr>
          <w:rFonts w:ascii="Century Schoolbook" w:hAnsi="Century Schoolbook" w:cs="Times New Roman"/>
        </w:rPr>
        <w:t xml:space="preserve"> arrival.</w:t>
      </w:r>
      <w:r w:rsidR="008326E0">
        <w:rPr>
          <w:rFonts w:ascii="Century Schoolbook" w:hAnsi="Century Schoolbook" w:cs="Times New Roman"/>
        </w:rPr>
        <w:t xml:space="preserve"> </w:t>
      </w:r>
    </w:p>
    <w:p w14:paraId="4FC40680" w14:textId="5A86BEBB" w:rsidR="00FA09F0" w:rsidRPr="00C760C5" w:rsidRDefault="006838E7" w:rsidP="00A00DFF">
      <w:pPr>
        <w:spacing w:line="480" w:lineRule="auto"/>
        <w:ind w:firstLine="360"/>
        <w:jc w:val="both"/>
        <w:rPr>
          <w:rFonts w:ascii="Century Schoolbook" w:hAnsi="Century Schoolbook" w:cs="Times New Roman"/>
        </w:rPr>
      </w:pPr>
      <w:r>
        <w:rPr>
          <w:rFonts w:ascii="Century Schoolbook" w:hAnsi="Century Schoolbook" w:cs="Times New Roman"/>
        </w:rPr>
        <w:t xml:space="preserve">The </w:t>
      </w:r>
      <w:r w:rsidR="00926B99">
        <w:rPr>
          <w:rFonts w:ascii="Century Schoolbook" w:hAnsi="Century Schoolbook" w:cs="Times New Roman"/>
        </w:rPr>
        <w:t xml:space="preserve">second channel that affects </w:t>
      </w:r>
      <w:r w:rsidR="003437EA">
        <w:rPr>
          <w:rFonts w:ascii="Century Schoolbook" w:hAnsi="Century Schoolbook" w:cs="Times New Roman"/>
        </w:rPr>
        <w:t xml:space="preserve">the </w:t>
      </w:r>
      <w:r>
        <w:rPr>
          <w:rFonts w:ascii="Century Schoolbook" w:hAnsi="Century Schoolbook" w:cs="Times New Roman"/>
        </w:rPr>
        <w:t xml:space="preserve">ratio of an analyst’s valuation-to-price </w:t>
      </w:r>
      <w:r w:rsidR="00926B99">
        <w:rPr>
          <w:rFonts w:ascii="Century Schoolbook" w:hAnsi="Century Schoolbook" w:cs="Times New Roman"/>
        </w:rPr>
        <w:t>ratio is thr</w:t>
      </w:r>
      <w:r w:rsidR="00FA09F0">
        <w:rPr>
          <w:rFonts w:ascii="Century Schoolbook" w:hAnsi="Century Schoolbook" w:cs="Times New Roman"/>
        </w:rPr>
        <w:t xml:space="preserve">ough </w:t>
      </w:r>
      <w:r w:rsidR="002E7429">
        <w:rPr>
          <w:rFonts w:ascii="Century Schoolbook" w:hAnsi="Century Schoolbook" w:cs="Times New Roman"/>
        </w:rPr>
        <w:t xml:space="preserve">the </w:t>
      </w:r>
      <w:r w:rsidR="00926B99">
        <w:rPr>
          <w:rFonts w:ascii="Century Schoolbook" w:hAnsi="Century Schoolbook" w:cs="Times New Roman"/>
        </w:rPr>
        <w:t xml:space="preserve">publicly traded </w:t>
      </w:r>
      <w:r w:rsidR="00926B99" w:rsidRPr="00114BD1">
        <w:rPr>
          <w:rFonts w:ascii="Century Schoolbook" w:hAnsi="Century Schoolbook" w:cs="Times New Roman"/>
          <w:i/>
        </w:rPr>
        <w:t>share price</w:t>
      </w:r>
      <w:r w:rsidR="00FA09F0">
        <w:rPr>
          <w:rFonts w:ascii="Century Schoolbook" w:hAnsi="Century Schoolbook" w:cs="Times New Roman"/>
        </w:rPr>
        <w:t xml:space="preserve"> (</w:t>
      </w:r>
      <w:r w:rsidR="00FA09F0" w:rsidRPr="00FA09F0">
        <w:rPr>
          <w:rFonts w:ascii="Century Schoolbook" w:hAnsi="Century Schoolbook" w:cs="Times New Roman"/>
          <w:i/>
        </w:rPr>
        <w:t>P</w:t>
      </w:r>
      <w:r w:rsidR="00FA09F0">
        <w:rPr>
          <w:rFonts w:ascii="Century Schoolbook" w:hAnsi="Century Schoolbook" w:cs="Times New Roman"/>
        </w:rPr>
        <w:t>)</w:t>
      </w:r>
      <w:r w:rsidR="00926B99">
        <w:rPr>
          <w:rFonts w:ascii="Century Schoolbook" w:hAnsi="Century Schoolbook" w:cs="Times New Roman"/>
        </w:rPr>
        <w:t>.</w:t>
      </w:r>
      <w:r w:rsidR="008326E0">
        <w:rPr>
          <w:rFonts w:ascii="Century Schoolbook" w:hAnsi="Century Schoolbook" w:cs="Times New Roman"/>
        </w:rPr>
        <w:t xml:space="preserve"> </w:t>
      </w:r>
      <w:r w:rsidR="00292B2C">
        <w:rPr>
          <w:rFonts w:ascii="Century Schoolbook" w:hAnsi="Century Schoolbook" w:cs="Times New Roman"/>
        </w:rPr>
        <w:t xml:space="preserve">An increase (or fall) in </w:t>
      </w:r>
      <w:r w:rsidR="002E7429">
        <w:rPr>
          <w:rFonts w:ascii="Century Schoolbook" w:hAnsi="Century Schoolbook" w:cs="Times New Roman"/>
        </w:rPr>
        <w:t xml:space="preserve">the </w:t>
      </w:r>
      <w:r w:rsidR="00292B2C">
        <w:rPr>
          <w:rFonts w:ascii="Century Schoolbook" w:hAnsi="Century Schoolbook" w:cs="Times New Roman"/>
        </w:rPr>
        <w:t>share price lower</w:t>
      </w:r>
      <w:r w:rsidR="00F70152">
        <w:rPr>
          <w:rFonts w:ascii="Century Schoolbook" w:hAnsi="Century Schoolbook" w:cs="Times New Roman"/>
        </w:rPr>
        <w:t>s</w:t>
      </w:r>
      <w:r w:rsidR="00292B2C">
        <w:rPr>
          <w:rFonts w:ascii="Century Schoolbook" w:hAnsi="Century Schoolbook" w:cs="Times New Roman"/>
        </w:rPr>
        <w:t xml:space="preserve"> (raise</w:t>
      </w:r>
      <w:r w:rsidR="00F70152">
        <w:rPr>
          <w:rFonts w:ascii="Century Schoolbook" w:hAnsi="Century Schoolbook" w:cs="Times New Roman"/>
        </w:rPr>
        <w:t>s</w:t>
      </w:r>
      <w:r w:rsidR="00292B2C">
        <w:rPr>
          <w:rFonts w:ascii="Century Schoolbook" w:hAnsi="Century Schoolbook" w:cs="Times New Roman"/>
        </w:rPr>
        <w:t xml:space="preserve">) </w:t>
      </w:r>
      <w:r w:rsidR="008326E0">
        <w:rPr>
          <w:rFonts w:ascii="Century Schoolbook" w:hAnsi="Century Schoolbook" w:cs="Times New Roman"/>
        </w:rPr>
        <w:t xml:space="preserve">analysts’ </w:t>
      </w:r>
      <w:r w:rsidR="00292B2C">
        <w:rPr>
          <w:rFonts w:ascii="Century Schoolbook" w:hAnsi="Century Schoolbook" w:cs="Times New Roman"/>
        </w:rPr>
        <w:t xml:space="preserve">own </w:t>
      </w:r>
      <w:r w:rsidR="008326E0">
        <w:rPr>
          <w:rFonts w:ascii="Century Schoolbook" w:hAnsi="Century Schoolbook" w:cs="Times New Roman"/>
        </w:rPr>
        <w:t>valuation</w:t>
      </w:r>
      <w:r w:rsidR="002C48B9">
        <w:rPr>
          <w:rFonts w:ascii="Century Schoolbook" w:hAnsi="Century Schoolbook" w:cs="Times New Roman"/>
        </w:rPr>
        <w:t>-to-price ratio</w:t>
      </w:r>
      <w:r w:rsidR="00292B2C">
        <w:rPr>
          <w:rFonts w:ascii="Century Schoolbook" w:hAnsi="Century Schoolbook" w:cs="Times New Roman"/>
        </w:rPr>
        <w:t xml:space="preserve"> </w:t>
      </w:r>
      <w:r w:rsidR="00292B2C" w:rsidRPr="00A04A6D">
        <w:rPr>
          <w:rFonts w:ascii="Century Schoolbook" w:hAnsi="Century Schoolbook" w:cs="Times New Roman"/>
        </w:rPr>
        <w:t>(</w:t>
      </w:r>
      <w:r w:rsidR="00292B2C" w:rsidRPr="00A04A6D">
        <w:rPr>
          <w:rFonts w:ascii="Century Schoolbook" w:hAnsi="Century Schoolbook" w:cs="Times New Roman"/>
          <w:i/>
        </w:rPr>
        <w:t>V/P</w:t>
      </w:r>
      <w:r w:rsidR="00292B2C" w:rsidRPr="00A04A6D">
        <w:rPr>
          <w:rFonts w:ascii="Century Schoolbook" w:hAnsi="Century Schoolbook" w:cs="Times New Roman"/>
        </w:rPr>
        <w:t>)</w:t>
      </w:r>
      <w:r w:rsidR="002C48B9">
        <w:rPr>
          <w:rFonts w:ascii="Century Schoolbook" w:hAnsi="Century Schoolbook" w:cs="Times New Roman"/>
        </w:rPr>
        <w:t xml:space="preserve">, which may </w:t>
      </w:r>
      <w:r w:rsidR="00292B2C">
        <w:rPr>
          <w:rFonts w:ascii="Century Schoolbook" w:hAnsi="Century Schoolbook" w:cs="Times New Roman"/>
        </w:rPr>
        <w:t>trigger a</w:t>
      </w:r>
      <w:r w:rsidR="00A74588">
        <w:rPr>
          <w:rFonts w:ascii="Century Schoolbook" w:hAnsi="Century Schoolbook" w:cs="Times New Roman"/>
        </w:rPr>
        <w:t>n upgrade (or a downgrade)</w:t>
      </w:r>
      <w:r w:rsidR="008326E0">
        <w:rPr>
          <w:rFonts w:ascii="Century Schoolbook" w:hAnsi="Century Schoolbook" w:cs="Times New Roman"/>
        </w:rPr>
        <w:t xml:space="preserve"> </w:t>
      </w:r>
      <w:r w:rsidR="00A74588">
        <w:rPr>
          <w:rFonts w:ascii="Century Schoolbook" w:hAnsi="Century Schoolbook" w:cs="Times New Roman"/>
        </w:rPr>
        <w:t>stock recommendation</w:t>
      </w:r>
      <w:r w:rsidR="008326E0">
        <w:rPr>
          <w:rFonts w:ascii="Century Schoolbook" w:hAnsi="Century Schoolbook" w:cs="Times New Roman"/>
        </w:rPr>
        <w:t xml:space="preserve">. </w:t>
      </w:r>
      <w:r w:rsidR="00292B2C">
        <w:rPr>
          <w:rFonts w:ascii="Century Schoolbook" w:hAnsi="Century Schoolbook" w:cs="Times New Roman"/>
        </w:rPr>
        <w:t xml:space="preserve">Changes in stock price can occur gradually or suddenly (i.e., </w:t>
      </w:r>
      <w:r w:rsidR="002E7429">
        <w:rPr>
          <w:rFonts w:ascii="Century Schoolbook" w:hAnsi="Century Schoolbook" w:cs="Times New Roman"/>
        </w:rPr>
        <w:t xml:space="preserve">price </w:t>
      </w:r>
      <w:r w:rsidR="00292B2C">
        <w:rPr>
          <w:rFonts w:ascii="Century Schoolbook" w:hAnsi="Century Schoolbook" w:cs="Times New Roman"/>
        </w:rPr>
        <w:t xml:space="preserve">jumps). Such </w:t>
      </w:r>
      <w:r w:rsidR="00FA7DFC">
        <w:rPr>
          <w:rFonts w:ascii="Century Schoolbook" w:hAnsi="Century Schoolbook" w:cs="Times New Roman"/>
        </w:rPr>
        <w:t xml:space="preserve">price </w:t>
      </w:r>
      <w:r w:rsidR="00292B2C">
        <w:rPr>
          <w:rFonts w:ascii="Century Schoolbook" w:hAnsi="Century Schoolbook" w:cs="Times New Roman"/>
        </w:rPr>
        <w:t xml:space="preserve">changes may be </w:t>
      </w:r>
      <w:r w:rsidR="002E7429">
        <w:rPr>
          <w:rFonts w:ascii="Century Schoolbook" w:hAnsi="Century Schoolbook" w:cs="Times New Roman"/>
        </w:rPr>
        <w:t>due to</w:t>
      </w:r>
      <w:r w:rsidR="00292B2C">
        <w:rPr>
          <w:rFonts w:ascii="Century Schoolbook" w:hAnsi="Century Schoolbook" w:cs="Times New Roman"/>
        </w:rPr>
        <w:t xml:space="preserve"> </w:t>
      </w:r>
      <w:r w:rsidR="00FA7DFC">
        <w:rPr>
          <w:rFonts w:ascii="Century Schoolbook" w:hAnsi="Century Schoolbook" w:cs="Times New Roman"/>
        </w:rPr>
        <w:t>the arrival of news</w:t>
      </w:r>
      <w:r w:rsidR="00292B2C">
        <w:rPr>
          <w:rFonts w:ascii="Century Schoolbook" w:hAnsi="Century Schoolbook" w:cs="Times New Roman"/>
        </w:rPr>
        <w:t xml:space="preserve">, and </w:t>
      </w:r>
      <w:r w:rsidR="002E7429">
        <w:rPr>
          <w:rFonts w:ascii="Century Schoolbook" w:hAnsi="Century Schoolbook" w:cs="Times New Roman"/>
        </w:rPr>
        <w:t xml:space="preserve">thus </w:t>
      </w:r>
      <w:r w:rsidR="00292B2C">
        <w:rPr>
          <w:rFonts w:ascii="Century Schoolbook" w:hAnsi="Century Schoolbook" w:cs="Times New Roman"/>
        </w:rPr>
        <w:t xml:space="preserve">in this case, the </w:t>
      </w:r>
      <w:r w:rsidR="002C48B9">
        <w:rPr>
          <w:rFonts w:ascii="Century Schoolbook" w:hAnsi="Century Schoolbook" w:cs="Times New Roman"/>
        </w:rPr>
        <w:t>price</w:t>
      </w:r>
      <w:r w:rsidR="008326E0">
        <w:rPr>
          <w:rFonts w:ascii="Century Schoolbook" w:hAnsi="Century Schoolbook" w:cs="Times New Roman"/>
        </w:rPr>
        <w:t xml:space="preserve"> channel </w:t>
      </w:r>
      <w:r w:rsidR="002E7429">
        <w:rPr>
          <w:rFonts w:ascii="Century Schoolbook" w:hAnsi="Century Schoolbook" w:cs="Times New Roman"/>
        </w:rPr>
        <w:t>is</w:t>
      </w:r>
      <w:r w:rsidR="008326E0">
        <w:rPr>
          <w:rFonts w:ascii="Century Schoolbook" w:hAnsi="Century Schoolbook" w:cs="Times New Roman"/>
        </w:rPr>
        <w:t xml:space="preserve"> not </w:t>
      </w:r>
      <w:r w:rsidR="003437EA">
        <w:rPr>
          <w:rFonts w:ascii="Century Schoolbook" w:hAnsi="Century Schoolbook" w:cs="Times New Roman"/>
        </w:rPr>
        <w:t xml:space="preserve">mutually exclusive from </w:t>
      </w:r>
      <w:r w:rsidR="00F96A84">
        <w:rPr>
          <w:rFonts w:ascii="Century Schoolbook" w:hAnsi="Century Schoolbook" w:cs="Times New Roman"/>
        </w:rPr>
        <w:t>the arrival of new information</w:t>
      </w:r>
      <w:r w:rsidR="00B5413A">
        <w:rPr>
          <w:rFonts w:ascii="Century Schoolbook" w:hAnsi="Century Schoolbook" w:cs="Times New Roman"/>
        </w:rPr>
        <w:t xml:space="preserve"> (Conrad et al. 2006)</w:t>
      </w:r>
      <w:r w:rsidR="008326E0">
        <w:rPr>
          <w:rFonts w:ascii="Century Schoolbook" w:hAnsi="Century Schoolbook" w:cs="Times New Roman"/>
        </w:rPr>
        <w:t xml:space="preserve">. </w:t>
      </w:r>
      <w:r w:rsidR="00F70152">
        <w:rPr>
          <w:rFonts w:ascii="Century Schoolbook" w:hAnsi="Century Schoolbook" w:cs="Times New Roman"/>
        </w:rPr>
        <w:t>However</w:t>
      </w:r>
      <w:r w:rsidR="00292B2C">
        <w:rPr>
          <w:rFonts w:ascii="Century Schoolbook" w:hAnsi="Century Schoolbook" w:cs="Times New Roman"/>
        </w:rPr>
        <w:t>, sudden</w:t>
      </w:r>
      <w:r w:rsidR="002C48B9">
        <w:rPr>
          <w:rFonts w:ascii="Century Schoolbook" w:hAnsi="Century Schoolbook" w:cs="Times New Roman"/>
        </w:rPr>
        <w:t xml:space="preserve"> </w:t>
      </w:r>
      <w:r w:rsidR="00292B2C">
        <w:rPr>
          <w:rFonts w:ascii="Century Schoolbook" w:hAnsi="Century Schoolbook" w:cs="Times New Roman"/>
        </w:rPr>
        <w:t xml:space="preserve">price </w:t>
      </w:r>
      <w:r w:rsidR="002C48B9">
        <w:rPr>
          <w:rFonts w:ascii="Century Schoolbook" w:hAnsi="Century Schoolbook" w:cs="Times New Roman"/>
        </w:rPr>
        <w:t>change</w:t>
      </w:r>
      <w:r w:rsidR="00292B2C">
        <w:rPr>
          <w:rFonts w:ascii="Century Schoolbook" w:hAnsi="Century Schoolbook" w:cs="Times New Roman"/>
        </w:rPr>
        <w:t>s</w:t>
      </w:r>
      <w:r w:rsidR="002C48B9">
        <w:rPr>
          <w:rFonts w:ascii="Century Schoolbook" w:hAnsi="Century Schoolbook" w:cs="Times New Roman"/>
        </w:rPr>
        <w:t xml:space="preserve"> can occur </w:t>
      </w:r>
      <w:r w:rsidR="00F70152">
        <w:rPr>
          <w:rFonts w:ascii="Century Schoolbook" w:hAnsi="Century Schoolbook" w:cs="Times New Roman"/>
        </w:rPr>
        <w:t>without the arrival of</w:t>
      </w:r>
      <w:r w:rsidR="00292B2C">
        <w:rPr>
          <w:rFonts w:ascii="Century Schoolbook" w:hAnsi="Century Schoolbook" w:cs="Times New Roman"/>
        </w:rPr>
        <w:t xml:space="preserve"> </w:t>
      </w:r>
      <w:r w:rsidR="002C48B9">
        <w:rPr>
          <w:rFonts w:ascii="Century Schoolbook" w:hAnsi="Century Schoolbook" w:cs="Times New Roman"/>
        </w:rPr>
        <w:t>news</w:t>
      </w:r>
      <w:r w:rsidR="00F70152">
        <w:rPr>
          <w:rFonts w:ascii="Century Schoolbook" w:hAnsi="Century Schoolbook" w:cs="Times New Roman"/>
        </w:rPr>
        <w:t xml:space="preserve">. This out-of-the-blue price adjustment can be </w:t>
      </w:r>
      <w:r w:rsidR="00255DC6">
        <w:rPr>
          <w:rFonts w:ascii="Century Schoolbook" w:hAnsi="Century Schoolbook" w:cs="Times New Roman"/>
        </w:rPr>
        <w:t xml:space="preserve">transitory, e.g., </w:t>
      </w:r>
      <w:r w:rsidR="002E7429">
        <w:rPr>
          <w:rFonts w:ascii="Century Schoolbook" w:hAnsi="Century Schoolbook" w:cs="Times New Roman"/>
        </w:rPr>
        <w:t xml:space="preserve">a </w:t>
      </w:r>
      <w:r w:rsidR="00BB2F4D">
        <w:rPr>
          <w:rFonts w:ascii="Century Schoolbook" w:hAnsi="Century Schoolbook" w:cs="Times New Roman"/>
        </w:rPr>
        <w:t xml:space="preserve">short-term </w:t>
      </w:r>
      <w:r w:rsidR="00F70152">
        <w:rPr>
          <w:rFonts w:ascii="Century Schoolbook" w:hAnsi="Century Schoolbook" w:cs="Times New Roman"/>
        </w:rPr>
        <w:t xml:space="preserve">liquidity-related </w:t>
      </w:r>
      <w:r w:rsidR="002E7429">
        <w:rPr>
          <w:rFonts w:ascii="Century Schoolbook" w:hAnsi="Century Schoolbook" w:cs="Times New Roman"/>
        </w:rPr>
        <w:t>shock</w:t>
      </w:r>
      <w:r w:rsidR="00255DC6">
        <w:rPr>
          <w:rFonts w:ascii="Century Schoolbook" w:hAnsi="Century Schoolbook" w:cs="Times New Roman"/>
        </w:rPr>
        <w:t xml:space="preserve">, </w:t>
      </w:r>
      <w:r w:rsidR="00BB2F4D">
        <w:rPr>
          <w:rFonts w:ascii="Century Schoolbook" w:hAnsi="Century Schoolbook" w:cs="Times New Roman"/>
        </w:rPr>
        <w:t xml:space="preserve">or </w:t>
      </w:r>
      <w:r w:rsidR="00255DC6">
        <w:rPr>
          <w:rFonts w:ascii="Century Schoolbook" w:hAnsi="Century Schoolbook" w:cs="Times New Roman"/>
        </w:rPr>
        <w:t xml:space="preserve">permanent, e.g., </w:t>
      </w:r>
      <w:r w:rsidR="00BB2F4D">
        <w:rPr>
          <w:rFonts w:ascii="Century Schoolbook" w:hAnsi="Century Schoolbook" w:cs="Times New Roman"/>
        </w:rPr>
        <w:t xml:space="preserve">a delayed market </w:t>
      </w:r>
      <w:r w:rsidR="00711E3E">
        <w:rPr>
          <w:rFonts w:ascii="Century Schoolbook" w:hAnsi="Century Schoolbook" w:cs="Times New Roman"/>
        </w:rPr>
        <w:t xml:space="preserve">response </w:t>
      </w:r>
      <w:r w:rsidR="00BB2F4D">
        <w:rPr>
          <w:rFonts w:ascii="Century Schoolbook" w:hAnsi="Century Schoolbook" w:cs="Times New Roman"/>
        </w:rPr>
        <w:t xml:space="preserve">to an existing information. </w:t>
      </w:r>
      <w:r w:rsidR="004B18B4">
        <w:rPr>
          <w:rFonts w:ascii="Century Schoolbook" w:hAnsi="Century Schoolbook" w:cs="Times New Roman"/>
        </w:rPr>
        <w:t>A</w:t>
      </w:r>
      <w:r w:rsidR="00FA09F0">
        <w:rPr>
          <w:rFonts w:ascii="Century Schoolbook" w:hAnsi="Century Schoolbook" w:cs="Times New Roman"/>
        </w:rPr>
        <w:t xml:space="preserve"> recommendation </w:t>
      </w:r>
      <w:r w:rsidR="004B18B4">
        <w:rPr>
          <w:rFonts w:ascii="Century Schoolbook" w:hAnsi="Century Schoolbook" w:cs="Times New Roman"/>
        </w:rPr>
        <w:t xml:space="preserve">revision also </w:t>
      </w:r>
      <w:r w:rsidR="00FA09F0">
        <w:rPr>
          <w:rFonts w:ascii="Century Schoolbook" w:hAnsi="Century Schoolbook" w:cs="Times New Roman"/>
        </w:rPr>
        <w:t xml:space="preserve">needs not depend only on the price of </w:t>
      </w:r>
      <w:r w:rsidR="00C26842">
        <w:rPr>
          <w:rFonts w:ascii="Century Schoolbook" w:hAnsi="Century Schoolbook" w:cs="Times New Roman"/>
        </w:rPr>
        <w:t>a security</w:t>
      </w:r>
      <w:r w:rsidR="00FA09F0">
        <w:rPr>
          <w:rFonts w:ascii="Century Schoolbook" w:hAnsi="Century Schoolbook" w:cs="Times New Roman"/>
        </w:rPr>
        <w:t xml:space="preserve"> under </w:t>
      </w:r>
      <w:r w:rsidR="004B18B4">
        <w:rPr>
          <w:rFonts w:ascii="Century Schoolbook" w:hAnsi="Century Schoolbook" w:cs="Times New Roman"/>
        </w:rPr>
        <w:t xml:space="preserve">which </w:t>
      </w:r>
      <w:r w:rsidR="00FA09F0">
        <w:rPr>
          <w:rFonts w:ascii="Century Schoolbook" w:hAnsi="Century Schoolbook" w:cs="Times New Roman"/>
        </w:rPr>
        <w:t>an analyst</w:t>
      </w:r>
      <w:r w:rsidR="004B18B4">
        <w:rPr>
          <w:rFonts w:ascii="Century Schoolbook" w:hAnsi="Century Schoolbook" w:cs="Times New Roman"/>
        </w:rPr>
        <w:t xml:space="preserve"> is evaluating</w:t>
      </w:r>
      <w:r w:rsidR="00FA09F0">
        <w:rPr>
          <w:rFonts w:ascii="Century Schoolbook" w:hAnsi="Century Schoolbook" w:cs="Times New Roman"/>
        </w:rPr>
        <w:t xml:space="preserve">. </w:t>
      </w:r>
      <w:r w:rsidR="004B18B4">
        <w:rPr>
          <w:rFonts w:ascii="Century Schoolbook" w:hAnsi="Century Schoolbook" w:cs="Times New Roman"/>
        </w:rPr>
        <w:t>Analysts</w:t>
      </w:r>
      <w:r w:rsidR="00FA09F0">
        <w:rPr>
          <w:rFonts w:ascii="Times New Roman" w:hAnsi="Times New Roman" w:cs="Times New Roman"/>
          <w:sz w:val="24"/>
          <w:szCs w:val="24"/>
        </w:rPr>
        <w:t xml:space="preserve"> may </w:t>
      </w:r>
      <w:r w:rsidR="00FA09F0" w:rsidRPr="00C760C5">
        <w:rPr>
          <w:rFonts w:ascii="Century Schoolbook" w:hAnsi="Century Schoolbook" w:cs="Times New Roman"/>
        </w:rPr>
        <w:t xml:space="preserve">benchmark their </w:t>
      </w:r>
      <w:r w:rsidR="00EE2E4F" w:rsidRPr="00C760C5">
        <w:rPr>
          <w:rFonts w:ascii="Century Schoolbook" w:hAnsi="Century Schoolbook" w:cs="Times New Roman"/>
        </w:rPr>
        <w:t xml:space="preserve">stock </w:t>
      </w:r>
      <w:r w:rsidR="00FA09F0" w:rsidRPr="00C760C5">
        <w:rPr>
          <w:rFonts w:ascii="Century Schoolbook" w:hAnsi="Century Schoolbook" w:cs="Times New Roman"/>
        </w:rPr>
        <w:t>recommendation</w:t>
      </w:r>
      <w:r w:rsidR="00EE2E4F" w:rsidRPr="00C760C5">
        <w:rPr>
          <w:rFonts w:ascii="Century Schoolbook" w:hAnsi="Century Schoolbook" w:cs="Times New Roman"/>
        </w:rPr>
        <w:t>s</w:t>
      </w:r>
      <w:r w:rsidR="00FA09F0" w:rsidRPr="00C760C5">
        <w:rPr>
          <w:rFonts w:ascii="Century Schoolbook" w:hAnsi="Century Schoolbook" w:cs="Times New Roman"/>
        </w:rPr>
        <w:t xml:space="preserve"> against share prices of other firms in the industry</w:t>
      </w:r>
      <w:r w:rsidR="00794BD4" w:rsidRPr="00C760C5">
        <w:rPr>
          <w:rFonts w:ascii="Century Schoolbook" w:hAnsi="Century Schoolbook" w:cs="Times New Roman"/>
        </w:rPr>
        <w:t xml:space="preserve"> (i.e., </w:t>
      </w:r>
      <w:r w:rsidR="00B30F0A" w:rsidRPr="00C760C5">
        <w:rPr>
          <w:rFonts w:ascii="Century Schoolbook" w:hAnsi="Century Schoolbook" w:cs="Times New Roman"/>
        </w:rPr>
        <w:t xml:space="preserve">the </w:t>
      </w:r>
      <w:r w:rsidR="00794BD4" w:rsidRPr="00C760C5">
        <w:rPr>
          <w:rFonts w:ascii="Century Schoolbook" w:hAnsi="Century Schoolbook" w:cs="Times New Roman"/>
        </w:rPr>
        <w:t>industry benchmark)</w:t>
      </w:r>
      <w:r w:rsidR="00FA09F0" w:rsidRPr="00C760C5">
        <w:rPr>
          <w:rFonts w:ascii="Century Schoolbook" w:hAnsi="Century Schoolbook" w:cs="Times New Roman"/>
        </w:rPr>
        <w:t xml:space="preserve"> or the aggregate </w:t>
      </w:r>
      <w:r w:rsidR="002E7429" w:rsidRPr="00C760C5">
        <w:rPr>
          <w:rFonts w:ascii="Century Schoolbook" w:hAnsi="Century Schoolbook" w:cs="Times New Roman"/>
        </w:rPr>
        <w:t xml:space="preserve">stock </w:t>
      </w:r>
      <w:r w:rsidR="00FA09F0" w:rsidRPr="00C760C5">
        <w:rPr>
          <w:rFonts w:ascii="Century Schoolbook" w:hAnsi="Century Schoolbook" w:cs="Times New Roman"/>
        </w:rPr>
        <w:t>mark</w:t>
      </w:r>
      <w:r w:rsidR="00EE2E4F" w:rsidRPr="00C760C5">
        <w:rPr>
          <w:rFonts w:ascii="Century Schoolbook" w:hAnsi="Century Schoolbook" w:cs="Times New Roman"/>
        </w:rPr>
        <w:t>et</w:t>
      </w:r>
      <w:r w:rsidR="002E7429" w:rsidRPr="00C760C5">
        <w:rPr>
          <w:rFonts w:ascii="Century Schoolbook" w:hAnsi="Century Schoolbook" w:cs="Times New Roman"/>
        </w:rPr>
        <w:t xml:space="preserve">; </w:t>
      </w:r>
      <w:r w:rsidR="00C90C3A" w:rsidRPr="00C760C5">
        <w:rPr>
          <w:rFonts w:ascii="Century Schoolbook" w:hAnsi="Century Schoolbook" w:cs="Times New Roman"/>
        </w:rPr>
        <w:t xml:space="preserve">see </w:t>
      </w:r>
      <w:proofErr w:type="spellStart"/>
      <w:r w:rsidR="00C90C3A" w:rsidRPr="00C760C5">
        <w:rPr>
          <w:rFonts w:ascii="Century Schoolbook" w:hAnsi="Century Schoolbook" w:cs="Times New Roman"/>
        </w:rPr>
        <w:t>Kadan</w:t>
      </w:r>
      <w:proofErr w:type="spellEnd"/>
      <w:r w:rsidR="00C90C3A" w:rsidRPr="00C760C5">
        <w:rPr>
          <w:rFonts w:ascii="Century Schoolbook" w:hAnsi="Century Schoolbook" w:cs="Times New Roman"/>
        </w:rPr>
        <w:t xml:space="preserve"> et al. </w:t>
      </w:r>
      <w:r w:rsidR="00C90C3A" w:rsidRPr="00C760C5">
        <w:rPr>
          <w:rFonts w:ascii="Century Schoolbook" w:hAnsi="Century Schoolbook" w:cs="Times New Roman"/>
        </w:rPr>
        <w:lastRenderedPageBreak/>
        <w:t>(2012).</w:t>
      </w:r>
      <w:r w:rsidR="00B30F0A" w:rsidRPr="00C760C5">
        <w:rPr>
          <w:rFonts w:ascii="Century Schoolbook" w:hAnsi="Century Schoolbook" w:cs="Times New Roman"/>
        </w:rPr>
        <w:t xml:space="preserve"> </w:t>
      </w:r>
      <w:r w:rsidR="00CE0500" w:rsidRPr="00C760C5">
        <w:rPr>
          <w:rFonts w:ascii="Century Schoolbook" w:hAnsi="Century Schoolbook" w:cs="Times New Roman"/>
        </w:rPr>
        <w:t>Relatedly</w:t>
      </w:r>
      <w:r w:rsidR="004B18B4" w:rsidRPr="00C760C5">
        <w:rPr>
          <w:rFonts w:ascii="Century Schoolbook" w:hAnsi="Century Schoolbook" w:cs="Times New Roman"/>
        </w:rPr>
        <w:t xml:space="preserve">, fluctuations in </w:t>
      </w:r>
      <w:r w:rsidR="002E7429" w:rsidRPr="00C760C5">
        <w:rPr>
          <w:rFonts w:ascii="Century Schoolbook" w:hAnsi="Century Schoolbook" w:cs="Times New Roman"/>
        </w:rPr>
        <w:t>the share price can affect</w:t>
      </w:r>
      <w:r w:rsidR="00F65B13" w:rsidRPr="00C760C5">
        <w:rPr>
          <w:rFonts w:ascii="Century Schoolbook" w:hAnsi="Century Schoolbook" w:cs="Times New Roman"/>
        </w:rPr>
        <w:t xml:space="preserve"> analysts’ recommendation</w:t>
      </w:r>
      <w:r w:rsidR="00785ACA">
        <w:rPr>
          <w:rFonts w:ascii="Century Schoolbook" w:hAnsi="Century Schoolbook" w:cs="Times New Roman"/>
        </w:rPr>
        <w:t>s</w:t>
      </w:r>
      <w:r w:rsidR="00F65B13" w:rsidRPr="00C760C5">
        <w:rPr>
          <w:rFonts w:ascii="Century Schoolbook" w:hAnsi="Century Schoolbook" w:cs="Times New Roman"/>
        </w:rPr>
        <w:t xml:space="preserve">. </w:t>
      </w:r>
      <w:r w:rsidR="004B18B4" w:rsidRPr="00C760C5">
        <w:rPr>
          <w:rFonts w:ascii="Century Schoolbook" w:hAnsi="Century Schoolbook" w:cs="Times New Roman"/>
        </w:rPr>
        <w:t xml:space="preserve">When the stock price is </w:t>
      </w:r>
      <w:r w:rsidR="00B6433A" w:rsidRPr="00C760C5">
        <w:rPr>
          <w:rFonts w:ascii="Century Schoolbook" w:hAnsi="Century Schoolbook" w:cs="Times New Roman"/>
        </w:rPr>
        <w:t xml:space="preserve">highly </w:t>
      </w:r>
      <w:r w:rsidR="004B18B4" w:rsidRPr="00C760C5">
        <w:rPr>
          <w:rFonts w:ascii="Century Schoolbook" w:hAnsi="Century Schoolbook" w:cs="Times New Roman"/>
        </w:rPr>
        <w:t>volatile</w:t>
      </w:r>
      <w:r w:rsidR="00F65B13" w:rsidRPr="00C760C5">
        <w:rPr>
          <w:rFonts w:ascii="Century Schoolbook" w:hAnsi="Century Schoolbook" w:cs="Times New Roman"/>
        </w:rPr>
        <w:t>, analysts’ estimates of their valuation-to-price ratio</w:t>
      </w:r>
      <w:r w:rsidR="00C340C3" w:rsidRPr="00C760C5">
        <w:rPr>
          <w:rFonts w:ascii="Century Schoolbook" w:hAnsi="Century Schoolbook" w:cs="Times New Roman"/>
        </w:rPr>
        <w:t xml:space="preserve"> (</w:t>
      </w:r>
      <w:r w:rsidR="00C340C3" w:rsidRPr="000B32F9">
        <w:rPr>
          <w:rFonts w:ascii="Century Schoolbook" w:hAnsi="Century Schoolbook" w:cs="Times New Roman"/>
          <w:i/>
        </w:rPr>
        <w:t>V/P</w:t>
      </w:r>
      <w:r w:rsidR="00C340C3" w:rsidRPr="00C760C5">
        <w:rPr>
          <w:rFonts w:ascii="Century Schoolbook" w:hAnsi="Century Schoolbook" w:cs="Times New Roman"/>
        </w:rPr>
        <w:t>)</w:t>
      </w:r>
      <w:r w:rsidR="00F65B13" w:rsidRPr="00C760C5">
        <w:rPr>
          <w:rFonts w:ascii="Century Schoolbook" w:hAnsi="Century Schoolbook" w:cs="Times New Roman"/>
        </w:rPr>
        <w:t xml:space="preserve"> </w:t>
      </w:r>
      <w:r w:rsidR="00B6433A" w:rsidRPr="00C760C5">
        <w:rPr>
          <w:rFonts w:ascii="Century Schoolbook" w:hAnsi="Century Schoolbook" w:cs="Times New Roman"/>
        </w:rPr>
        <w:t>are less precise and could potentially delay their recommendation</w:t>
      </w:r>
      <w:r w:rsidR="00785ACA">
        <w:rPr>
          <w:rFonts w:ascii="Century Schoolbook" w:hAnsi="Century Schoolbook" w:cs="Times New Roman"/>
        </w:rPr>
        <w:t>s</w:t>
      </w:r>
      <w:r w:rsidR="00B6433A" w:rsidRPr="00C760C5">
        <w:rPr>
          <w:rFonts w:ascii="Century Schoolbook" w:hAnsi="Century Schoolbook" w:cs="Times New Roman"/>
        </w:rPr>
        <w:t>.</w:t>
      </w:r>
    </w:p>
    <w:p w14:paraId="759A556D" w14:textId="249589FD" w:rsidR="00CE0500" w:rsidRDefault="00E621A2" w:rsidP="00A00DFF">
      <w:pPr>
        <w:autoSpaceDE w:val="0"/>
        <w:autoSpaceDN w:val="0"/>
        <w:adjustRightInd w:val="0"/>
        <w:spacing w:after="0" w:line="480" w:lineRule="auto"/>
        <w:ind w:firstLine="360"/>
        <w:jc w:val="both"/>
        <w:rPr>
          <w:rFonts w:ascii="Century Schoolbook" w:hAnsi="Century Schoolbook" w:cs="Times New Roman"/>
        </w:rPr>
      </w:pPr>
      <w:r>
        <w:rPr>
          <w:rFonts w:ascii="Century Schoolbook" w:hAnsi="Century Schoolbook" w:cs="Times New Roman"/>
        </w:rPr>
        <w:t>Third, t</w:t>
      </w:r>
      <w:r w:rsidR="004B18B4">
        <w:rPr>
          <w:rFonts w:ascii="Century Schoolbook" w:hAnsi="Century Schoolbook" w:cs="Times New Roman"/>
        </w:rPr>
        <w:t>he speed at which analysts revise their recommendation may depend</w:t>
      </w:r>
      <w:r w:rsidR="004B6B13">
        <w:rPr>
          <w:rFonts w:ascii="Century Schoolbook" w:hAnsi="Century Schoolbook" w:cs="Times New Roman"/>
        </w:rPr>
        <w:t xml:space="preserve"> on the </w:t>
      </w:r>
      <w:r w:rsidR="004B6B13" w:rsidRPr="00114BD1">
        <w:rPr>
          <w:rFonts w:ascii="Century Schoolbook" w:hAnsi="Century Schoolbook" w:cs="Times New Roman"/>
          <w:i/>
        </w:rPr>
        <w:t>type of recommendation</w:t>
      </w:r>
      <w:r w:rsidR="004B6B13">
        <w:rPr>
          <w:rFonts w:ascii="Century Schoolbook" w:hAnsi="Century Schoolbook" w:cs="Times New Roman"/>
        </w:rPr>
        <w:t xml:space="preserve"> that </w:t>
      </w:r>
      <w:r w:rsidR="002460FE">
        <w:rPr>
          <w:rFonts w:ascii="Century Schoolbook" w:hAnsi="Century Schoolbook" w:cs="Times New Roman"/>
        </w:rPr>
        <w:t>analysts</w:t>
      </w:r>
      <w:r w:rsidR="004B6B13">
        <w:rPr>
          <w:rFonts w:ascii="Century Schoolbook" w:hAnsi="Century Schoolbook" w:cs="Times New Roman"/>
        </w:rPr>
        <w:t xml:space="preserve"> are </w:t>
      </w:r>
      <w:r w:rsidR="00114BD1">
        <w:rPr>
          <w:rFonts w:ascii="Century Schoolbook" w:hAnsi="Century Schoolbook" w:cs="Times New Roman"/>
        </w:rPr>
        <w:t>evaluating</w:t>
      </w:r>
      <w:r w:rsidR="004B6B13">
        <w:rPr>
          <w:rFonts w:ascii="Century Schoolbook" w:hAnsi="Century Schoolbook" w:cs="Times New Roman"/>
        </w:rPr>
        <w:t xml:space="preserve">. </w:t>
      </w:r>
      <w:r w:rsidR="00CE0500">
        <w:rPr>
          <w:rFonts w:ascii="Century Schoolbook" w:hAnsi="Century Schoolbook" w:cs="Times New Roman"/>
        </w:rPr>
        <w:t xml:space="preserve">For instance, a recommendation </w:t>
      </w:r>
      <w:r>
        <w:rPr>
          <w:rFonts w:ascii="Century Schoolbook" w:hAnsi="Century Schoolbook" w:cs="Times New Roman"/>
        </w:rPr>
        <w:t>change</w:t>
      </w:r>
      <w:r w:rsidR="00CE0500">
        <w:rPr>
          <w:rFonts w:ascii="Century Schoolbook" w:hAnsi="Century Schoolbook" w:cs="Times New Roman"/>
        </w:rPr>
        <w:t xml:space="preserve"> by multiple notches may take longer </w:t>
      </w:r>
      <w:r w:rsidR="00721CFE">
        <w:rPr>
          <w:rFonts w:ascii="Century Schoolbook" w:hAnsi="Century Schoolbook" w:cs="Times New Roman"/>
        </w:rPr>
        <w:t xml:space="preserve">time </w:t>
      </w:r>
      <w:r w:rsidR="00CE0500">
        <w:rPr>
          <w:rFonts w:ascii="Century Schoolbook" w:hAnsi="Century Schoolbook" w:cs="Times New Roman"/>
        </w:rPr>
        <w:t xml:space="preserve">to execute (i.e., from </w:t>
      </w:r>
      <w:r>
        <w:rPr>
          <w:rFonts w:ascii="Century Schoolbook" w:hAnsi="Century Schoolbook" w:cs="Times New Roman"/>
        </w:rPr>
        <w:t>“</w:t>
      </w:r>
      <w:r w:rsidR="00CE0500">
        <w:rPr>
          <w:rFonts w:ascii="Century Schoolbook" w:hAnsi="Century Schoolbook" w:cs="Times New Roman"/>
        </w:rPr>
        <w:t>sell</w:t>
      </w:r>
      <w:r>
        <w:rPr>
          <w:rFonts w:ascii="Century Schoolbook" w:hAnsi="Century Schoolbook" w:cs="Times New Roman"/>
        </w:rPr>
        <w:t>”</w:t>
      </w:r>
      <w:r w:rsidR="00CE0500">
        <w:rPr>
          <w:rFonts w:ascii="Century Schoolbook" w:hAnsi="Century Schoolbook" w:cs="Times New Roman"/>
        </w:rPr>
        <w:t xml:space="preserve"> to </w:t>
      </w:r>
      <w:r>
        <w:rPr>
          <w:rFonts w:ascii="Century Schoolbook" w:hAnsi="Century Schoolbook" w:cs="Times New Roman"/>
        </w:rPr>
        <w:t>“</w:t>
      </w:r>
      <w:r w:rsidR="00CE0500">
        <w:rPr>
          <w:rFonts w:ascii="Century Schoolbook" w:hAnsi="Century Schoolbook" w:cs="Times New Roman"/>
        </w:rPr>
        <w:t>buy</w:t>
      </w:r>
      <w:r>
        <w:rPr>
          <w:rFonts w:ascii="Century Schoolbook" w:hAnsi="Century Schoolbook" w:cs="Times New Roman"/>
        </w:rPr>
        <w:t>”</w:t>
      </w:r>
      <w:r w:rsidR="00DC27C6">
        <w:rPr>
          <w:rFonts w:ascii="Century Schoolbook" w:hAnsi="Century Schoolbook" w:cs="Times New Roman"/>
        </w:rPr>
        <w:t xml:space="preserve">) </w:t>
      </w:r>
      <w:r w:rsidR="00CE0500">
        <w:rPr>
          <w:rFonts w:ascii="Century Schoolbook" w:hAnsi="Century Schoolbook" w:cs="Times New Roman"/>
        </w:rPr>
        <w:t xml:space="preserve">than a one-notch upgrade (i.e., from </w:t>
      </w:r>
      <w:r>
        <w:rPr>
          <w:rFonts w:ascii="Century Schoolbook" w:hAnsi="Century Schoolbook" w:cs="Times New Roman"/>
        </w:rPr>
        <w:t>“hold”</w:t>
      </w:r>
      <w:r w:rsidR="00CE0500">
        <w:rPr>
          <w:rFonts w:ascii="Century Schoolbook" w:hAnsi="Century Schoolbook" w:cs="Times New Roman"/>
        </w:rPr>
        <w:t xml:space="preserve"> to </w:t>
      </w:r>
      <w:r w:rsidR="009C0BE1">
        <w:rPr>
          <w:rFonts w:ascii="Century Schoolbook" w:hAnsi="Century Schoolbook" w:cs="Times New Roman"/>
        </w:rPr>
        <w:t xml:space="preserve">“buy”) </w:t>
      </w:r>
      <w:r w:rsidR="00721CFE">
        <w:rPr>
          <w:rFonts w:ascii="Century Schoolbook" w:hAnsi="Century Schoolbook" w:cs="Times New Roman"/>
        </w:rPr>
        <w:t xml:space="preserve">because a multiple-notch change would reflect a </w:t>
      </w:r>
      <w:r w:rsidR="004824E7">
        <w:rPr>
          <w:rFonts w:ascii="Century Schoolbook" w:hAnsi="Century Schoolbook" w:cs="Times New Roman"/>
        </w:rPr>
        <w:t xml:space="preserve">more </w:t>
      </w:r>
      <w:r w:rsidR="00721CFE">
        <w:rPr>
          <w:rFonts w:ascii="Century Schoolbook" w:hAnsi="Century Schoolbook" w:cs="Times New Roman"/>
        </w:rPr>
        <w:t xml:space="preserve">drastic update in the analysts’ valuation-to-price ratio. </w:t>
      </w:r>
      <w:r>
        <w:rPr>
          <w:rFonts w:ascii="Century Schoolbook" w:hAnsi="Century Schoolbook" w:cs="Times New Roman"/>
        </w:rPr>
        <w:t>Additionally, the</w:t>
      </w:r>
      <w:r w:rsidR="00DC27C6">
        <w:rPr>
          <w:rFonts w:ascii="Century Schoolbook" w:hAnsi="Century Schoolbook" w:cs="Times New Roman"/>
        </w:rPr>
        <w:t xml:space="preserve"> </w:t>
      </w:r>
      <w:r w:rsidR="005B0D80">
        <w:rPr>
          <w:rFonts w:ascii="Century Schoolbook" w:hAnsi="Century Schoolbook" w:cs="Times New Roman"/>
        </w:rPr>
        <w:t xml:space="preserve">current </w:t>
      </w:r>
      <w:r w:rsidR="00DC27C6">
        <w:rPr>
          <w:rFonts w:ascii="Century Schoolbook" w:hAnsi="Century Schoolbook" w:cs="Times New Roman"/>
        </w:rPr>
        <w:t xml:space="preserve">recommendation </w:t>
      </w:r>
      <w:r>
        <w:rPr>
          <w:rFonts w:ascii="Century Schoolbook" w:hAnsi="Century Schoolbook" w:cs="Times New Roman"/>
        </w:rPr>
        <w:t xml:space="preserve">level </w:t>
      </w:r>
      <w:r w:rsidR="00DC27C6">
        <w:rPr>
          <w:rFonts w:ascii="Century Schoolbook" w:hAnsi="Century Schoolbook" w:cs="Times New Roman"/>
        </w:rPr>
        <w:t>that an analyst</w:t>
      </w:r>
      <w:r w:rsidR="00114BD1">
        <w:rPr>
          <w:rFonts w:ascii="Century Schoolbook" w:hAnsi="Century Schoolbook" w:cs="Times New Roman"/>
        </w:rPr>
        <w:t xml:space="preserve"> </w:t>
      </w:r>
      <w:r w:rsidR="005B0D80">
        <w:rPr>
          <w:rFonts w:ascii="Century Schoolbook" w:hAnsi="Century Schoolbook" w:cs="Times New Roman"/>
        </w:rPr>
        <w:t>places</w:t>
      </w:r>
      <w:r w:rsidR="00DC27C6">
        <w:rPr>
          <w:rFonts w:ascii="Century Schoolbook" w:hAnsi="Century Schoolbook" w:cs="Times New Roman"/>
        </w:rPr>
        <w:t xml:space="preserve"> on the firm</w:t>
      </w:r>
      <w:r>
        <w:rPr>
          <w:rFonts w:ascii="Century Schoolbook" w:hAnsi="Century Schoolbook" w:cs="Times New Roman"/>
        </w:rPr>
        <w:t xml:space="preserve"> can </w:t>
      </w:r>
      <w:r w:rsidR="00FE1E02">
        <w:rPr>
          <w:rFonts w:ascii="Century Schoolbook" w:hAnsi="Century Schoolbook" w:cs="Times New Roman"/>
        </w:rPr>
        <w:t xml:space="preserve">affect the speed </w:t>
      </w:r>
      <w:r w:rsidR="005B0D80">
        <w:rPr>
          <w:rFonts w:ascii="Century Schoolbook" w:hAnsi="Century Schoolbook" w:cs="Times New Roman"/>
        </w:rPr>
        <w:t>that he will revise it</w:t>
      </w:r>
      <w:r w:rsidR="00114BD1">
        <w:rPr>
          <w:rFonts w:ascii="Century Schoolbook" w:hAnsi="Century Schoolbook" w:cs="Times New Roman"/>
        </w:rPr>
        <w:t>.</w:t>
      </w:r>
      <w:r w:rsidR="00DC27C6">
        <w:rPr>
          <w:rFonts w:ascii="Century Schoolbook" w:hAnsi="Century Schoolbook" w:cs="Times New Roman"/>
        </w:rPr>
        <w:t xml:space="preserve"> </w:t>
      </w:r>
      <w:r>
        <w:rPr>
          <w:rFonts w:ascii="Century Schoolbook" w:hAnsi="Century Schoolbook" w:cs="Times New Roman"/>
        </w:rPr>
        <w:t>An analyst may be more reluctant to put a firm on a “strong sell” for an extensive period in fear of bein</w:t>
      </w:r>
      <w:r w:rsidR="00744FF8">
        <w:rPr>
          <w:rFonts w:ascii="Century Schoolbook" w:hAnsi="Century Schoolbook" w:cs="Times New Roman"/>
        </w:rPr>
        <w:t>g shunned by the firm’s management</w:t>
      </w:r>
      <w:r>
        <w:rPr>
          <w:rFonts w:ascii="Century Schoolbook" w:hAnsi="Century Schoolbook" w:cs="Times New Roman"/>
        </w:rPr>
        <w:t>. On the other hand, a</w:t>
      </w:r>
      <w:r w:rsidR="00C315E8">
        <w:rPr>
          <w:rFonts w:ascii="Century Schoolbook" w:hAnsi="Century Schoolbook" w:cs="Times New Roman"/>
        </w:rPr>
        <w:t xml:space="preserve">n analyst may </w:t>
      </w:r>
      <w:r w:rsidR="006345E3">
        <w:rPr>
          <w:rFonts w:ascii="Century Schoolbook" w:hAnsi="Century Schoolbook" w:cs="Times New Roman"/>
        </w:rPr>
        <w:t>be more comfortable with leaving</w:t>
      </w:r>
      <w:r w:rsidR="00C315E8">
        <w:rPr>
          <w:rFonts w:ascii="Century Schoolbook" w:hAnsi="Century Schoolbook" w:cs="Times New Roman"/>
        </w:rPr>
        <w:t xml:space="preserve"> his stock recommendation on </w:t>
      </w:r>
      <w:r>
        <w:rPr>
          <w:rFonts w:ascii="Century Schoolbook" w:hAnsi="Century Schoolbook" w:cs="Times New Roman"/>
        </w:rPr>
        <w:t>“hold”</w:t>
      </w:r>
      <w:r w:rsidR="00C315E8">
        <w:rPr>
          <w:rFonts w:ascii="Century Schoolbook" w:hAnsi="Century Schoolbook" w:cs="Times New Roman"/>
        </w:rPr>
        <w:t xml:space="preserve"> for a</w:t>
      </w:r>
      <w:r w:rsidR="006345E3">
        <w:rPr>
          <w:rFonts w:ascii="Century Schoolbook" w:hAnsi="Century Schoolbook" w:cs="Times New Roman"/>
        </w:rPr>
        <w:t>n extended</w:t>
      </w:r>
      <w:r w:rsidR="00C315E8">
        <w:rPr>
          <w:rFonts w:ascii="Century Schoolbook" w:hAnsi="Century Schoolbook" w:cs="Times New Roman"/>
        </w:rPr>
        <w:t xml:space="preserve"> period until he uncovers </w:t>
      </w:r>
      <w:r w:rsidR="00592129">
        <w:rPr>
          <w:rFonts w:ascii="Century Schoolbook" w:hAnsi="Century Schoolbook" w:cs="Times New Roman"/>
        </w:rPr>
        <w:t xml:space="preserve">fresh-new </w:t>
      </w:r>
      <w:r w:rsidR="00C315E8">
        <w:rPr>
          <w:rFonts w:ascii="Century Schoolbook" w:hAnsi="Century Schoolbook" w:cs="Times New Roman"/>
        </w:rPr>
        <w:t xml:space="preserve">information </w:t>
      </w:r>
      <w:r w:rsidR="00592129">
        <w:rPr>
          <w:rFonts w:ascii="Century Schoolbook" w:hAnsi="Century Schoolbook" w:cs="Times New Roman"/>
        </w:rPr>
        <w:t>to warrant a “buy” or “sell” recommendation.</w:t>
      </w:r>
    </w:p>
    <w:p w14:paraId="052C096E" w14:textId="0153D41D" w:rsidR="001426E1" w:rsidRDefault="009C3CD4" w:rsidP="00A00DFF">
      <w:pPr>
        <w:pStyle w:val="FootnoteText"/>
        <w:spacing w:line="480" w:lineRule="auto"/>
        <w:ind w:firstLine="360"/>
        <w:jc w:val="both"/>
        <w:rPr>
          <w:rFonts w:ascii="Century Schoolbook" w:hAnsi="Century Schoolbook" w:cs="Times New Roman"/>
        </w:rPr>
      </w:pPr>
      <w:r w:rsidRPr="002A0DBF">
        <w:rPr>
          <w:rFonts w:ascii="Century Schoolbook" w:hAnsi="Century Schoolbook" w:cs="Times New Roman"/>
          <w:sz w:val="22"/>
          <w:szCs w:val="22"/>
        </w:rPr>
        <w:t>Finally, the fourth ch</w:t>
      </w:r>
      <w:r w:rsidR="0036306B" w:rsidRPr="002A0DBF">
        <w:rPr>
          <w:rFonts w:ascii="Century Schoolbook" w:hAnsi="Century Schoolbook" w:cs="Times New Roman"/>
          <w:sz w:val="22"/>
          <w:szCs w:val="22"/>
        </w:rPr>
        <w:t xml:space="preserve">annel that can explain </w:t>
      </w:r>
      <w:r w:rsidRPr="002A0DBF">
        <w:rPr>
          <w:rFonts w:ascii="Century Schoolbook" w:hAnsi="Century Schoolbook" w:cs="Times New Roman"/>
          <w:sz w:val="22"/>
          <w:szCs w:val="22"/>
        </w:rPr>
        <w:t>variations in the speed of</w:t>
      </w:r>
      <w:r w:rsidR="0036306B" w:rsidRPr="002A0DBF">
        <w:rPr>
          <w:rFonts w:ascii="Century Schoolbook" w:hAnsi="Century Schoolbook" w:cs="Times New Roman"/>
          <w:sz w:val="22"/>
          <w:szCs w:val="22"/>
        </w:rPr>
        <w:t xml:space="preserve"> analysts’ </w:t>
      </w:r>
      <w:r w:rsidRPr="002A0DBF">
        <w:rPr>
          <w:rFonts w:ascii="Century Schoolbook" w:hAnsi="Century Schoolbook" w:cs="Times New Roman"/>
          <w:sz w:val="22"/>
          <w:szCs w:val="22"/>
        </w:rPr>
        <w:t>recommendation</w:t>
      </w:r>
      <w:r w:rsidR="0036306B" w:rsidRPr="002A0DBF">
        <w:rPr>
          <w:rFonts w:ascii="Century Schoolbook" w:hAnsi="Century Schoolbook" w:cs="Times New Roman"/>
          <w:sz w:val="22"/>
          <w:szCs w:val="22"/>
        </w:rPr>
        <w:t>s</w:t>
      </w:r>
      <w:r w:rsidRPr="002A0DBF">
        <w:rPr>
          <w:rFonts w:ascii="Century Schoolbook" w:hAnsi="Century Schoolbook" w:cs="Times New Roman"/>
          <w:sz w:val="22"/>
          <w:szCs w:val="22"/>
        </w:rPr>
        <w:t xml:space="preserve"> </w:t>
      </w:r>
      <w:r w:rsidR="001F799A" w:rsidRPr="007C3F91">
        <w:rPr>
          <w:rFonts w:ascii="Century Schoolbook" w:hAnsi="Century Schoolbook" w:cs="Times New Roman"/>
          <w:sz w:val="22"/>
          <w:szCs w:val="22"/>
        </w:rPr>
        <w:t>is the</w:t>
      </w:r>
      <w:r w:rsidR="0036306B" w:rsidRPr="007C3F91">
        <w:rPr>
          <w:rFonts w:ascii="Century Schoolbook" w:hAnsi="Century Schoolbook" w:cs="Times New Roman"/>
          <w:sz w:val="22"/>
          <w:szCs w:val="22"/>
        </w:rPr>
        <w:t xml:space="preserve"> </w:t>
      </w:r>
      <w:r w:rsidR="00062B9E" w:rsidRPr="007C3F91">
        <w:rPr>
          <w:rFonts w:ascii="Century Schoolbook" w:hAnsi="Century Schoolbook" w:cs="Times New Roman"/>
          <w:sz w:val="22"/>
          <w:szCs w:val="22"/>
        </w:rPr>
        <w:t>analyst-person</w:t>
      </w:r>
      <w:r w:rsidR="001F799A" w:rsidRPr="007C3F91">
        <w:rPr>
          <w:rFonts w:ascii="Century Schoolbook" w:hAnsi="Century Schoolbook" w:cs="Times New Roman"/>
          <w:sz w:val="22"/>
          <w:szCs w:val="22"/>
        </w:rPr>
        <w:t xml:space="preserve"> characteristic.</w:t>
      </w:r>
      <w:r w:rsidR="00763949" w:rsidRPr="007C3F91">
        <w:rPr>
          <w:rFonts w:ascii="Century Schoolbook" w:hAnsi="Century Schoolbook" w:cs="Times New Roman"/>
          <w:sz w:val="22"/>
          <w:szCs w:val="22"/>
        </w:rPr>
        <w:t xml:space="preserve"> One can </w:t>
      </w:r>
      <w:r w:rsidR="002D141E" w:rsidRPr="007C3F91">
        <w:rPr>
          <w:rFonts w:ascii="Century Schoolbook" w:hAnsi="Century Schoolbook" w:cs="Times New Roman"/>
          <w:sz w:val="22"/>
          <w:szCs w:val="22"/>
        </w:rPr>
        <w:t xml:space="preserve">expect </w:t>
      </w:r>
      <w:r w:rsidR="00763949" w:rsidRPr="007C3F91">
        <w:rPr>
          <w:rFonts w:ascii="Century Schoolbook" w:hAnsi="Century Schoolbook" w:cs="Times New Roman"/>
          <w:sz w:val="22"/>
          <w:szCs w:val="22"/>
        </w:rPr>
        <w:t>certain analysts</w:t>
      </w:r>
      <w:r w:rsidR="002D141E" w:rsidRPr="007C3F91">
        <w:rPr>
          <w:rFonts w:ascii="Century Schoolbook" w:hAnsi="Century Schoolbook" w:cs="Times New Roman"/>
          <w:sz w:val="22"/>
          <w:szCs w:val="22"/>
        </w:rPr>
        <w:t xml:space="preserve"> to</w:t>
      </w:r>
      <w:r w:rsidR="00E11D0F" w:rsidRPr="007C3F91">
        <w:rPr>
          <w:rFonts w:ascii="Century Schoolbook" w:hAnsi="Century Schoolbook" w:cs="Times New Roman"/>
          <w:sz w:val="22"/>
          <w:szCs w:val="22"/>
        </w:rPr>
        <w:t xml:space="preserve"> make</w:t>
      </w:r>
      <w:r w:rsidR="00763949" w:rsidRPr="007C3F91">
        <w:rPr>
          <w:rFonts w:ascii="Century Schoolbook" w:hAnsi="Century Schoolbook" w:cs="Times New Roman"/>
          <w:sz w:val="22"/>
          <w:szCs w:val="22"/>
        </w:rPr>
        <w:t xml:space="preserve"> their decisions more quickly, while others</w:t>
      </w:r>
      <w:r w:rsidR="00E11D0F" w:rsidRPr="007C3F91">
        <w:rPr>
          <w:rFonts w:ascii="Century Schoolbook" w:hAnsi="Century Schoolbook" w:cs="Times New Roman"/>
          <w:sz w:val="22"/>
          <w:szCs w:val="22"/>
        </w:rPr>
        <w:t xml:space="preserve"> are</w:t>
      </w:r>
      <w:r w:rsidR="00763949" w:rsidRPr="007C3F91">
        <w:rPr>
          <w:rFonts w:ascii="Century Schoolbook" w:hAnsi="Century Schoolbook" w:cs="Times New Roman"/>
          <w:sz w:val="22"/>
          <w:szCs w:val="22"/>
        </w:rPr>
        <w:t xml:space="preserve"> slower and more methodic</w:t>
      </w:r>
      <w:r w:rsidR="005A3A27" w:rsidRPr="007C3F91">
        <w:rPr>
          <w:rFonts w:ascii="Century Schoolbook" w:hAnsi="Century Schoolbook" w:cs="Times New Roman"/>
          <w:sz w:val="22"/>
          <w:szCs w:val="22"/>
        </w:rPr>
        <w:t xml:space="preserve"> in their valuation approaches</w:t>
      </w:r>
      <w:r w:rsidR="00E11D0F" w:rsidRPr="002A0DBF">
        <w:rPr>
          <w:rFonts w:ascii="Century Schoolbook" w:hAnsi="Century Schoolbook" w:cs="Times New Roman"/>
          <w:sz w:val="22"/>
          <w:szCs w:val="22"/>
        </w:rPr>
        <w:t xml:space="preserve">; see </w:t>
      </w:r>
      <w:r w:rsidR="000E51CF">
        <w:rPr>
          <w:rFonts w:ascii="Century Schoolbook" w:hAnsi="Century Schoolbook" w:cs="Times New Roman"/>
          <w:sz w:val="22"/>
          <w:szCs w:val="22"/>
        </w:rPr>
        <w:t>Kahneman</w:t>
      </w:r>
      <w:r w:rsidR="000E51CF" w:rsidRPr="002A0DBF">
        <w:rPr>
          <w:rFonts w:ascii="Century Schoolbook" w:hAnsi="Century Schoolbook" w:cs="Times New Roman"/>
          <w:sz w:val="22"/>
          <w:szCs w:val="22"/>
        </w:rPr>
        <w:t xml:space="preserve"> </w:t>
      </w:r>
      <w:r w:rsidR="00E11D0F" w:rsidRPr="002A0DBF">
        <w:rPr>
          <w:rFonts w:ascii="Century Schoolbook" w:hAnsi="Century Schoolbook" w:cs="Times New Roman"/>
          <w:sz w:val="22"/>
          <w:szCs w:val="22"/>
        </w:rPr>
        <w:t>(201</w:t>
      </w:r>
      <w:r w:rsidR="0096479C">
        <w:rPr>
          <w:rFonts w:ascii="Century Schoolbook" w:hAnsi="Century Schoolbook" w:cs="Times New Roman"/>
          <w:sz w:val="22"/>
          <w:szCs w:val="22"/>
        </w:rPr>
        <w:t>1</w:t>
      </w:r>
      <w:r w:rsidR="00E11D0F" w:rsidRPr="002A0DBF">
        <w:rPr>
          <w:rFonts w:ascii="Century Schoolbook" w:hAnsi="Century Schoolbook" w:cs="Times New Roman"/>
          <w:sz w:val="22"/>
          <w:szCs w:val="22"/>
        </w:rPr>
        <w:t>)</w:t>
      </w:r>
      <w:r w:rsidR="00736BEA" w:rsidRPr="002A0DBF">
        <w:rPr>
          <w:rFonts w:ascii="Century Schoolbook" w:hAnsi="Century Schoolbook" w:cs="Times New Roman"/>
          <w:sz w:val="22"/>
          <w:szCs w:val="22"/>
        </w:rPr>
        <w:t xml:space="preserve"> for </w:t>
      </w:r>
      <w:r w:rsidR="005A3A27">
        <w:rPr>
          <w:rFonts w:ascii="Century Schoolbook" w:hAnsi="Century Schoolbook" w:cs="Times New Roman"/>
          <w:sz w:val="22"/>
          <w:szCs w:val="22"/>
        </w:rPr>
        <w:t xml:space="preserve">a </w:t>
      </w:r>
      <w:r w:rsidR="00736BEA" w:rsidRPr="002A0DBF">
        <w:rPr>
          <w:rFonts w:ascii="Century Schoolbook" w:hAnsi="Century Schoolbook" w:cs="Times New Roman"/>
          <w:sz w:val="22"/>
          <w:szCs w:val="22"/>
        </w:rPr>
        <w:t>summary of literature on the speed of human decision-making</w:t>
      </w:r>
      <w:r w:rsidR="00E11D0F" w:rsidRPr="002A0DBF">
        <w:rPr>
          <w:rFonts w:ascii="Century Schoolbook" w:hAnsi="Century Schoolbook" w:cs="Times New Roman"/>
          <w:sz w:val="22"/>
          <w:szCs w:val="22"/>
        </w:rPr>
        <w:t xml:space="preserve">. </w:t>
      </w:r>
      <w:r w:rsidR="00FE1E02">
        <w:rPr>
          <w:rFonts w:ascii="Century Schoolbook" w:hAnsi="Century Schoolbook" w:cs="Times New Roman"/>
          <w:sz w:val="22"/>
          <w:szCs w:val="22"/>
        </w:rPr>
        <w:t>Further, v</w:t>
      </w:r>
      <w:r w:rsidR="002A0DBF" w:rsidRPr="002A0DBF">
        <w:rPr>
          <w:rFonts w:ascii="Century Schoolbook" w:hAnsi="Century Schoolbook" w:cs="Times New Roman"/>
          <w:sz w:val="22"/>
          <w:szCs w:val="22"/>
        </w:rPr>
        <w:t xml:space="preserve">ariations in the speed </w:t>
      </w:r>
      <w:r w:rsidR="002D7651">
        <w:rPr>
          <w:rFonts w:ascii="Century Schoolbook" w:hAnsi="Century Schoolbook" w:cs="Times New Roman"/>
          <w:sz w:val="22"/>
          <w:szCs w:val="22"/>
        </w:rPr>
        <w:t>at</w:t>
      </w:r>
      <w:r w:rsidR="002A0DBF" w:rsidRPr="002A0DBF">
        <w:rPr>
          <w:rFonts w:ascii="Century Schoolbook" w:hAnsi="Century Schoolbook" w:cs="Times New Roman"/>
          <w:sz w:val="22"/>
          <w:szCs w:val="22"/>
        </w:rPr>
        <w:t xml:space="preserve"> which analysts update their recommendations may be a strategic choice</w:t>
      </w:r>
      <w:r w:rsidR="002A0DBF">
        <w:rPr>
          <w:rFonts w:ascii="Century Schoolbook" w:hAnsi="Century Schoolbook" w:cs="Times New Roman"/>
          <w:sz w:val="22"/>
          <w:szCs w:val="22"/>
        </w:rPr>
        <w:t xml:space="preserve">. As shown in </w:t>
      </w:r>
      <w:r w:rsidR="002A0DBF" w:rsidRPr="002A0DBF">
        <w:rPr>
          <w:rFonts w:ascii="Century Schoolbook" w:hAnsi="Century Schoolbook" w:cs="Times New Roman"/>
          <w:sz w:val="22"/>
          <w:szCs w:val="22"/>
        </w:rPr>
        <w:t>Bernhardt, Wan and Xiao (2016)</w:t>
      </w:r>
      <w:r w:rsidR="00A505E8">
        <w:rPr>
          <w:rFonts w:ascii="Century Schoolbook" w:hAnsi="Century Schoolbook" w:cs="Times New Roman"/>
          <w:sz w:val="22"/>
          <w:szCs w:val="22"/>
        </w:rPr>
        <w:t xml:space="preserve">, sell-side </w:t>
      </w:r>
      <w:r w:rsidR="002A0DBF" w:rsidRPr="002A0DBF">
        <w:rPr>
          <w:rFonts w:ascii="Century Schoolbook" w:hAnsi="Century Schoolbook" w:cs="Times New Roman"/>
          <w:sz w:val="22"/>
          <w:szCs w:val="22"/>
        </w:rPr>
        <w:t xml:space="preserve">analysts strategically introduce frictions in their recommendation decisions in order to avoid frequent revisions because investors would otherwise question their ability. </w:t>
      </w:r>
      <w:r w:rsidR="001F799A" w:rsidRPr="00763949">
        <w:rPr>
          <w:rFonts w:ascii="Century Schoolbook" w:hAnsi="Century Schoolbook" w:cs="Times New Roman"/>
        </w:rPr>
        <w:t xml:space="preserve"> </w:t>
      </w:r>
      <w:r w:rsidRPr="00763949">
        <w:rPr>
          <w:rFonts w:ascii="Century Schoolbook" w:hAnsi="Century Schoolbook" w:cs="Times New Roman"/>
        </w:rPr>
        <w:t xml:space="preserve"> </w:t>
      </w:r>
    </w:p>
    <w:p w14:paraId="0CB2BF7F" w14:textId="0E8AFF37" w:rsidR="001426E1" w:rsidRPr="001426E1" w:rsidRDefault="001426E1" w:rsidP="005A049E">
      <w:pPr>
        <w:pStyle w:val="ListParagraph"/>
        <w:numPr>
          <w:ilvl w:val="1"/>
          <w:numId w:val="3"/>
        </w:numPr>
        <w:spacing w:line="480" w:lineRule="auto"/>
        <w:ind w:left="360"/>
        <w:rPr>
          <w:rFonts w:ascii="Century Schoolbook" w:hAnsi="Century Schoolbook" w:cs="Times New Roman"/>
          <w:b/>
          <w:i/>
        </w:rPr>
      </w:pPr>
      <w:r w:rsidRPr="001426E1">
        <w:rPr>
          <w:rFonts w:ascii="Century Schoolbook" w:hAnsi="Century Schoolbook" w:cs="Times New Roman"/>
          <w:b/>
          <w:i/>
        </w:rPr>
        <w:t xml:space="preserve"> </w:t>
      </w:r>
      <w:r w:rsidR="00CA0E2A">
        <w:rPr>
          <w:rFonts w:ascii="Century Schoolbook" w:hAnsi="Century Schoolbook" w:cs="Times New Roman"/>
          <w:b/>
          <w:i/>
        </w:rPr>
        <w:t>P</w:t>
      </w:r>
      <w:r w:rsidR="00AE6923">
        <w:rPr>
          <w:rFonts w:ascii="Century Schoolbook" w:hAnsi="Century Schoolbook" w:cs="Times New Roman"/>
          <w:b/>
          <w:i/>
        </w:rPr>
        <w:t>redicting the</w:t>
      </w:r>
      <w:r w:rsidR="005041F6">
        <w:rPr>
          <w:rFonts w:ascii="Century Schoolbook" w:hAnsi="Century Schoolbook" w:cs="Times New Roman"/>
          <w:b/>
          <w:i/>
        </w:rPr>
        <w:t xml:space="preserve"> </w:t>
      </w:r>
      <w:r>
        <w:rPr>
          <w:rFonts w:ascii="Century Schoolbook" w:hAnsi="Century Schoolbook" w:cs="Times New Roman"/>
          <w:b/>
          <w:i/>
        </w:rPr>
        <w:t>time to the next recommendation change</w:t>
      </w:r>
    </w:p>
    <w:p w14:paraId="3C6C3B67" w14:textId="07866356" w:rsidR="00322F97" w:rsidRDefault="004824E7" w:rsidP="005A049E">
      <w:pPr>
        <w:autoSpaceDE w:val="0"/>
        <w:autoSpaceDN w:val="0"/>
        <w:adjustRightInd w:val="0"/>
        <w:spacing w:after="0" w:line="480" w:lineRule="auto"/>
        <w:jc w:val="both"/>
        <w:rPr>
          <w:rFonts w:ascii="Century Schoolbook" w:hAnsi="Century Schoolbook" w:cs="Times New Roman"/>
        </w:rPr>
      </w:pPr>
      <w:r>
        <w:rPr>
          <w:rFonts w:ascii="Century Schoolbook" w:hAnsi="Century Schoolbook" w:cs="Times New Roman"/>
        </w:rPr>
        <w:t>We next</w:t>
      </w:r>
      <w:r w:rsidR="00322F97">
        <w:rPr>
          <w:rFonts w:ascii="Century Schoolbook" w:hAnsi="Century Schoolbook" w:cs="Times New Roman"/>
        </w:rPr>
        <w:t xml:space="preserve"> provide evidence that much of the variations in the speed at which analysts revise their recommendations is an analyst-level characteristic. To </w:t>
      </w:r>
      <w:r w:rsidR="00CA0E2A">
        <w:rPr>
          <w:rFonts w:ascii="Century Schoolbook" w:hAnsi="Century Schoolbook" w:cs="Times New Roman"/>
        </w:rPr>
        <w:t xml:space="preserve">demonstrate </w:t>
      </w:r>
      <w:r w:rsidR="00322F97">
        <w:rPr>
          <w:rFonts w:ascii="Century Schoolbook" w:hAnsi="Century Schoolbook" w:cs="Times New Roman"/>
        </w:rPr>
        <w:t xml:space="preserve">this, we show </w:t>
      </w:r>
      <w:r w:rsidR="00CA0E2A">
        <w:rPr>
          <w:rFonts w:ascii="Century Schoolbook" w:hAnsi="Century Schoolbook" w:cs="Times New Roman"/>
        </w:rPr>
        <w:t xml:space="preserve">that the </w:t>
      </w:r>
      <w:r w:rsidR="00322F97">
        <w:rPr>
          <w:rFonts w:ascii="Century Schoolbook" w:hAnsi="Century Schoolbook" w:cs="Times New Roman"/>
        </w:rPr>
        <w:t>recommendation</w:t>
      </w:r>
      <w:r w:rsidR="00CA0E2A">
        <w:rPr>
          <w:rFonts w:ascii="Century Schoolbook" w:hAnsi="Century Schoolbook" w:cs="Times New Roman"/>
        </w:rPr>
        <w:t xml:space="preserve"> </w:t>
      </w:r>
      <w:r w:rsidR="00CA0E2A" w:rsidRPr="00A505E8">
        <w:rPr>
          <w:rFonts w:ascii="Century Schoolbook" w:hAnsi="Century Schoolbook" w:cs="Times New Roman"/>
        </w:rPr>
        <w:t xml:space="preserve">speed-style </w:t>
      </w:r>
      <w:r w:rsidR="00CA0E2A">
        <w:rPr>
          <w:rFonts w:ascii="Century Schoolbook" w:hAnsi="Century Schoolbook" w:cs="Times New Roman"/>
        </w:rPr>
        <w:t xml:space="preserve">that we </w:t>
      </w:r>
      <w:r w:rsidR="00CA0E2A" w:rsidRPr="00A505E8">
        <w:rPr>
          <w:rFonts w:ascii="Century Schoolbook" w:hAnsi="Century Schoolbook" w:cs="Times New Roman"/>
        </w:rPr>
        <w:t xml:space="preserve">identified </w:t>
      </w:r>
      <w:r w:rsidR="00322F97">
        <w:rPr>
          <w:rFonts w:ascii="Century Schoolbook" w:hAnsi="Century Schoolbook" w:cs="Times New Roman"/>
        </w:rPr>
        <w:t xml:space="preserve">using analysts’ </w:t>
      </w:r>
      <w:r w:rsidR="00CA0E2A" w:rsidRPr="00CA0E2A">
        <w:rPr>
          <w:rFonts w:ascii="Century Schoolbook" w:hAnsi="Century Schoolbook" w:cs="Times New Roman"/>
          <w:i/>
        </w:rPr>
        <w:t>past</w:t>
      </w:r>
      <w:r w:rsidR="00CA0E2A" w:rsidRPr="00A505E8">
        <w:rPr>
          <w:rFonts w:ascii="Century Schoolbook" w:hAnsi="Century Schoolbook" w:cs="Times New Roman"/>
        </w:rPr>
        <w:t xml:space="preserve"> r</w:t>
      </w:r>
      <w:r w:rsidR="00CA0E2A">
        <w:rPr>
          <w:rFonts w:ascii="Century Schoolbook" w:hAnsi="Century Schoolbook" w:cs="Times New Roman"/>
        </w:rPr>
        <w:t xml:space="preserve">ecommendation </w:t>
      </w:r>
      <w:r w:rsidR="00CA0E2A" w:rsidRPr="00A505E8">
        <w:rPr>
          <w:rFonts w:ascii="Century Schoolbook" w:hAnsi="Century Schoolbook" w:cs="Times New Roman"/>
        </w:rPr>
        <w:lastRenderedPageBreak/>
        <w:t xml:space="preserve">patterns </w:t>
      </w:r>
      <w:r w:rsidR="00CA0E2A">
        <w:rPr>
          <w:rFonts w:ascii="Century Schoolbook" w:hAnsi="Century Schoolbook" w:cs="Times New Roman"/>
        </w:rPr>
        <w:t xml:space="preserve">can </w:t>
      </w:r>
      <w:r w:rsidR="00CA0E2A" w:rsidRPr="00A505E8">
        <w:rPr>
          <w:rFonts w:ascii="Century Schoolbook" w:hAnsi="Century Schoolbook" w:cs="Times New Roman"/>
        </w:rPr>
        <w:t xml:space="preserve">predict the speed </w:t>
      </w:r>
      <w:r w:rsidR="00CA0E2A">
        <w:rPr>
          <w:rFonts w:ascii="Century Schoolbook" w:hAnsi="Century Schoolbook" w:cs="Times New Roman"/>
        </w:rPr>
        <w:t xml:space="preserve">at which they </w:t>
      </w:r>
      <w:r>
        <w:rPr>
          <w:rFonts w:ascii="Century Schoolbook" w:hAnsi="Century Schoolbook" w:cs="Times New Roman"/>
        </w:rPr>
        <w:t xml:space="preserve">will </w:t>
      </w:r>
      <w:r w:rsidR="00CA0E2A">
        <w:rPr>
          <w:rFonts w:ascii="Century Schoolbook" w:hAnsi="Century Schoolbook" w:cs="Times New Roman"/>
        </w:rPr>
        <w:t>revise</w:t>
      </w:r>
      <w:r w:rsidR="00CA0E2A" w:rsidRPr="00CA0E2A">
        <w:rPr>
          <w:rFonts w:ascii="Century Schoolbook" w:hAnsi="Century Schoolbook" w:cs="Times New Roman"/>
          <w:i/>
        </w:rPr>
        <w:t xml:space="preserve"> future</w:t>
      </w:r>
      <w:r w:rsidR="00CA0E2A">
        <w:rPr>
          <w:rFonts w:ascii="Century Schoolbook" w:hAnsi="Century Schoolbook" w:cs="Times New Roman"/>
        </w:rPr>
        <w:t xml:space="preserve"> recommendations after controlling for various recommendation triggers.</w:t>
      </w:r>
    </w:p>
    <w:p w14:paraId="0569CB81" w14:textId="77777777" w:rsidR="00322F97" w:rsidRDefault="009B7AF5" w:rsidP="00322F97">
      <w:pPr>
        <w:autoSpaceDE w:val="0"/>
        <w:autoSpaceDN w:val="0"/>
        <w:adjustRightInd w:val="0"/>
        <w:spacing w:after="0" w:line="480" w:lineRule="auto"/>
        <w:ind w:firstLine="360"/>
        <w:jc w:val="both"/>
        <w:rPr>
          <w:rFonts w:ascii="Century Schoolbook" w:hAnsi="Century Schoolbook" w:cs="Times New Roman"/>
        </w:rPr>
      </w:pPr>
      <w:r>
        <w:rPr>
          <w:rFonts w:ascii="Century Schoolbook" w:hAnsi="Century Schoolbook" w:cs="Times New Roman"/>
        </w:rPr>
        <w:t>We</w:t>
      </w:r>
      <w:r w:rsidR="00FE1E02">
        <w:rPr>
          <w:rFonts w:ascii="Century Schoolbook" w:hAnsi="Century Schoolbook" w:cs="Times New Roman"/>
        </w:rPr>
        <w:t xml:space="preserve"> </w:t>
      </w:r>
      <w:r w:rsidR="00466995" w:rsidRPr="00466995">
        <w:rPr>
          <w:rFonts w:ascii="Century Schoolbook" w:hAnsi="Century Schoolbook" w:cs="Times New Roman"/>
        </w:rPr>
        <w:t>estimate the</w:t>
      </w:r>
      <w:r w:rsidR="00466995">
        <w:rPr>
          <w:rFonts w:ascii="Century Schoolbook" w:hAnsi="Century Schoolbook" w:cs="Times New Roman"/>
        </w:rPr>
        <w:t xml:space="preserve"> </w:t>
      </w:r>
      <w:r w:rsidR="00322F97" w:rsidRPr="00466995">
        <w:rPr>
          <w:rFonts w:ascii="Century Schoolbook" w:hAnsi="Century Schoolbook" w:cs="Times New Roman"/>
        </w:rPr>
        <w:t>Cox Proportion</w:t>
      </w:r>
      <w:r w:rsidR="00322F97">
        <w:rPr>
          <w:rFonts w:ascii="Century Schoolbook" w:hAnsi="Century Schoolbook" w:cs="Times New Roman"/>
        </w:rPr>
        <w:t xml:space="preserve">al Hazard (Cox PH) model for the </w:t>
      </w:r>
      <w:r w:rsidR="00466995">
        <w:rPr>
          <w:rFonts w:ascii="Century Schoolbook" w:hAnsi="Century Schoolbook" w:cs="Times New Roman"/>
        </w:rPr>
        <w:t>hazard</w:t>
      </w:r>
      <w:r w:rsidR="00466995" w:rsidRPr="00466995">
        <w:rPr>
          <w:rFonts w:ascii="Century Schoolbook" w:hAnsi="Century Schoolbook" w:cs="Times New Roman"/>
        </w:rPr>
        <w:t xml:space="preserve"> rate at which an analyst will revise his </w:t>
      </w:r>
      <w:r w:rsidR="00466995">
        <w:rPr>
          <w:rFonts w:ascii="Century Schoolbook" w:hAnsi="Century Schoolbook" w:cs="Times New Roman"/>
        </w:rPr>
        <w:t xml:space="preserve">future </w:t>
      </w:r>
      <w:r w:rsidR="00466995" w:rsidRPr="00466995">
        <w:rPr>
          <w:rFonts w:ascii="Century Schoolbook" w:hAnsi="Century Schoolbook" w:cs="Times New Roman"/>
        </w:rPr>
        <w:t>recommendation</w:t>
      </w:r>
      <w:r w:rsidR="00466995">
        <w:rPr>
          <w:rFonts w:ascii="Century Schoolbook" w:hAnsi="Century Schoolbook" w:cs="Times New Roman"/>
        </w:rPr>
        <w:t>s</w:t>
      </w:r>
      <w:r w:rsidR="00E43352">
        <w:rPr>
          <w:rFonts w:ascii="Century Schoolbook" w:hAnsi="Century Schoolbook" w:cs="Times New Roman"/>
        </w:rPr>
        <w:t xml:space="preserve"> in any given week</w:t>
      </w:r>
      <w:r w:rsidR="00466995" w:rsidRPr="00466995">
        <w:rPr>
          <w:rFonts w:ascii="Century Schoolbook" w:hAnsi="Century Schoolbook" w:cs="Times New Roman"/>
        </w:rPr>
        <w:t>.</w:t>
      </w:r>
      <w:r w:rsidR="00322F97">
        <w:rPr>
          <w:rFonts w:ascii="Century Schoolbook" w:hAnsi="Century Schoolbook" w:cs="Times New Roman"/>
        </w:rPr>
        <w:t xml:space="preserve"> The Cox PH model is commonly used in survival analysis and we prefer it over the logistic model because it can handle censored outcome variables (e.g., right-truncation bias as shown in Figure 1). </w:t>
      </w:r>
    </w:p>
    <w:p w14:paraId="3C2174F5" w14:textId="04E5DCC1" w:rsidR="001B68A4" w:rsidRDefault="00322F97" w:rsidP="00322F97">
      <w:pPr>
        <w:autoSpaceDE w:val="0"/>
        <w:autoSpaceDN w:val="0"/>
        <w:adjustRightInd w:val="0"/>
        <w:spacing w:after="0" w:line="480" w:lineRule="auto"/>
        <w:ind w:firstLine="360"/>
        <w:jc w:val="both"/>
        <w:rPr>
          <w:rFonts w:ascii="Century Schoolbook" w:hAnsi="Century Schoolbook" w:cs="Times New Roman"/>
        </w:rPr>
      </w:pPr>
      <w:r>
        <w:rPr>
          <w:rFonts w:ascii="Century Schoolbook" w:hAnsi="Century Schoolbook" w:cs="Times New Roman"/>
        </w:rPr>
        <w:t>Let</w:t>
      </w:r>
      <w:r w:rsidR="00827F78">
        <w:rPr>
          <w:rFonts w:ascii="Century Schoolbook" w:eastAsia="Times New Roman" w:hAnsi="Century Schoolbook" w:cs="Times New Roman"/>
          <w:szCs w:val="20"/>
          <w:lang w:eastAsia="fr-FR"/>
        </w:rPr>
        <w:t xml:space="preserve"> </w:t>
      </w:r>
      <m:oMath>
        <m:r>
          <w:rPr>
            <w:rFonts w:ascii="Cambria Math" w:hAnsi="Cambria Math" w:cs="Times New Roman"/>
          </w:rPr>
          <m:t>λ</m:t>
        </m:r>
        <m:d>
          <m:dPr>
            <m:ctrlPr>
              <w:rPr>
                <w:rFonts w:ascii="Cambria Math" w:hAnsi="Cambria Math" w:cs="Times New Roman"/>
                <w:i/>
              </w:rPr>
            </m:ctrlPr>
          </m:dPr>
          <m:e>
            <m:r>
              <w:rPr>
                <w:rFonts w:ascii="Cambria Math" w:hAnsi="Cambria Math" w:cs="Times New Roman"/>
              </w:rPr>
              <m:t xml:space="preserve"> t </m:t>
            </m:r>
          </m:e>
        </m:d>
      </m:oMath>
      <w:r w:rsidR="001B68A4">
        <w:rPr>
          <w:rFonts w:ascii="Century Schoolbook" w:eastAsia="Times New Roman" w:hAnsi="Century Schoolbook" w:cs="Times New Roman"/>
          <w:szCs w:val="20"/>
          <w:lang w:eastAsia="fr-FR"/>
        </w:rPr>
        <w:t xml:space="preserve"> </w:t>
      </w:r>
      <w:r w:rsidR="00E43352">
        <w:rPr>
          <w:rFonts w:ascii="Century Schoolbook" w:eastAsia="Times New Roman" w:hAnsi="Century Schoolbook" w:cs="Times New Roman"/>
          <w:szCs w:val="20"/>
          <w:lang w:eastAsia="fr-FR"/>
        </w:rPr>
        <w:t xml:space="preserve">denote </w:t>
      </w:r>
      <w:r w:rsidR="001B68A4">
        <w:rPr>
          <w:rFonts w:ascii="Century Schoolbook" w:eastAsia="Times New Roman" w:hAnsi="Century Schoolbook" w:cs="Times New Roman"/>
          <w:szCs w:val="20"/>
          <w:lang w:eastAsia="fr-FR"/>
        </w:rPr>
        <w:t>t</w:t>
      </w:r>
      <w:r w:rsidR="001B68A4" w:rsidRPr="0044000D">
        <w:rPr>
          <w:rFonts w:ascii="Century Schoolbook" w:eastAsia="Times New Roman" w:hAnsi="Century Schoolbook" w:cs="Times New Roman"/>
          <w:szCs w:val="20"/>
          <w:lang w:eastAsia="fr-FR"/>
        </w:rPr>
        <w:t xml:space="preserve">he </w:t>
      </w:r>
      <w:r w:rsidR="001B68A4" w:rsidRPr="0044000D">
        <w:rPr>
          <w:rFonts w:ascii="Century Schoolbook" w:hAnsi="Century Schoolbook" w:cs="Times New Roman"/>
        </w:rPr>
        <w:t>hazard rate</w:t>
      </w:r>
      <m:oMath>
        <m:r>
          <w:rPr>
            <w:rFonts w:ascii="Cambria Math" w:hAnsi="Cambria Math" w:cs="Times New Roman"/>
          </w:rPr>
          <m:t xml:space="preserve"> </m:t>
        </m:r>
      </m:oMath>
      <w:r w:rsidR="009B7AF5">
        <w:rPr>
          <w:rFonts w:ascii="Century Schoolbook" w:eastAsia="Times New Roman" w:hAnsi="Century Schoolbook" w:cs="Times New Roman"/>
          <w:szCs w:val="20"/>
          <w:lang w:eastAsia="fr-FR"/>
        </w:rPr>
        <w:t>that</w:t>
      </w:r>
      <w:r w:rsidR="001B68A4" w:rsidRPr="0044000D">
        <w:rPr>
          <w:rFonts w:ascii="Century Schoolbook" w:eastAsia="Times New Roman" w:hAnsi="Century Schoolbook" w:cs="Times New Roman"/>
          <w:szCs w:val="20"/>
          <w:lang w:eastAsia="fr-FR"/>
        </w:rPr>
        <w:t xml:space="preserve"> </w:t>
      </w:r>
      <w:r w:rsidR="001B68A4">
        <w:rPr>
          <w:rFonts w:ascii="Century Schoolbook" w:eastAsia="Times New Roman" w:hAnsi="Century Schoolbook" w:cs="Times New Roman"/>
          <w:szCs w:val="20"/>
          <w:lang w:eastAsia="fr-FR"/>
        </w:rPr>
        <w:t>an</w:t>
      </w:r>
      <w:r w:rsidR="001B68A4" w:rsidRPr="0044000D">
        <w:rPr>
          <w:rFonts w:ascii="Century Schoolbook" w:eastAsia="Times New Roman" w:hAnsi="Century Schoolbook" w:cs="Times New Roman"/>
          <w:szCs w:val="20"/>
          <w:lang w:eastAsia="fr-FR"/>
        </w:rPr>
        <w:t xml:space="preserve"> outstanding recommendation on stock </w:t>
      </w:r>
      <w:r w:rsidR="001B68A4" w:rsidRPr="0044000D">
        <w:rPr>
          <w:rFonts w:ascii="Century Schoolbook" w:eastAsia="Times New Roman" w:hAnsi="Century Schoolbook" w:cs="Times New Roman"/>
          <w:i/>
          <w:szCs w:val="20"/>
          <w:lang w:eastAsia="fr-FR"/>
        </w:rPr>
        <w:t>j</w:t>
      </w:r>
      <w:r w:rsidR="001B68A4" w:rsidRPr="0044000D">
        <w:rPr>
          <w:rFonts w:ascii="Century Schoolbook" w:eastAsia="Times New Roman" w:hAnsi="Century Schoolbook" w:cs="Times New Roman"/>
          <w:szCs w:val="20"/>
          <w:lang w:eastAsia="fr-FR"/>
        </w:rPr>
        <w:t xml:space="preserve"> by an analyst </w:t>
      </w:r>
      <w:proofErr w:type="spellStart"/>
      <w:r w:rsidR="001B68A4" w:rsidRPr="0044000D">
        <w:rPr>
          <w:rFonts w:ascii="Century Schoolbook" w:eastAsia="Times New Roman" w:hAnsi="Century Schoolbook" w:cs="Times New Roman"/>
          <w:i/>
          <w:szCs w:val="20"/>
          <w:lang w:eastAsia="fr-FR"/>
        </w:rPr>
        <w:t>a</w:t>
      </w:r>
      <w:proofErr w:type="spellEnd"/>
      <w:r w:rsidR="001B68A4" w:rsidRPr="0044000D">
        <w:rPr>
          <w:rFonts w:ascii="Century Schoolbook" w:eastAsia="Times New Roman" w:hAnsi="Century Schoolbook" w:cs="Times New Roman"/>
          <w:i/>
          <w:szCs w:val="20"/>
          <w:lang w:eastAsia="fr-FR"/>
        </w:rPr>
        <w:t xml:space="preserve"> </w:t>
      </w:r>
      <w:r w:rsidR="001B68A4" w:rsidRPr="0044000D">
        <w:rPr>
          <w:rFonts w:ascii="Century Schoolbook" w:eastAsia="Times New Roman" w:hAnsi="Century Schoolbook" w:cs="Times New Roman"/>
          <w:szCs w:val="20"/>
          <w:lang w:eastAsia="fr-FR"/>
        </w:rPr>
        <w:t xml:space="preserve">will be revised in week </w:t>
      </w:r>
      <w:r w:rsidR="001B68A4" w:rsidRPr="0044000D">
        <w:rPr>
          <w:rFonts w:ascii="Century Schoolbook" w:eastAsia="Times New Roman" w:hAnsi="Century Schoolbook" w:cs="Times New Roman"/>
          <w:i/>
          <w:szCs w:val="20"/>
          <w:lang w:eastAsia="fr-FR"/>
        </w:rPr>
        <w:t>t</w:t>
      </w:r>
      <w:r>
        <w:rPr>
          <w:rFonts w:ascii="Century Schoolbook" w:eastAsia="Times New Roman" w:hAnsi="Century Schoolbook" w:cs="Times New Roman"/>
          <w:szCs w:val="20"/>
          <w:lang w:eastAsia="fr-FR"/>
        </w:rPr>
        <w:t>, we assume that</w:t>
      </w:r>
      <w:r w:rsidR="001B68A4" w:rsidRPr="0044000D">
        <w:rPr>
          <w:rFonts w:ascii="Century Schoolbook" w:hAnsi="Century Schoolbook" w:cs="Times New Roman"/>
        </w:rPr>
        <w:t xml:space="preserve"> </w:t>
      </w:r>
      <m:oMath>
        <m:r>
          <w:rPr>
            <w:rFonts w:ascii="Cambria Math" w:hAnsi="Cambria Math" w:cs="Times New Roman"/>
          </w:rPr>
          <m:t>λ</m:t>
        </m:r>
        <m:d>
          <m:dPr>
            <m:ctrlPr>
              <w:rPr>
                <w:rFonts w:ascii="Cambria Math" w:hAnsi="Cambria Math" w:cs="Times New Roman"/>
                <w:i/>
              </w:rPr>
            </m:ctrlPr>
          </m:dPr>
          <m:e>
            <m:r>
              <w:rPr>
                <w:rFonts w:ascii="Cambria Math" w:hAnsi="Cambria Math" w:cs="Times New Roman"/>
              </w:rPr>
              <m:t xml:space="preserve"> t </m:t>
            </m:r>
          </m:e>
        </m:d>
      </m:oMath>
      <w:r>
        <w:rPr>
          <w:rFonts w:ascii="Century Schoolbook" w:eastAsia="Times New Roman" w:hAnsi="Century Schoolbook" w:cs="Times New Roman"/>
          <w:szCs w:val="20"/>
          <w:lang w:eastAsia="fr-FR"/>
        </w:rPr>
        <w:t xml:space="preserve"> </w:t>
      </w:r>
      <w:r w:rsidR="001B68A4">
        <w:rPr>
          <w:rFonts w:ascii="Century Schoolbook" w:hAnsi="Century Schoolbook" w:cs="Times New Roman"/>
        </w:rPr>
        <w:t>fo</w:t>
      </w:r>
      <w:r w:rsidR="001B68A4" w:rsidRPr="0044000D">
        <w:rPr>
          <w:rFonts w:ascii="Century Schoolbook" w:hAnsi="Century Schoolbook" w:cs="Times New Roman"/>
        </w:rPr>
        <w:t>llows a log-linear model:</w:t>
      </w:r>
    </w:p>
    <w:p w14:paraId="4A124FB0" w14:textId="2AE4BD23" w:rsidR="001B68A4" w:rsidRPr="00CB4277" w:rsidRDefault="001B68A4" w:rsidP="00A00DFF">
      <w:pPr>
        <w:autoSpaceDE w:val="0"/>
        <w:autoSpaceDN w:val="0"/>
        <w:adjustRightInd w:val="0"/>
        <w:spacing w:after="0" w:line="480" w:lineRule="auto"/>
        <w:jc w:val="right"/>
        <w:rPr>
          <w:rFonts w:ascii="Century Schoolbook" w:eastAsia="Times New Roman" w:hAnsi="Century Schoolbook" w:cs="Times New Roman"/>
          <w:szCs w:val="20"/>
          <w:lang w:eastAsia="fr-FR"/>
        </w:rPr>
      </w:pPr>
      <m:oMath>
        <m:r>
          <w:rPr>
            <w:rFonts w:ascii="Cambria Math" w:hAnsi="Cambria Math"/>
            <w:szCs w:val="21"/>
          </w:rPr>
          <m:t>λ</m:t>
        </m:r>
        <m:d>
          <m:dPr>
            <m:ctrlPr>
              <w:rPr>
                <w:rFonts w:ascii="Cambria Math" w:hAnsi="Cambria Math"/>
                <w:i/>
                <w:szCs w:val="21"/>
              </w:rPr>
            </m:ctrlPr>
          </m:dPr>
          <m:e>
            <m:r>
              <w:rPr>
                <w:rFonts w:ascii="Cambria Math" w:hAnsi="Cambria Math"/>
                <w:szCs w:val="21"/>
              </w:rPr>
              <m:t xml:space="preserve">t </m:t>
            </m:r>
          </m:e>
        </m:d>
        <m:r>
          <w:rPr>
            <w:rFonts w:ascii="Cambria Math" w:hAnsi="Cambria Math"/>
            <w:szCs w:val="21"/>
          </w:rPr>
          <m:t>=</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0,j</m:t>
            </m:r>
          </m:sub>
        </m:sSub>
        <m:d>
          <m:dPr>
            <m:ctrlPr>
              <w:rPr>
                <w:rFonts w:ascii="Cambria Math" w:hAnsi="Cambria Math" w:cs="Times New Roman"/>
                <w:i/>
                <w:szCs w:val="21"/>
              </w:rPr>
            </m:ctrlPr>
          </m:dPr>
          <m:e>
            <m:r>
              <w:rPr>
                <w:rFonts w:ascii="Cambria Math" w:hAnsi="Cambria Math"/>
                <w:szCs w:val="21"/>
              </w:rPr>
              <m:t>t</m:t>
            </m:r>
          </m:e>
        </m:d>
        <m:func>
          <m:funcPr>
            <m:ctrlPr>
              <w:rPr>
                <w:rFonts w:ascii="Cambria Math" w:hAnsi="Cambria Math"/>
                <w:szCs w:val="21"/>
              </w:rPr>
            </m:ctrlPr>
          </m:funcPr>
          <m:fName>
            <m:r>
              <m:rPr>
                <m:sty m:val="p"/>
              </m:rPr>
              <w:rPr>
                <w:rFonts w:ascii="Cambria Math" w:hAnsi="Cambria Math"/>
                <w:szCs w:val="21"/>
              </w:rPr>
              <m:t>exp</m:t>
            </m:r>
          </m:fName>
          <m:e>
            <m:d>
              <m:dPr>
                <m:ctrlPr>
                  <w:rPr>
                    <w:rFonts w:ascii="Cambria Math" w:hAnsi="Cambria Math"/>
                    <w:i/>
                    <w:szCs w:val="21"/>
                  </w:rPr>
                </m:ctrlPr>
              </m:dPr>
              <m:e>
                <m:sSub>
                  <m:sSubPr>
                    <m:ctrlPr>
                      <w:rPr>
                        <w:rFonts w:ascii="Cambria Math" w:hAnsi="Cambria Math"/>
                        <w:i/>
                        <w:szCs w:val="21"/>
                      </w:rPr>
                    </m:ctrlPr>
                  </m:sSubPr>
                  <m:e>
                    <m:r>
                      <w:rPr>
                        <w:rFonts w:ascii="Cambria Math" w:hAnsi="Cambria Math"/>
                        <w:i/>
                        <w:szCs w:val="21"/>
                      </w:rPr>
                      <w:sym w:font="Symbol" w:char="F061"/>
                    </m:r>
                  </m:e>
                  <m:sub>
                    <m:r>
                      <w:rPr>
                        <w:rFonts w:ascii="Cambria Math" w:hAnsi="Cambria Math"/>
                        <w:szCs w:val="21"/>
                      </w:rPr>
                      <m:t>Slow</m:t>
                    </m:r>
                  </m:sub>
                </m:sSub>
                <m:sSub>
                  <m:sSubPr>
                    <m:ctrlPr>
                      <w:rPr>
                        <w:rFonts w:ascii="Cambria Math" w:hAnsi="Cambria Math"/>
                        <w:i/>
                        <w:szCs w:val="21"/>
                      </w:rPr>
                    </m:ctrlPr>
                  </m:sSubPr>
                  <m:e>
                    <m:r>
                      <w:rPr>
                        <w:rFonts w:ascii="Cambria Math" w:hAnsi="Cambria Math"/>
                        <w:szCs w:val="21"/>
                      </w:rPr>
                      <m:t>Slow</m:t>
                    </m:r>
                  </m:e>
                  <m:sub>
                    <m:r>
                      <w:rPr>
                        <w:rFonts w:ascii="Cambria Math" w:hAnsi="Cambria Math"/>
                        <w:szCs w:val="21"/>
                      </w:rPr>
                      <m:t>a</m:t>
                    </m:r>
                  </m:sub>
                </m:sSub>
                <m:r>
                  <w:rPr>
                    <w:rFonts w:ascii="Cambria Math" w:hAnsi="Cambria Math"/>
                    <w:szCs w:val="21"/>
                  </w:rPr>
                  <m:t xml:space="preserve"> + </m:t>
                </m:r>
                <m:sSub>
                  <m:sSubPr>
                    <m:ctrlPr>
                      <w:rPr>
                        <w:rFonts w:ascii="Cambria Math" w:hAnsi="Cambria Math"/>
                        <w:i/>
                        <w:szCs w:val="21"/>
                      </w:rPr>
                    </m:ctrlPr>
                  </m:sSubPr>
                  <m:e>
                    <m:r>
                      <w:rPr>
                        <w:rFonts w:ascii="Cambria Math" w:hAnsi="Cambria Math"/>
                        <w:i/>
                        <w:szCs w:val="21"/>
                      </w:rPr>
                      <w:sym w:font="Symbol" w:char="F061"/>
                    </m:r>
                  </m:e>
                  <m:sub>
                    <m:r>
                      <w:rPr>
                        <w:rFonts w:ascii="Cambria Math" w:hAnsi="Cambria Math"/>
                        <w:szCs w:val="21"/>
                      </w:rPr>
                      <m:t>Fast</m:t>
                    </m:r>
                  </m:sub>
                </m:sSub>
                <m:sSub>
                  <m:sSubPr>
                    <m:ctrlPr>
                      <w:rPr>
                        <w:rFonts w:ascii="Cambria Math" w:hAnsi="Cambria Math"/>
                        <w:i/>
                        <w:szCs w:val="21"/>
                      </w:rPr>
                    </m:ctrlPr>
                  </m:sSubPr>
                  <m:e>
                    <m:r>
                      <w:rPr>
                        <w:rFonts w:ascii="Cambria Math" w:hAnsi="Cambria Math"/>
                        <w:szCs w:val="21"/>
                      </w:rPr>
                      <m:t>Fast</m:t>
                    </m:r>
                  </m:e>
                  <m:sub>
                    <m:r>
                      <w:rPr>
                        <w:rFonts w:ascii="Cambria Math" w:hAnsi="Cambria Math"/>
                        <w:szCs w:val="21"/>
                      </w:rPr>
                      <m:t>a</m:t>
                    </m:r>
                  </m:sub>
                </m:sSub>
                <m:r>
                  <m:rPr>
                    <m:sty m:val="p"/>
                  </m:rPr>
                  <w:rPr>
                    <w:rFonts w:ascii="Cambria Math" w:hAnsi="Cambria Math"/>
                    <w:szCs w:val="21"/>
                  </w:rPr>
                  <w:softHyphen/>
                </m:r>
                <m:r>
                  <w:rPr>
                    <w:rFonts w:ascii="Cambria Math" w:hAnsi="Cambria Math"/>
                    <w:szCs w:val="21"/>
                  </w:rPr>
                  <m:t xml:space="preserve">  </m:t>
                </m:r>
                <m:sSubSup>
                  <m:sSubSupPr>
                    <m:ctrlPr>
                      <w:rPr>
                        <w:rFonts w:ascii="Cambria Math" w:hAnsi="Cambria Math" w:cs="Times New Roman"/>
                        <w:i/>
                        <w:szCs w:val="21"/>
                      </w:rPr>
                    </m:ctrlPr>
                  </m:sSubSupPr>
                  <m:e>
                    <m:r>
                      <m:rPr>
                        <m:sty m:val="p"/>
                      </m:rPr>
                      <w:rPr>
                        <w:rFonts w:ascii="Cambria Math" w:hAnsi="Cambria Math"/>
                        <w:szCs w:val="21"/>
                      </w:rPr>
                      <m:t>+ Σ</m:t>
                    </m:r>
                  </m:e>
                  <m:sub>
                    <m:r>
                      <w:rPr>
                        <w:rFonts w:ascii="Cambria Math" w:hAnsi="Cambria Math"/>
                        <w:szCs w:val="21"/>
                      </w:rPr>
                      <m:t>i</m:t>
                    </m:r>
                  </m:sub>
                  <m:sup/>
                </m:sSubSup>
                <m:sSub>
                  <m:sSubPr>
                    <m:ctrlPr>
                      <w:rPr>
                        <w:rFonts w:ascii="Cambria Math" w:hAnsi="Cambria Math" w:cs="Times New Roman"/>
                        <w:i/>
                        <w:szCs w:val="21"/>
                      </w:rPr>
                    </m:ctrlPr>
                  </m:sSubPr>
                  <m:e>
                    <m:r>
                      <w:rPr>
                        <w:rFonts w:ascii="Cambria Math" w:hAnsi="Cambria Math"/>
                        <w:i/>
                        <w:szCs w:val="21"/>
                      </w:rPr>
                      <w:sym w:font="Symbol" w:char="F062"/>
                    </m:r>
                  </m:e>
                  <m:sub>
                    <m:r>
                      <w:rPr>
                        <w:rFonts w:ascii="Cambria Math" w:hAnsi="Cambria Math"/>
                        <w:szCs w:val="21"/>
                      </w:rPr>
                      <m:t>i</m:t>
                    </m:r>
                  </m:sub>
                </m:sSub>
                <m:sSub>
                  <m:sSubPr>
                    <m:ctrlPr>
                      <w:rPr>
                        <w:rFonts w:ascii="Cambria Math" w:hAnsi="Cambria Math" w:cs="Times New Roman"/>
                        <w:i/>
                        <w:szCs w:val="21"/>
                      </w:rPr>
                    </m:ctrlPr>
                  </m:sSubPr>
                  <m:e>
                    <m:r>
                      <w:rPr>
                        <w:rFonts w:ascii="Cambria Math" w:hAnsi="Cambria Math"/>
                        <w:szCs w:val="21"/>
                      </w:rPr>
                      <m:t>X</m:t>
                    </m:r>
                  </m:e>
                  <m:sub>
                    <m:r>
                      <w:rPr>
                        <w:rFonts w:ascii="Cambria Math" w:hAnsi="Cambria Math"/>
                        <w:szCs w:val="21"/>
                      </w:rPr>
                      <m:t>i,j</m:t>
                    </m:r>
                  </m:sub>
                </m:sSub>
                <m:d>
                  <m:dPr>
                    <m:ctrlPr>
                      <w:rPr>
                        <w:rFonts w:ascii="Cambria Math" w:hAnsi="Cambria Math" w:cs="Times New Roman"/>
                        <w:i/>
                        <w:szCs w:val="21"/>
                      </w:rPr>
                    </m:ctrlPr>
                  </m:dPr>
                  <m:e>
                    <m:r>
                      <w:rPr>
                        <w:rFonts w:ascii="Cambria Math" w:hAnsi="Cambria Math" w:cs="Times New Roman"/>
                        <w:szCs w:val="21"/>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a</m:t>
                    </m:r>
                  </m:sub>
                </m:sSub>
              </m:e>
            </m:d>
          </m:e>
        </m:func>
        <m:r>
          <w:rPr>
            <w:rFonts w:ascii="Cambria Math" w:hAnsi="Cambria Math"/>
            <w:szCs w:val="21"/>
          </w:rPr>
          <m:t>.</m:t>
        </m:r>
      </m:oMath>
      <w:r w:rsidRPr="00926C44">
        <w:rPr>
          <w:rFonts w:ascii="Century Schoolbook" w:hAnsi="Century Schoolbook"/>
        </w:rPr>
        <w:t xml:space="preserve"> </w:t>
      </w:r>
      <w:r>
        <w:rPr>
          <w:rFonts w:ascii="Century Schoolbook" w:hAnsi="Century Schoolbook"/>
        </w:rPr>
        <w:tab/>
      </w:r>
      <w:r>
        <w:rPr>
          <w:rFonts w:ascii="Century Schoolbook" w:hAnsi="Century Schoolbook"/>
        </w:rPr>
        <w:tab/>
        <w:t>(1</w:t>
      </w:r>
      <w:r w:rsidRPr="00564A87">
        <w:rPr>
          <w:rFonts w:ascii="Century Schoolbook" w:hAnsi="Century Schoolbook"/>
        </w:rPr>
        <w:t>)</w:t>
      </w:r>
    </w:p>
    <w:p w14:paraId="3B87E7C2" w14:textId="271B610C" w:rsidR="001B68A4" w:rsidRDefault="00367B6B" w:rsidP="00C9692F">
      <w:pPr>
        <w:autoSpaceDE w:val="0"/>
        <w:autoSpaceDN w:val="0"/>
        <w:adjustRightInd w:val="0"/>
        <w:spacing w:after="0" w:line="480" w:lineRule="auto"/>
        <w:jc w:val="both"/>
        <w:rPr>
          <w:rFonts w:ascii="Century Schoolbook" w:eastAsiaTheme="minorEastAsia" w:hAnsi="Century Schoolbook" w:cs="Times New Roman"/>
        </w:rPr>
      </w:pPr>
      <w:r>
        <w:rPr>
          <w:rFonts w:ascii="Century Schoolbook" w:eastAsiaTheme="minorEastAsia" w:hAnsi="Century Schoolbook" w:cs="Times New Roman"/>
        </w:rPr>
        <w:t>We estimate t</w:t>
      </w:r>
      <w:r w:rsidR="001B68A4">
        <w:rPr>
          <w:rFonts w:ascii="Century Schoolbook" w:eastAsiaTheme="minorEastAsia" w:hAnsi="Century Schoolbook" w:cs="Times New Roman"/>
        </w:rPr>
        <w:t xml:space="preserve">he above model at the recommendation-week level, and separately for upgrades and downgrades. For each recommendation, we create a weekly panel where each observation corresponds to a distinct week </w:t>
      </w:r>
      <w:r w:rsidR="001B68A4">
        <w:rPr>
          <w:rFonts w:ascii="Century Schoolbook" w:eastAsiaTheme="minorEastAsia" w:hAnsi="Century Schoolbook" w:cs="Times New Roman"/>
          <w:i/>
        </w:rPr>
        <w:t>t,</w:t>
      </w:r>
      <w:r w:rsidR="001B68A4" w:rsidRPr="0050379A">
        <w:rPr>
          <w:rFonts w:ascii="Century Schoolbook" w:eastAsiaTheme="minorEastAsia" w:hAnsi="Century Schoolbook" w:cs="Times New Roman"/>
        </w:rPr>
        <w:t xml:space="preserve"> </w:t>
      </w:r>
      <w:r w:rsidR="009B7AF5">
        <w:rPr>
          <w:rFonts w:ascii="Century Schoolbook" w:eastAsiaTheme="minorEastAsia" w:hAnsi="Century Schoolbook" w:cs="Times New Roman"/>
        </w:rPr>
        <w:t xml:space="preserve">starting </w:t>
      </w:r>
      <w:r w:rsidR="001B68A4" w:rsidRPr="0050379A">
        <w:rPr>
          <w:rFonts w:ascii="Century Schoolbook" w:eastAsiaTheme="minorEastAsia" w:hAnsi="Century Schoolbook" w:cs="Times New Roman"/>
        </w:rPr>
        <w:t>from</w:t>
      </w:r>
      <w:r w:rsidR="001B68A4">
        <w:rPr>
          <w:rFonts w:ascii="Century Schoolbook" w:eastAsiaTheme="minorEastAsia" w:hAnsi="Century Schoolbook" w:cs="Times New Roman"/>
        </w:rPr>
        <w:t xml:space="preserve"> when this recommendation became outstanding until when it is revised</w:t>
      </w:r>
      <w:r w:rsidR="009B7AF5">
        <w:rPr>
          <w:rFonts w:ascii="Century Schoolbook" w:eastAsiaTheme="minorEastAsia" w:hAnsi="Century Schoolbook" w:cs="Times New Roman"/>
        </w:rPr>
        <w:t xml:space="preserve">. </w:t>
      </w:r>
      <w:r w:rsidR="00E43352">
        <w:rPr>
          <w:rFonts w:ascii="Century Schoolbook" w:hAnsi="Century Schoolbook" w:cs="Times New Roman"/>
        </w:rPr>
        <w:t>Th</w:t>
      </w:r>
      <w:r w:rsidR="00CC79FC">
        <w:rPr>
          <w:rFonts w:ascii="Century Schoolbook" w:hAnsi="Century Schoolbook" w:cs="Times New Roman"/>
        </w:rPr>
        <w:t>e</w:t>
      </w:r>
      <w:r w:rsidR="00E43352">
        <w:rPr>
          <w:rFonts w:ascii="Century Schoolbook" w:hAnsi="Century Schoolbook" w:cs="Times New Roman"/>
        </w:rPr>
        <w:t xml:space="preserve"> weekly</w:t>
      </w:r>
      <w:r w:rsidR="00AF440C">
        <w:rPr>
          <w:rFonts w:ascii="Century Schoolbook" w:hAnsi="Century Schoolbook" w:cs="Times New Roman"/>
        </w:rPr>
        <w:t xml:space="preserve"> (rather than daily)</w:t>
      </w:r>
      <w:r w:rsidR="00E43352">
        <w:rPr>
          <w:rFonts w:ascii="Century Schoolbook" w:hAnsi="Century Schoolbook" w:cs="Times New Roman"/>
        </w:rPr>
        <w:t xml:space="preserve"> frequency choice is motivated by </w:t>
      </w:r>
      <w:r w:rsidR="000B55EA">
        <w:rPr>
          <w:rFonts w:ascii="Century Schoolbook" w:hAnsi="Century Schoolbook" w:cs="Times New Roman"/>
        </w:rPr>
        <w:t>computational</w:t>
      </w:r>
      <w:r w:rsidR="00E43352">
        <w:rPr>
          <w:rFonts w:ascii="Century Schoolbook" w:hAnsi="Century Schoolbook" w:cs="Times New Roman"/>
        </w:rPr>
        <w:t xml:space="preserve"> practic</w:t>
      </w:r>
      <w:r w:rsidR="00CC79FC">
        <w:rPr>
          <w:rFonts w:ascii="Century Schoolbook" w:hAnsi="Century Schoolbook" w:cs="Times New Roman"/>
        </w:rPr>
        <w:t>ality and because a recommendation change that occurs within one week is extrem</w:t>
      </w:r>
      <w:r w:rsidR="000C1A87">
        <w:rPr>
          <w:rFonts w:ascii="Century Schoolbook" w:hAnsi="Century Schoolbook" w:cs="Times New Roman"/>
        </w:rPr>
        <w:t xml:space="preserve">ely rare, </w:t>
      </w:r>
      <w:r w:rsidR="00466392">
        <w:rPr>
          <w:rFonts w:ascii="Century Schoolbook" w:hAnsi="Century Schoolbook" w:cs="Times New Roman"/>
        </w:rPr>
        <w:t>i.e.,</w:t>
      </w:r>
      <w:r w:rsidR="00CC79FC">
        <w:rPr>
          <w:rFonts w:ascii="Century Schoolbook" w:hAnsi="Century Schoolbook" w:cs="Times New Roman"/>
        </w:rPr>
        <w:t xml:space="preserve"> 0.</w:t>
      </w:r>
      <w:r w:rsidR="00E050C7">
        <w:rPr>
          <w:rFonts w:ascii="Century Schoolbook" w:hAnsi="Century Schoolbook" w:cs="Times New Roman"/>
        </w:rPr>
        <w:t>0</w:t>
      </w:r>
      <w:r w:rsidR="000C1A87">
        <w:rPr>
          <w:rFonts w:ascii="Century Schoolbook" w:hAnsi="Century Schoolbook" w:cs="Times New Roman"/>
        </w:rPr>
        <w:t>6</w:t>
      </w:r>
      <w:r w:rsidR="00CC79FC">
        <w:rPr>
          <w:rFonts w:ascii="Century Schoolbook" w:hAnsi="Century Schoolbook" w:cs="Times New Roman"/>
        </w:rPr>
        <w:t>%</w:t>
      </w:r>
      <w:r w:rsidR="000C1A87">
        <w:rPr>
          <w:rFonts w:ascii="Century Schoolbook" w:hAnsi="Century Schoolbook" w:cs="Times New Roman"/>
        </w:rPr>
        <w:t xml:space="preserve"> of all revisions</w:t>
      </w:r>
      <w:r w:rsidR="00CC79FC">
        <w:rPr>
          <w:rFonts w:ascii="Century Schoolbook" w:hAnsi="Century Schoolbook" w:cs="Times New Roman"/>
        </w:rPr>
        <w:t xml:space="preserve">. </w:t>
      </w:r>
      <w:r w:rsidR="00466392">
        <w:rPr>
          <w:rFonts w:ascii="Century Schoolbook" w:eastAsiaTheme="minorEastAsia" w:hAnsi="Century Schoolbook" w:cs="Times New Roman"/>
        </w:rPr>
        <w:t>There are about</w:t>
      </w:r>
      <w:r w:rsidR="001B68A4">
        <w:rPr>
          <w:rFonts w:ascii="Century Schoolbook" w:eastAsiaTheme="minorEastAsia" w:hAnsi="Century Schoolbook" w:cs="Times New Roman"/>
        </w:rPr>
        <w:t xml:space="preserve"> 8.5 million </w:t>
      </w:r>
      <w:r w:rsidR="00E050C7">
        <w:rPr>
          <w:rFonts w:ascii="Century Schoolbook" w:eastAsiaTheme="minorEastAsia" w:hAnsi="Century Schoolbook" w:cs="Times New Roman"/>
        </w:rPr>
        <w:t>weekly</w:t>
      </w:r>
      <w:r w:rsidR="001B68A4">
        <w:rPr>
          <w:rFonts w:ascii="Century Schoolbook" w:eastAsiaTheme="minorEastAsia" w:hAnsi="Century Schoolbook" w:cs="Times New Roman"/>
        </w:rPr>
        <w:t xml:space="preserve"> </w:t>
      </w:r>
      <w:r w:rsidR="00C9692F">
        <w:rPr>
          <w:rFonts w:ascii="Century Schoolbook" w:eastAsiaTheme="minorEastAsia" w:hAnsi="Century Schoolbook" w:cs="Times New Roman"/>
        </w:rPr>
        <w:t xml:space="preserve">panel </w:t>
      </w:r>
      <w:r w:rsidR="001B68A4">
        <w:rPr>
          <w:rFonts w:ascii="Century Schoolbook" w:eastAsiaTheme="minorEastAsia" w:hAnsi="Century Schoolbook" w:cs="Times New Roman"/>
        </w:rPr>
        <w:t xml:space="preserve">observations created from 158,210 recommendation </w:t>
      </w:r>
      <w:r w:rsidR="00E050C7">
        <w:rPr>
          <w:rFonts w:ascii="Century Schoolbook" w:eastAsiaTheme="minorEastAsia" w:hAnsi="Century Schoolbook" w:cs="Times New Roman"/>
        </w:rPr>
        <w:t xml:space="preserve">revisions over the </w:t>
      </w:r>
      <w:r w:rsidR="001B68A4">
        <w:rPr>
          <w:rFonts w:ascii="Century Schoolbook" w:eastAsiaTheme="minorEastAsia" w:hAnsi="Century Schoolbook" w:cs="Times New Roman"/>
        </w:rPr>
        <w:t>1996</w:t>
      </w:r>
      <w:r w:rsidR="001B68A4">
        <w:rPr>
          <w:rFonts w:ascii="Calibri" w:eastAsiaTheme="minorEastAsia" w:hAnsi="Calibri" w:cs="Times New Roman"/>
        </w:rPr>
        <w:t>−</w:t>
      </w:r>
      <w:r w:rsidR="001B68A4">
        <w:rPr>
          <w:rFonts w:ascii="Century Schoolbook" w:eastAsiaTheme="minorEastAsia" w:hAnsi="Century Schoolbook" w:cs="Times New Roman"/>
        </w:rPr>
        <w:t>201</w:t>
      </w:r>
      <w:r w:rsidR="00CC79FC">
        <w:rPr>
          <w:rFonts w:ascii="Century Schoolbook" w:eastAsiaTheme="minorEastAsia" w:hAnsi="Century Schoolbook" w:cs="Times New Roman"/>
        </w:rPr>
        <w:t>3</w:t>
      </w:r>
      <w:r w:rsidR="00E050C7">
        <w:rPr>
          <w:rFonts w:ascii="Century Schoolbook" w:eastAsiaTheme="minorEastAsia" w:hAnsi="Century Schoolbook" w:cs="Times New Roman"/>
        </w:rPr>
        <w:t xml:space="preserve"> period</w:t>
      </w:r>
      <w:r w:rsidR="001B68A4">
        <w:rPr>
          <w:rFonts w:ascii="Century Schoolbook" w:eastAsiaTheme="minorEastAsia" w:hAnsi="Century Schoolbook" w:cs="Times New Roman"/>
        </w:rPr>
        <w:t>, where approximately 3.5 million of the</w:t>
      </w:r>
      <w:r w:rsidR="00E050C7">
        <w:rPr>
          <w:rFonts w:ascii="Century Schoolbook" w:eastAsiaTheme="minorEastAsia" w:hAnsi="Century Schoolbook" w:cs="Times New Roman"/>
        </w:rPr>
        <w:t>m</w:t>
      </w:r>
      <w:r w:rsidR="001B68A4">
        <w:rPr>
          <w:rFonts w:ascii="Century Schoolbook" w:eastAsiaTheme="minorEastAsia" w:hAnsi="Century Schoolbook" w:cs="Times New Roman"/>
        </w:rPr>
        <w:t xml:space="preserve"> </w:t>
      </w:r>
      <w:r w:rsidR="00E050C7">
        <w:rPr>
          <w:rFonts w:ascii="Century Schoolbook" w:eastAsiaTheme="minorEastAsia" w:hAnsi="Century Schoolbook" w:cs="Times New Roman"/>
        </w:rPr>
        <w:t>are</w:t>
      </w:r>
      <w:r w:rsidR="001B68A4">
        <w:rPr>
          <w:rFonts w:ascii="Century Schoolbook" w:eastAsiaTheme="minorEastAsia" w:hAnsi="Century Schoolbook" w:cs="Times New Roman"/>
        </w:rPr>
        <w:t xml:space="preserve"> upgrades.</w:t>
      </w:r>
      <w:r w:rsidR="00640E35">
        <w:rPr>
          <w:rFonts w:ascii="Century Schoolbook" w:eastAsiaTheme="minorEastAsia" w:hAnsi="Century Schoolbook" w:cs="Times New Roman"/>
        </w:rPr>
        <w:t xml:space="preserve"> </w:t>
      </w:r>
      <w:r w:rsidR="00FC5DB4">
        <w:rPr>
          <w:rFonts w:ascii="Century Schoolbook" w:eastAsiaTheme="minorEastAsia" w:hAnsi="Century Schoolbook" w:cs="Times New Roman"/>
        </w:rPr>
        <w:t>We estimate t</w:t>
      </w:r>
      <w:r w:rsidR="00640E35">
        <w:rPr>
          <w:rFonts w:ascii="Century Schoolbook" w:eastAsiaTheme="minorEastAsia" w:hAnsi="Century Schoolbook" w:cs="Times New Roman"/>
        </w:rPr>
        <w:t xml:space="preserve">he </w:t>
      </w:r>
      <w:r w:rsidR="00FC5DB4">
        <w:rPr>
          <w:rFonts w:ascii="Century Schoolbook" w:eastAsiaTheme="minorEastAsia" w:hAnsi="Century Schoolbook" w:cs="Times New Roman"/>
        </w:rPr>
        <w:t>model</w:t>
      </w:r>
      <w:r w:rsidR="00640E35">
        <w:rPr>
          <w:rFonts w:ascii="Century Schoolbook" w:eastAsiaTheme="minorEastAsia" w:hAnsi="Century Schoolbook" w:cs="Times New Roman"/>
        </w:rPr>
        <w:t xml:space="preserve"> using maximum likelihood.</w:t>
      </w:r>
      <w:r w:rsidR="001724D0">
        <w:rPr>
          <w:rStyle w:val="FootnoteReference"/>
          <w:rFonts w:ascii="Century Schoolbook" w:eastAsiaTheme="minorEastAsia" w:hAnsi="Century Schoolbook" w:cs="Times New Roman"/>
        </w:rPr>
        <w:footnoteReference w:id="11"/>
      </w:r>
    </w:p>
    <w:p w14:paraId="269A42F0" w14:textId="71A81EAA" w:rsidR="009C5C67" w:rsidRDefault="001B68A4" w:rsidP="00A00DFF">
      <w:pPr>
        <w:autoSpaceDE w:val="0"/>
        <w:autoSpaceDN w:val="0"/>
        <w:adjustRightInd w:val="0"/>
        <w:spacing w:after="0" w:line="480" w:lineRule="auto"/>
        <w:ind w:firstLine="426"/>
        <w:jc w:val="both"/>
        <w:rPr>
          <w:rFonts w:ascii="Century Schoolbook" w:eastAsiaTheme="minorEastAsia" w:hAnsi="Century Schoolbook" w:cs="Times New Roman"/>
        </w:rPr>
      </w:pPr>
      <w:r>
        <w:rPr>
          <w:rFonts w:ascii="Century Schoolbook" w:eastAsiaTheme="minorEastAsia" w:hAnsi="Century Schoolbook" w:cs="Times New Roman"/>
        </w:rPr>
        <w:t xml:space="preserve">Our independent variables of interests are </w:t>
      </w:r>
      <w:r w:rsidR="00640E35">
        <w:rPr>
          <w:rFonts w:ascii="Century Schoolbook" w:eastAsiaTheme="minorEastAsia" w:hAnsi="Century Schoolbook" w:cs="Times New Roman"/>
        </w:rPr>
        <w:t xml:space="preserve">the two </w:t>
      </w:r>
      <w:r>
        <w:rPr>
          <w:rFonts w:ascii="Century Schoolbook" w:eastAsiaTheme="minorEastAsia" w:hAnsi="Century Schoolbook" w:cs="Times New Roman"/>
        </w:rPr>
        <w:t xml:space="preserve">dummy variables </w:t>
      </w:r>
      <w:r w:rsidRPr="00542207">
        <w:rPr>
          <w:rFonts w:ascii="Century Schoolbook" w:eastAsiaTheme="minorEastAsia" w:hAnsi="Century Schoolbook" w:cs="Times New Roman"/>
          <w:i/>
        </w:rPr>
        <w:t>Slow</w:t>
      </w:r>
      <w:r w:rsidRPr="00542207">
        <w:rPr>
          <w:rFonts w:ascii="Century Schoolbook" w:eastAsiaTheme="minorEastAsia" w:hAnsi="Century Schoolbook" w:cs="Times New Roman"/>
        </w:rPr>
        <w:t xml:space="preserve"> and </w:t>
      </w:r>
      <w:r w:rsidRPr="00542207">
        <w:rPr>
          <w:rFonts w:ascii="Century Schoolbook" w:eastAsiaTheme="minorEastAsia" w:hAnsi="Century Schoolbook" w:cs="Times New Roman"/>
          <w:i/>
        </w:rPr>
        <w:t xml:space="preserve">Fast, </w:t>
      </w:r>
      <w:r w:rsidRPr="00542207">
        <w:rPr>
          <w:rFonts w:ascii="Century Schoolbook" w:eastAsiaTheme="minorEastAsia" w:hAnsi="Century Schoolbook" w:cs="Times New Roman"/>
        </w:rPr>
        <w:t>indicating the r</w:t>
      </w:r>
      <w:r w:rsidR="00640E35">
        <w:rPr>
          <w:rFonts w:ascii="Century Schoolbook" w:eastAsiaTheme="minorEastAsia" w:hAnsi="Century Schoolbook" w:cs="Times New Roman"/>
        </w:rPr>
        <w:t>ecommendation speed-style of each analyst that was identified</w:t>
      </w:r>
      <w:r w:rsidRPr="00542207">
        <w:rPr>
          <w:rFonts w:ascii="Century Schoolbook" w:eastAsiaTheme="minorEastAsia" w:hAnsi="Century Schoolbook" w:cs="Times New Roman"/>
        </w:rPr>
        <w:t xml:space="preserve"> from the previous year. </w:t>
      </w:r>
      <w:r w:rsidRPr="00542207">
        <w:rPr>
          <w:rFonts w:ascii="Century Schoolbook" w:eastAsiaTheme="minorEastAsia" w:hAnsi="Century Schoolbook" w:cs="Times New Roman"/>
          <w:i/>
        </w:rPr>
        <w:t>Slow</w:t>
      </w:r>
      <w:r w:rsidRPr="00542207">
        <w:rPr>
          <w:rFonts w:ascii="Century Schoolbook" w:eastAsiaTheme="minorEastAsia" w:hAnsi="Century Schoolbook" w:cs="Times New Roman"/>
        </w:rPr>
        <w:t xml:space="preserve"> (</w:t>
      </w:r>
      <w:r w:rsidRPr="00542207">
        <w:rPr>
          <w:rFonts w:ascii="Century Schoolbook" w:eastAsiaTheme="minorEastAsia" w:hAnsi="Century Schoolbook" w:cs="Times New Roman"/>
          <w:i/>
        </w:rPr>
        <w:t>Fast</w:t>
      </w:r>
      <w:r w:rsidRPr="00542207">
        <w:rPr>
          <w:rFonts w:ascii="Century Schoolbook" w:eastAsiaTheme="minorEastAsia" w:hAnsi="Century Schoolbook" w:cs="Times New Roman"/>
        </w:rPr>
        <w:t xml:space="preserve">) is equal to 1 if the analyst was classified as the slow-turnover (fast-turnover) type in the </w:t>
      </w:r>
      <w:r w:rsidRPr="00753919">
        <w:rPr>
          <w:rFonts w:ascii="Century Schoolbook" w:eastAsiaTheme="minorEastAsia" w:hAnsi="Century Schoolbook" w:cs="Times New Roman"/>
        </w:rPr>
        <w:t>previous</w:t>
      </w:r>
      <w:r w:rsidRPr="00542207">
        <w:rPr>
          <w:rFonts w:ascii="Century Schoolbook" w:eastAsiaTheme="minorEastAsia" w:hAnsi="Century Schoolbook" w:cs="Times New Roman"/>
        </w:rPr>
        <w:t xml:space="preserve"> year, and 0 otherwise</w:t>
      </w:r>
      <w:r>
        <w:rPr>
          <w:rFonts w:ascii="Century Schoolbook" w:eastAsiaTheme="minorEastAsia" w:hAnsi="Century Schoolbook" w:cs="Times New Roman"/>
        </w:rPr>
        <w:t>.</w:t>
      </w:r>
      <w:r w:rsidR="008C59C0">
        <w:rPr>
          <w:rFonts w:ascii="Century Schoolbook" w:eastAsiaTheme="minorEastAsia" w:hAnsi="Century Schoolbook" w:cs="Times New Roman"/>
        </w:rPr>
        <w:t xml:space="preserve"> </w:t>
      </w:r>
      <w:r w:rsidR="009C5C67">
        <w:rPr>
          <w:rFonts w:ascii="Century Schoolbook" w:eastAsiaTheme="minorEastAsia" w:hAnsi="Century Schoolbook" w:cs="Times New Roman"/>
        </w:rPr>
        <w:t>Year-</w:t>
      </w:r>
      <w:r w:rsidR="009C5C67" w:rsidRPr="00542207">
        <w:rPr>
          <w:rFonts w:ascii="Century Schoolbook" w:eastAsiaTheme="minorEastAsia" w:hAnsi="Century Schoolbook" w:cs="Times New Roman"/>
        </w:rPr>
        <w:t xml:space="preserve">fixed effects </w:t>
      </w:r>
      <w:r w:rsidR="009C5C67">
        <w:rPr>
          <w:rFonts w:ascii="Century Schoolbook" w:eastAsiaTheme="minorEastAsia" w:hAnsi="Century Schoolbook" w:cs="Times New Roman"/>
        </w:rPr>
        <w:t xml:space="preserve">and previous recommendation-level fixed effects </w:t>
      </w:r>
      <w:r w:rsidR="009C5C67" w:rsidRPr="00542207">
        <w:rPr>
          <w:rFonts w:ascii="Century Schoolbook" w:eastAsiaTheme="minorEastAsia" w:hAnsi="Century Schoolbook" w:cs="Times New Roman"/>
        </w:rPr>
        <w:t>are included</w:t>
      </w:r>
      <w:r w:rsidR="009C5C67">
        <w:rPr>
          <w:rFonts w:ascii="Century Schoolbook" w:eastAsiaTheme="minorEastAsia" w:hAnsi="Century Schoolbook" w:cs="Times New Roman"/>
        </w:rPr>
        <w:t xml:space="preserve"> in the model.</w:t>
      </w:r>
    </w:p>
    <w:p w14:paraId="67D2C8A1" w14:textId="6092D47C" w:rsidR="001B68A4" w:rsidRDefault="001B68A4" w:rsidP="00A00DFF">
      <w:pPr>
        <w:autoSpaceDE w:val="0"/>
        <w:autoSpaceDN w:val="0"/>
        <w:adjustRightInd w:val="0"/>
        <w:spacing w:after="0" w:line="480" w:lineRule="auto"/>
        <w:ind w:firstLine="426"/>
        <w:jc w:val="both"/>
        <w:rPr>
          <w:rFonts w:ascii="Century Schoolbook" w:eastAsiaTheme="minorEastAsia" w:hAnsi="Century Schoolbook" w:cs="Times New Roman"/>
          <w:szCs w:val="20"/>
        </w:rPr>
      </w:pPr>
      <w:r w:rsidRPr="00542207">
        <w:rPr>
          <w:rFonts w:ascii="Century Schoolbook" w:eastAsiaTheme="minorEastAsia" w:hAnsi="Century Schoolbook" w:cs="Times New Roman"/>
        </w:rPr>
        <w:lastRenderedPageBreak/>
        <w:t xml:space="preserve">We include </w:t>
      </w:r>
      <w:r>
        <w:rPr>
          <w:rFonts w:ascii="Century Schoolbook" w:eastAsiaTheme="minorEastAsia" w:hAnsi="Century Schoolbook" w:cs="Times New Roman"/>
        </w:rPr>
        <w:t xml:space="preserve">a series of </w:t>
      </w:r>
      <w:r w:rsidRPr="00542207">
        <w:rPr>
          <w:rFonts w:ascii="Century Schoolbook" w:eastAsiaTheme="minorEastAsia" w:hAnsi="Century Schoolbook" w:cs="Times New Roman"/>
        </w:rPr>
        <w:t>firm-level,</w:t>
      </w:r>
      <w:r w:rsidR="00813F59">
        <w:rPr>
          <w:rFonts w:ascii="Century Schoolbook" w:eastAsiaTheme="minorEastAsia" w:hAnsi="Century Schoolbook" w:cs="Times New Roman"/>
        </w:rPr>
        <w:t xml:space="preserve"> </w:t>
      </w:r>
      <w:r w:rsidRPr="00542207">
        <w:rPr>
          <w:rFonts w:ascii="Century Schoolbook" w:eastAsiaTheme="minorEastAsia" w:hAnsi="Century Schoolbook" w:cs="Times New Roman"/>
        </w:rPr>
        <w:t>industry-level</w:t>
      </w:r>
      <w:r w:rsidR="00813F59">
        <w:rPr>
          <w:rFonts w:ascii="Century Schoolbook" w:eastAsiaTheme="minorEastAsia" w:hAnsi="Century Schoolbook" w:cs="Times New Roman"/>
        </w:rPr>
        <w:t>, and recommendation-level</w:t>
      </w:r>
      <w:r w:rsidRPr="00542207">
        <w:rPr>
          <w:rFonts w:ascii="Century Schoolbook" w:eastAsiaTheme="minorEastAsia" w:hAnsi="Century Schoolbook" w:cs="Times New Roman"/>
        </w:rPr>
        <w:t xml:space="preserve"> controls</w:t>
      </w:r>
      <w:r>
        <w:rPr>
          <w:rFonts w:ascii="Century Schoolbook" w:eastAsiaTheme="minorEastAsia" w:hAnsi="Century Schoolbook" w:cs="Times New Roman"/>
        </w:rPr>
        <w:t xml:space="preserve"> </w:t>
      </w:r>
      <w:r w:rsidR="00813F59">
        <w:rPr>
          <w:rFonts w:ascii="Century Schoolbook" w:eastAsiaTheme="minorEastAsia" w:hAnsi="Century Schoolbook" w:cs="Times New Roman"/>
        </w:rPr>
        <w:t>in the Cox PH model. The</w:t>
      </w:r>
      <w:r w:rsidR="009337CD">
        <w:rPr>
          <w:rFonts w:ascii="Century Schoolbook" w:eastAsiaTheme="minorEastAsia" w:hAnsi="Century Schoolbook" w:cs="Times New Roman"/>
        </w:rPr>
        <w:t xml:space="preserve">y </w:t>
      </w:r>
      <w:r>
        <w:rPr>
          <w:rFonts w:ascii="Century Schoolbook" w:eastAsiaTheme="minorEastAsia" w:hAnsi="Century Schoolbook" w:cs="Times New Roman"/>
        </w:rPr>
        <w:t>are</w:t>
      </w:r>
      <w:r w:rsidRPr="00542207">
        <w:rPr>
          <w:rFonts w:ascii="Century Schoolbook" w:eastAsiaTheme="minorEastAsia" w:hAnsi="Century Schoolbook" w:cs="Times New Roman"/>
        </w:rPr>
        <w:t xml:space="preserve"> represented by </w:t>
      </w:r>
      <m:oMath>
        <m:sSubSup>
          <m:sSubSupPr>
            <m:ctrlPr>
              <w:rPr>
                <w:rFonts w:ascii="Cambria Math" w:hAnsi="Cambria Math" w:cs="Times New Roman"/>
                <w:i/>
              </w:rPr>
            </m:ctrlPr>
          </m:sSubSupPr>
          <m:e>
            <m:r>
              <m:rPr>
                <m:sty m:val="p"/>
              </m:rPr>
              <w:rPr>
                <w:rFonts w:ascii="Cambria Math" w:hAnsi="Cambria Math"/>
              </w:rPr>
              <m:t>Σ</m:t>
            </m:r>
          </m:e>
          <m:sub>
            <m:r>
              <w:rPr>
                <w:rFonts w:ascii="Cambria Math" w:hAnsi="Cambria Math"/>
              </w:rPr>
              <m:t>i</m:t>
            </m:r>
          </m:sub>
          <m:sup/>
        </m:sSubSup>
        <m:sSub>
          <m:sSubPr>
            <m:ctrlPr>
              <w:rPr>
                <w:rFonts w:ascii="Cambria Math" w:hAnsi="Cambria Math" w:cs="Times New Roman"/>
                <w:i/>
              </w:rPr>
            </m:ctrlPr>
          </m:sSubPr>
          <m:e>
            <m:r>
              <w:rPr>
                <w:rFonts w:ascii="Cambria Math" w:hAnsi="Cambria Math"/>
                <w:i/>
              </w:rPr>
              <w:sym w:font="Symbol" w:char="F062"/>
            </m:r>
          </m:e>
          <m:sub>
            <m:r>
              <w:rPr>
                <w:rFonts w:ascii="Cambria Math" w:hAnsi="Cambria Math"/>
              </w:rPr>
              <m:t>i</m:t>
            </m:r>
          </m:sub>
        </m:sSub>
        <m:sSub>
          <m:sSubPr>
            <m:ctrlPr>
              <w:rPr>
                <w:rFonts w:ascii="Cambria Math" w:hAnsi="Cambria Math" w:cs="Times New Roman"/>
                <w:i/>
              </w:rPr>
            </m:ctrlPr>
          </m:sSubPr>
          <m:e>
            <m:r>
              <w:rPr>
                <w:rFonts w:ascii="Cambria Math" w:hAnsi="Cambria Math"/>
              </w:rPr>
              <m:t>X</m:t>
            </m:r>
          </m:e>
          <m:sub>
            <m:r>
              <w:rPr>
                <w:rFonts w:ascii="Cambria Math" w:hAnsi="Cambria Math"/>
              </w:rPr>
              <m:t>i,j</m:t>
            </m:r>
          </m:sub>
        </m:sSub>
        <m:r>
          <w:rPr>
            <w:rFonts w:ascii="Cambria Math" w:hAnsi="Cambria Math" w:cs="Times New Roman"/>
          </w:rPr>
          <m:t>(t)</m:t>
        </m:r>
      </m:oMath>
      <w:r w:rsidRPr="00542207">
        <w:rPr>
          <w:rFonts w:ascii="Century Schoolbook" w:eastAsiaTheme="minorEastAsia" w:hAnsi="Century Schoolbook" w:cs="Times New Roman"/>
        </w:rPr>
        <w:t xml:space="preserve"> in </w:t>
      </w:r>
      <w:r w:rsidR="009C5C67">
        <w:rPr>
          <w:rFonts w:ascii="Century Schoolbook" w:eastAsiaTheme="minorEastAsia" w:hAnsi="Century Schoolbook" w:cs="Times New Roman"/>
        </w:rPr>
        <w:t>equation (1).</w:t>
      </w:r>
      <w:r w:rsidR="00730448">
        <w:rPr>
          <w:rFonts w:ascii="Century Schoolbook" w:eastAsiaTheme="minorEastAsia" w:hAnsi="Century Schoolbook" w:cs="Times New Roman"/>
        </w:rPr>
        <w:t xml:space="preserve"> </w:t>
      </w:r>
      <w:r>
        <w:rPr>
          <w:rFonts w:ascii="Century Schoolbook" w:eastAsiaTheme="minorEastAsia" w:hAnsi="Century Schoolbook" w:cs="Times New Roman"/>
        </w:rPr>
        <w:t xml:space="preserve">The baseline hazard rate function in equation (1) is assumed to be firm specific and denoted by </w:t>
      </w:r>
      <m:oMath>
        <m:sSub>
          <m:sSubPr>
            <m:ctrlPr>
              <w:rPr>
                <w:rFonts w:ascii="Cambria Math" w:hAnsi="Cambria Math"/>
                <w:i/>
              </w:rPr>
            </m:ctrlPr>
          </m:sSubPr>
          <m:e>
            <m:r>
              <w:rPr>
                <w:rFonts w:ascii="Cambria Math" w:hAnsi="Cambria Math"/>
              </w:rPr>
              <m:t>λ</m:t>
            </m:r>
          </m:e>
          <m:sub>
            <m:r>
              <w:rPr>
                <w:rFonts w:ascii="Cambria Math" w:hAnsi="Cambria Math"/>
              </w:rPr>
              <m:t>0,j</m:t>
            </m:r>
          </m:sub>
        </m:sSub>
        <m:d>
          <m:dPr>
            <m:ctrlPr>
              <w:rPr>
                <w:rFonts w:ascii="Cambria Math" w:hAnsi="Cambria Math" w:cs="Times New Roman"/>
                <w:i/>
              </w:rPr>
            </m:ctrlPr>
          </m:dPr>
          <m:e>
            <m:r>
              <w:rPr>
                <w:rFonts w:ascii="Cambria Math" w:hAnsi="Cambria Math"/>
              </w:rPr>
              <m:t>t</m:t>
            </m:r>
          </m:e>
        </m:d>
      </m:oMath>
      <w:r w:rsidRPr="00542207">
        <w:rPr>
          <w:rFonts w:ascii="Century Schoolbook" w:eastAsiaTheme="minorEastAsia" w:hAnsi="Century Schoolbook" w:cs="Times New Roman"/>
        </w:rPr>
        <w:t xml:space="preserve"> for firm </w:t>
      </w:r>
      <w:r w:rsidRPr="00542207">
        <w:rPr>
          <w:rFonts w:ascii="Century Schoolbook" w:eastAsiaTheme="minorEastAsia" w:hAnsi="Century Schoolbook" w:cs="Times New Roman"/>
          <w:i/>
        </w:rPr>
        <w:t>j</w:t>
      </w:r>
      <w:r w:rsidRPr="00542207">
        <w:rPr>
          <w:rFonts w:ascii="Century Schoolbook" w:eastAsiaTheme="minorEastAsia" w:hAnsi="Century Schoolbook" w:cs="Times New Roman"/>
        </w:rPr>
        <w:t>.</w:t>
      </w:r>
      <w:r>
        <w:rPr>
          <w:rFonts w:ascii="Century Schoolbook" w:eastAsiaTheme="minorEastAsia" w:hAnsi="Century Schoolbook" w:cs="Times New Roman"/>
        </w:rPr>
        <w:t xml:space="preserve"> </w:t>
      </w:r>
      <w:r w:rsidR="005649F4">
        <w:rPr>
          <w:rFonts w:ascii="Century Schoolbook" w:eastAsiaTheme="minorEastAsia" w:hAnsi="Century Schoolbook" w:cs="Times New Roman"/>
        </w:rPr>
        <w:t xml:space="preserve">We </w:t>
      </w:r>
      <w:r w:rsidR="005643C0">
        <w:rPr>
          <w:rFonts w:ascii="Century Schoolbook" w:eastAsiaTheme="minorEastAsia" w:hAnsi="Century Schoolbook" w:cs="Times New Roman"/>
        </w:rPr>
        <w:t>allow for</w:t>
      </w:r>
      <w:r w:rsidR="009337CD">
        <w:rPr>
          <w:rFonts w:ascii="Century Schoolbook" w:eastAsiaTheme="minorEastAsia" w:hAnsi="Century Schoolbook" w:cs="Times New Roman"/>
        </w:rPr>
        <w:t xml:space="preserve"> unobserved </w:t>
      </w:r>
      <w:r w:rsidR="005649F4">
        <w:rPr>
          <w:rFonts w:ascii="Century Schoolbook" w:eastAsiaTheme="minorEastAsia" w:hAnsi="Century Schoolbook" w:cs="Times New Roman"/>
        </w:rPr>
        <w:t xml:space="preserve">heterogeneity </w:t>
      </w:r>
      <w:r w:rsidR="009337CD">
        <w:rPr>
          <w:rFonts w:ascii="Century Schoolbook" w:eastAsiaTheme="minorEastAsia" w:hAnsi="Century Schoolbook" w:cs="Times New Roman"/>
        </w:rPr>
        <w:t>across analysts</w:t>
      </w:r>
      <w:r w:rsidR="005649F4">
        <w:rPr>
          <w:rFonts w:ascii="Century Schoolbook" w:eastAsiaTheme="minorEastAsia" w:hAnsi="Century Schoolbook" w:cs="Times New Roman"/>
        </w:rPr>
        <w:t xml:space="preserve"> </w:t>
      </w:r>
      <w:r w:rsidR="005643C0">
        <w:rPr>
          <w:rFonts w:ascii="Century Schoolbook" w:eastAsiaTheme="minorEastAsia" w:hAnsi="Century Schoolbook" w:cs="Times New Roman"/>
        </w:rPr>
        <w:t xml:space="preserve">in the Cox PH model </w:t>
      </w:r>
      <w:r w:rsidR="005649F4">
        <w:rPr>
          <w:rFonts w:ascii="Century Schoolbook" w:eastAsiaTheme="minorEastAsia" w:hAnsi="Century Schoolbook" w:cs="Times New Roman"/>
        </w:rPr>
        <w:t>by</w:t>
      </w:r>
      <w:r w:rsidR="009337CD">
        <w:rPr>
          <w:rFonts w:ascii="Century Schoolbook" w:eastAsiaTheme="minorEastAsia" w:hAnsi="Century Schoolbook" w:cs="Times New Roman"/>
        </w:rPr>
        <w:t xml:space="preserve"> includ</w:t>
      </w:r>
      <w:r w:rsidR="005649F4">
        <w:rPr>
          <w:rFonts w:ascii="Century Schoolbook" w:eastAsiaTheme="minorEastAsia" w:hAnsi="Century Schoolbook" w:cs="Times New Roman"/>
        </w:rPr>
        <w:t>ing</w:t>
      </w:r>
      <w:r w:rsidR="009337CD">
        <w:rPr>
          <w:rFonts w:ascii="Century Schoolbook" w:eastAsiaTheme="minorEastAsia" w:hAnsi="Century Schoolbook" w:cs="Times New Roman"/>
        </w:rPr>
        <w:t xml:space="preserve"> analyst-random effects</w:t>
      </w:r>
      <w:r w:rsidR="005643C0">
        <w:rPr>
          <w:rFonts w:ascii="Century Schoolbook" w:eastAsiaTheme="minorEastAsia" w:hAnsi="Century Schoolbook" w:cs="Times New Roman"/>
        </w:rPr>
        <w:t xml:space="preserve">. </w:t>
      </w:r>
      <w:r w:rsidR="00B13C0D">
        <w:rPr>
          <w:rFonts w:ascii="Century Schoolbook" w:eastAsiaTheme="minorEastAsia" w:hAnsi="Century Schoolbook" w:cs="Times New Roman"/>
        </w:rPr>
        <w:t xml:space="preserve">This is represented by the term </w:t>
      </w:r>
      <m:oMath>
        <m:sSub>
          <m:sSubPr>
            <m:ctrlPr>
              <w:rPr>
                <w:rFonts w:ascii="Cambria Math" w:hAnsi="Cambria Math" w:cs="Times New Roman"/>
                <w:i/>
                <w:szCs w:val="20"/>
              </w:rPr>
            </m:ctrlPr>
          </m:sSubPr>
          <m:e>
            <m:r>
              <w:rPr>
                <w:rFonts w:ascii="Cambria Math" w:hAnsi="Cambria Math" w:cs="Times New Roman"/>
                <w:szCs w:val="20"/>
              </w:rPr>
              <m:t>η</m:t>
            </m:r>
          </m:e>
          <m:sub>
            <m:r>
              <w:rPr>
                <w:rFonts w:ascii="Cambria Math" w:hAnsi="Cambria Math" w:cs="Times New Roman"/>
                <w:szCs w:val="20"/>
              </w:rPr>
              <m:t>a</m:t>
            </m:r>
          </m:sub>
        </m:sSub>
      </m:oMath>
      <w:r w:rsidR="009337CD">
        <w:rPr>
          <w:rFonts w:ascii="Century Schoolbook" w:eastAsiaTheme="minorEastAsia" w:hAnsi="Century Schoolbook" w:cs="Times New Roman"/>
          <w:szCs w:val="20"/>
        </w:rPr>
        <w:t xml:space="preserve"> </w:t>
      </w:r>
      <w:r w:rsidR="00B13C0D">
        <w:rPr>
          <w:rFonts w:ascii="Century Schoolbook" w:eastAsiaTheme="minorEastAsia" w:hAnsi="Century Schoolbook" w:cs="Times New Roman"/>
          <w:szCs w:val="20"/>
        </w:rPr>
        <w:t>in equation (1</w:t>
      </w:r>
      <w:r w:rsidR="008C59C0">
        <w:rPr>
          <w:rFonts w:ascii="Century Schoolbook" w:eastAsiaTheme="minorEastAsia" w:hAnsi="Century Schoolbook" w:cs="Times New Roman"/>
          <w:szCs w:val="20"/>
        </w:rPr>
        <w:t xml:space="preserve">). </w:t>
      </w:r>
      <w:r w:rsidR="005643C0" w:rsidRPr="007D748C">
        <w:rPr>
          <w:rFonts w:ascii="Century Schoolbook" w:eastAsiaTheme="minorEastAsia" w:hAnsi="Century Schoolbook" w:cs="Times New Roman"/>
          <w:szCs w:val="20"/>
        </w:rPr>
        <w:t xml:space="preserve">This modeling approach </w:t>
      </w:r>
      <w:r w:rsidR="00236CBF" w:rsidRPr="007D748C">
        <w:rPr>
          <w:rFonts w:ascii="Century Schoolbook" w:eastAsiaTheme="minorEastAsia" w:hAnsi="Century Schoolbook" w:cs="Times New Roman"/>
          <w:szCs w:val="20"/>
        </w:rPr>
        <w:t>is known as the frailty model</w:t>
      </w:r>
      <w:r w:rsidR="00EE49A0" w:rsidRPr="007D748C">
        <w:rPr>
          <w:rFonts w:ascii="Century Schoolbook" w:eastAsiaTheme="minorEastAsia" w:hAnsi="Century Schoolbook" w:cs="Times New Roman"/>
          <w:szCs w:val="20"/>
        </w:rPr>
        <w:t>, which</w:t>
      </w:r>
      <w:r w:rsidR="00AA2627" w:rsidRPr="007D748C">
        <w:rPr>
          <w:rFonts w:ascii="Century Schoolbook" w:eastAsiaTheme="minorEastAsia" w:hAnsi="Century Schoolbook" w:cs="Times New Roman"/>
          <w:szCs w:val="20"/>
        </w:rPr>
        <w:t xml:space="preserve"> </w:t>
      </w:r>
      <w:r w:rsidR="00236CBF" w:rsidRPr="007D748C">
        <w:rPr>
          <w:rFonts w:ascii="Century Schoolbook" w:eastAsiaTheme="minorEastAsia" w:hAnsi="Century Schoolbook" w:cs="Times New Roman"/>
          <w:szCs w:val="20"/>
        </w:rPr>
        <w:t>helps</w:t>
      </w:r>
      <w:r w:rsidR="00AA2627" w:rsidRPr="007D748C">
        <w:rPr>
          <w:rFonts w:ascii="Century Schoolbook" w:eastAsiaTheme="minorEastAsia" w:hAnsi="Century Schoolbook" w:cs="Times New Roman"/>
          <w:szCs w:val="20"/>
        </w:rPr>
        <w:t xml:space="preserve"> control for unobserved analyst characteristics that may affect recommendation speed such as their private </w:t>
      </w:r>
      <w:r w:rsidR="00915172" w:rsidRPr="007D748C">
        <w:rPr>
          <w:rFonts w:ascii="Century Schoolbook" w:eastAsiaTheme="minorEastAsia" w:hAnsi="Century Schoolbook" w:cs="Times New Roman"/>
          <w:szCs w:val="20"/>
        </w:rPr>
        <w:t xml:space="preserve">information about </w:t>
      </w:r>
      <w:r w:rsidR="00AA2627" w:rsidRPr="007D748C">
        <w:rPr>
          <w:rFonts w:ascii="Century Schoolbook" w:eastAsiaTheme="minorEastAsia" w:hAnsi="Century Schoolbook" w:cs="Times New Roman"/>
          <w:szCs w:val="20"/>
        </w:rPr>
        <w:t xml:space="preserve">the </w:t>
      </w:r>
      <w:r w:rsidR="000A767D" w:rsidRPr="007D748C">
        <w:rPr>
          <w:rFonts w:ascii="Century Schoolbook" w:eastAsiaTheme="minorEastAsia" w:hAnsi="Century Schoolbook" w:cs="Times New Roman"/>
          <w:szCs w:val="20"/>
        </w:rPr>
        <w:t>firms that</w:t>
      </w:r>
      <w:r w:rsidR="00AA2627" w:rsidRPr="007D748C">
        <w:rPr>
          <w:rFonts w:ascii="Century Schoolbook" w:eastAsiaTheme="minorEastAsia" w:hAnsi="Century Schoolbook" w:cs="Times New Roman"/>
          <w:szCs w:val="20"/>
        </w:rPr>
        <w:t xml:space="preserve"> they cover</w:t>
      </w:r>
      <w:r w:rsidR="00DC3EFB" w:rsidRPr="007D748C">
        <w:rPr>
          <w:rFonts w:ascii="Century Schoolbook" w:eastAsiaTheme="minorEastAsia" w:hAnsi="Century Schoolbook" w:cs="Times New Roman"/>
          <w:szCs w:val="20"/>
        </w:rPr>
        <w:t>.</w:t>
      </w:r>
      <w:r w:rsidR="00DC3EFB">
        <w:rPr>
          <w:rFonts w:ascii="Century Schoolbook" w:eastAsiaTheme="minorEastAsia" w:hAnsi="Century Schoolbook" w:cs="Times New Roman"/>
          <w:szCs w:val="20"/>
        </w:rPr>
        <w:t xml:space="preserve"> </w:t>
      </w:r>
    </w:p>
    <w:p w14:paraId="6EEDCC96" w14:textId="57788DB8" w:rsidR="00915172" w:rsidRPr="00E81AEC" w:rsidRDefault="00334A10" w:rsidP="00E81AEC">
      <w:pPr>
        <w:pStyle w:val="ListParagraph"/>
        <w:numPr>
          <w:ilvl w:val="0"/>
          <w:numId w:val="42"/>
        </w:numPr>
        <w:autoSpaceDE w:val="0"/>
        <w:autoSpaceDN w:val="0"/>
        <w:adjustRightInd w:val="0"/>
        <w:spacing w:after="0" w:line="480" w:lineRule="auto"/>
        <w:ind w:left="360"/>
        <w:jc w:val="center"/>
        <w:rPr>
          <w:rFonts w:ascii="Century Schoolbook" w:eastAsia="Times New Roman" w:hAnsi="Century Schoolbook" w:cs="Times New Roman"/>
          <w:b/>
          <w:i/>
          <w:color w:val="000000"/>
        </w:rPr>
      </w:pPr>
      <w:r w:rsidRPr="00E81AEC">
        <w:rPr>
          <w:rFonts w:ascii="Century Schoolbook" w:eastAsiaTheme="minorEastAsia" w:hAnsi="Century Schoolbook" w:cs="Times New Roman"/>
          <w:b/>
          <w:i/>
          <w:szCs w:val="20"/>
        </w:rPr>
        <w:t xml:space="preserve">Baseline </w:t>
      </w:r>
      <w:r w:rsidR="00915172" w:rsidRPr="00E81AEC">
        <w:rPr>
          <w:rFonts w:ascii="Century Schoolbook" w:eastAsiaTheme="minorEastAsia" w:hAnsi="Century Schoolbook" w:cs="Times New Roman"/>
          <w:b/>
          <w:i/>
          <w:szCs w:val="20"/>
        </w:rPr>
        <w:t>estimation results</w:t>
      </w:r>
    </w:p>
    <w:p w14:paraId="6D8C1A27" w14:textId="77777777" w:rsidR="00FA6007" w:rsidRPr="00FA6007" w:rsidRDefault="00FA6007" w:rsidP="00FA6007">
      <w:pPr>
        <w:autoSpaceDE w:val="0"/>
        <w:autoSpaceDN w:val="0"/>
        <w:adjustRightInd w:val="0"/>
        <w:spacing w:after="0" w:line="480" w:lineRule="auto"/>
        <w:ind w:firstLine="360"/>
        <w:jc w:val="both"/>
        <w:rPr>
          <w:rFonts w:ascii="Century Schoolbook" w:eastAsia="Times New Roman" w:hAnsi="Century Schoolbook" w:cs="Times New Roman"/>
          <w:color w:val="000000"/>
        </w:rPr>
      </w:pPr>
      <w:r w:rsidRPr="00FA6007">
        <w:rPr>
          <w:rFonts w:ascii="Century Schoolbook" w:eastAsia="Times New Roman" w:hAnsi="Century Schoolbook" w:cs="Times New Roman"/>
          <w:color w:val="000000"/>
        </w:rPr>
        <w:t>Table 3 reports the results. Panels A and B report estimates for the hazard-rate model that the current recommendation will be upgraded and downgraded, respectively. A positive value on the coefficient estimate indicates that an increase in the corresponding independent variable will increase the rate at which a recommendation will be revised, while a negative coefficient estimate would indicate the otherwise.</w:t>
      </w:r>
    </w:p>
    <w:p w14:paraId="3A268346" w14:textId="4359A840" w:rsidR="003203B1" w:rsidRDefault="003766A7" w:rsidP="00FA6007">
      <w:pPr>
        <w:autoSpaceDE w:val="0"/>
        <w:autoSpaceDN w:val="0"/>
        <w:adjustRightInd w:val="0"/>
        <w:spacing w:after="0" w:line="480" w:lineRule="auto"/>
        <w:ind w:firstLine="360"/>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Column</w:t>
      </w:r>
      <w:r w:rsidR="001B68A4">
        <w:rPr>
          <w:rFonts w:ascii="Century Schoolbook" w:eastAsia="Times New Roman" w:hAnsi="Century Schoolbook" w:cs="Times New Roman"/>
          <w:color w:val="000000"/>
        </w:rPr>
        <w:t xml:space="preserve"> (1)</w:t>
      </w:r>
      <w:r>
        <w:rPr>
          <w:rFonts w:ascii="Century Schoolbook" w:eastAsia="Times New Roman" w:hAnsi="Century Schoolbook" w:cs="Times New Roman"/>
          <w:color w:val="000000"/>
        </w:rPr>
        <w:t xml:space="preserve"> in Panel A</w:t>
      </w:r>
      <w:r w:rsidR="001B68A4">
        <w:rPr>
          <w:rFonts w:ascii="Century Schoolbook" w:eastAsia="Times New Roman" w:hAnsi="Century Schoolbook" w:cs="Times New Roman"/>
          <w:color w:val="000000"/>
        </w:rPr>
        <w:t xml:space="preserve"> and </w:t>
      </w:r>
      <w:r>
        <w:rPr>
          <w:rFonts w:ascii="Century Schoolbook" w:eastAsia="Times New Roman" w:hAnsi="Century Schoolbook" w:cs="Times New Roman"/>
          <w:color w:val="000000"/>
        </w:rPr>
        <w:t xml:space="preserve">Column </w:t>
      </w:r>
      <w:r w:rsidR="001B68A4">
        <w:rPr>
          <w:rFonts w:ascii="Century Schoolbook" w:eastAsia="Times New Roman" w:hAnsi="Century Schoolbook" w:cs="Times New Roman"/>
          <w:color w:val="000000"/>
        </w:rPr>
        <w:t>(4)</w:t>
      </w:r>
      <w:r>
        <w:rPr>
          <w:rFonts w:ascii="Century Schoolbook" w:eastAsia="Times New Roman" w:hAnsi="Century Schoolbook" w:cs="Times New Roman"/>
          <w:color w:val="000000"/>
        </w:rPr>
        <w:t xml:space="preserve"> in Panel B report the baseline model </w:t>
      </w:r>
      <w:r w:rsidR="001B68A4">
        <w:rPr>
          <w:rFonts w:ascii="Century Schoolbook" w:eastAsia="Times New Roman" w:hAnsi="Century Schoolbook" w:cs="Times New Roman"/>
          <w:color w:val="000000"/>
        </w:rPr>
        <w:t xml:space="preserve">estimates for upgrades and downgrades, respectively. Here, we include an indicator variable </w:t>
      </w:r>
      <w:r w:rsidR="001B68A4" w:rsidRPr="00542207">
        <w:rPr>
          <w:rFonts w:ascii="Century Schoolbook" w:eastAsia="Times New Roman" w:hAnsi="Century Schoolbook" w:cs="Times New Roman"/>
          <w:i/>
          <w:color w:val="000000"/>
        </w:rPr>
        <w:t>Concurrent with earnings</w:t>
      </w:r>
      <w:r w:rsidR="001B68A4">
        <w:rPr>
          <w:rFonts w:ascii="Century Schoolbook" w:eastAsia="Times New Roman" w:hAnsi="Century Schoolbook" w:cs="Times New Roman"/>
          <w:color w:val="000000"/>
        </w:rPr>
        <w:t>,</w:t>
      </w:r>
      <w:r w:rsidR="00B703CC">
        <w:rPr>
          <w:rFonts w:ascii="Century Schoolbook" w:eastAsia="Times New Roman" w:hAnsi="Century Schoolbook" w:cs="Times New Roman"/>
          <w:color w:val="000000"/>
        </w:rPr>
        <w:t xml:space="preserve"> </w:t>
      </w:r>
      <w:r w:rsidR="00BB25DD">
        <w:rPr>
          <w:rFonts w:ascii="Century Schoolbook" w:eastAsia="Times New Roman" w:hAnsi="Century Schoolbook" w:cs="Times New Roman"/>
          <w:color w:val="000000"/>
        </w:rPr>
        <w:t>which</w:t>
      </w:r>
      <w:r w:rsidR="00B703CC">
        <w:rPr>
          <w:rFonts w:ascii="Century Schoolbook" w:eastAsia="Times New Roman" w:hAnsi="Century Schoolbook" w:cs="Times New Roman"/>
          <w:color w:val="000000"/>
        </w:rPr>
        <w:t xml:space="preserve"> </w:t>
      </w:r>
      <w:r w:rsidR="001B68A4">
        <w:rPr>
          <w:rFonts w:ascii="Century Schoolbook" w:eastAsia="Times New Roman" w:hAnsi="Century Schoolbook" w:cs="Times New Roman"/>
          <w:color w:val="000000"/>
        </w:rPr>
        <w:t xml:space="preserve">controls for the well-known fact that analysts </w:t>
      </w:r>
      <w:r w:rsidR="00C72D46">
        <w:rPr>
          <w:rFonts w:ascii="Century Schoolbook" w:eastAsia="Times New Roman" w:hAnsi="Century Schoolbook" w:cs="Times New Roman"/>
          <w:color w:val="000000"/>
        </w:rPr>
        <w:t>often</w:t>
      </w:r>
      <w:r w:rsidR="001B68A4">
        <w:rPr>
          <w:rFonts w:ascii="Century Schoolbook" w:eastAsia="Times New Roman" w:hAnsi="Century Schoolbook" w:cs="Times New Roman"/>
          <w:color w:val="000000"/>
        </w:rPr>
        <w:t xml:space="preserve"> revise their recommendations around </w:t>
      </w:r>
      <w:r w:rsidR="00784221">
        <w:rPr>
          <w:rFonts w:ascii="Century Schoolbook" w:eastAsia="Times New Roman" w:hAnsi="Century Schoolbook" w:cs="Times New Roman"/>
          <w:color w:val="000000"/>
        </w:rPr>
        <w:t>earnings announcements</w:t>
      </w:r>
      <w:r w:rsidR="00BB25DD">
        <w:rPr>
          <w:rFonts w:ascii="Century Schoolbook" w:eastAsia="Times New Roman" w:hAnsi="Century Schoolbook" w:cs="Times New Roman"/>
          <w:color w:val="000000"/>
        </w:rPr>
        <w:t>,</w:t>
      </w:r>
      <w:r w:rsidR="00A40B2A">
        <w:rPr>
          <w:rFonts w:ascii="Century Schoolbook" w:eastAsia="Times New Roman" w:hAnsi="Century Schoolbook" w:cs="Times New Roman"/>
          <w:color w:val="000000"/>
        </w:rPr>
        <w:t xml:space="preserve"> and </w:t>
      </w:r>
      <w:r w:rsidR="009B4B75">
        <w:rPr>
          <w:rFonts w:ascii="Century Schoolbook" w:eastAsia="Times New Roman" w:hAnsi="Century Schoolbook" w:cs="Times New Roman"/>
          <w:color w:val="000000"/>
        </w:rPr>
        <w:t xml:space="preserve">fixed effects </w:t>
      </w:r>
      <w:r w:rsidR="00A40B2A">
        <w:rPr>
          <w:rFonts w:ascii="Century Schoolbook" w:eastAsia="Times New Roman" w:hAnsi="Century Schoolbook" w:cs="Times New Roman"/>
          <w:color w:val="000000"/>
        </w:rPr>
        <w:t xml:space="preserve">that control for the previous </w:t>
      </w:r>
      <w:r w:rsidR="00A40B2A" w:rsidRPr="00542207">
        <w:rPr>
          <w:rFonts w:ascii="Century Schoolbook" w:eastAsia="Times New Roman" w:hAnsi="Century Schoolbook" w:cs="Times New Roman"/>
          <w:color w:val="000000"/>
        </w:rPr>
        <w:t>reco</w:t>
      </w:r>
      <w:r w:rsidR="00A40B2A">
        <w:rPr>
          <w:rFonts w:ascii="Century Schoolbook" w:eastAsia="Times New Roman" w:hAnsi="Century Schoolbook" w:cs="Times New Roman"/>
          <w:color w:val="000000"/>
        </w:rPr>
        <w:t>mmendation level.</w:t>
      </w:r>
    </w:p>
    <w:p w14:paraId="4FC99240" w14:textId="77777777" w:rsidR="00A839E5" w:rsidRDefault="001B68A4" w:rsidP="00A00DFF">
      <w:pPr>
        <w:autoSpaceDE w:val="0"/>
        <w:autoSpaceDN w:val="0"/>
        <w:adjustRightInd w:val="0"/>
        <w:spacing w:after="0" w:line="480" w:lineRule="auto"/>
        <w:ind w:firstLine="426"/>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We find </w:t>
      </w:r>
      <w:r w:rsidR="000E51CF">
        <w:rPr>
          <w:rFonts w:ascii="Century Schoolbook" w:eastAsia="Times New Roman" w:hAnsi="Century Schoolbook" w:cs="Times New Roman"/>
          <w:color w:val="000000"/>
        </w:rPr>
        <w:t xml:space="preserve">that </w:t>
      </w:r>
      <w:r>
        <w:rPr>
          <w:rFonts w:ascii="Century Schoolbook" w:eastAsia="Times New Roman" w:hAnsi="Century Schoolbook" w:cs="Times New Roman"/>
          <w:color w:val="000000"/>
        </w:rPr>
        <w:t xml:space="preserve">the coefficient estimate on </w:t>
      </w:r>
      <w:r>
        <w:rPr>
          <w:rFonts w:ascii="Century Schoolbook" w:eastAsia="Times New Roman" w:hAnsi="Century Schoolbook" w:cs="Times New Roman"/>
          <w:i/>
          <w:color w:val="000000"/>
        </w:rPr>
        <w:t>Slow</w:t>
      </w:r>
      <w:r>
        <w:rPr>
          <w:rFonts w:ascii="Century Schoolbook" w:eastAsia="Times New Roman" w:hAnsi="Century Schoolbook" w:cs="Times New Roman"/>
          <w:color w:val="000000"/>
        </w:rPr>
        <w:t xml:space="preserve"> is negative, while the coefficient estimate on </w:t>
      </w:r>
      <w:r>
        <w:rPr>
          <w:rFonts w:ascii="Century Schoolbook" w:eastAsia="Times New Roman" w:hAnsi="Century Schoolbook" w:cs="Times New Roman"/>
          <w:i/>
          <w:color w:val="000000"/>
        </w:rPr>
        <w:t>Fast</w:t>
      </w:r>
      <w:r>
        <w:rPr>
          <w:rFonts w:ascii="Century Schoolbook" w:eastAsia="Times New Roman" w:hAnsi="Century Schoolbook" w:cs="Times New Roman"/>
          <w:color w:val="000000"/>
        </w:rPr>
        <w:t xml:space="preserve"> i</w:t>
      </w:r>
      <w:r w:rsidR="003203B1">
        <w:rPr>
          <w:rFonts w:ascii="Century Schoolbook" w:eastAsia="Times New Roman" w:hAnsi="Century Schoolbook" w:cs="Times New Roman"/>
          <w:color w:val="000000"/>
        </w:rPr>
        <w:t>s</w:t>
      </w:r>
      <w:r w:rsidR="00027CB2">
        <w:rPr>
          <w:rFonts w:ascii="Century Schoolbook" w:eastAsia="Times New Roman" w:hAnsi="Century Schoolbook" w:cs="Times New Roman"/>
          <w:color w:val="000000"/>
        </w:rPr>
        <w:t xml:space="preserve"> positive. </w:t>
      </w:r>
      <w:r>
        <w:rPr>
          <w:rFonts w:ascii="Century Schoolbook" w:eastAsia="Times New Roman" w:hAnsi="Century Schoolbook" w:cs="Times New Roman"/>
          <w:color w:val="000000"/>
        </w:rPr>
        <w:t xml:space="preserve">This finding indicates that an analyst with a history of slow (fast) recommendation-revising pattern is likely to revise his next recommendation more slowly (quickly) than an average-turnover analyst, which is the reference group. We can interpret the economic </w:t>
      </w:r>
      <w:r w:rsidR="003203B1">
        <w:rPr>
          <w:rFonts w:ascii="Century Schoolbook" w:eastAsia="Times New Roman" w:hAnsi="Century Schoolbook" w:cs="Times New Roman"/>
          <w:color w:val="000000"/>
        </w:rPr>
        <w:t>magnitude</w:t>
      </w:r>
      <w:r>
        <w:rPr>
          <w:rFonts w:ascii="Century Schoolbook" w:eastAsia="Times New Roman" w:hAnsi="Century Schoolbook" w:cs="Times New Roman"/>
          <w:color w:val="000000"/>
        </w:rPr>
        <w:t xml:space="preserve"> of each coefficient estimate by </w:t>
      </w:r>
      <w:r w:rsidR="00F800EF">
        <w:rPr>
          <w:rFonts w:ascii="Century Schoolbook" w:eastAsia="Times New Roman" w:hAnsi="Century Schoolbook" w:cs="Times New Roman"/>
          <w:color w:val="000000"/>
        </w:rPr>
        <w:t>looking at its</w:t>
      </w:r>
      <w:r w:rsidR="003203B1">
        <w:rPr>
          <w:rFonts w:ascii="Century Schoolbook" w:eastAsia="Times New Roman" w:hAnsi="Century Schoolbook" w:cs="Times New Roman"/>
          <w:color w:val="000000"/>
        </w:rPr>
        <w:t xml:space="preserve"> corresponding hazard ratio</w:t>
      </w:r>
      <w:r w:rsidR="00F800EF">
        <w:rPr>
          <w:rFonts w:ascii="Century Schoolbook" w:eastAsia="Times New Roman" w:hAnsi="Century Schoolbook" w:cs="Times New Roman"/>
          <w:color w:val="000000"/>
        </w:rPr>
        <w:t xml:space="preserve">, which is the exponent of each </w:t>
      </w:r>
      <w:r>
        <w:rPr>
          <w:rFonts w:ascii="Century Schoolbook" w:eastAsia="Times New Roman" w:hAnsi="Century Schoolbook" w:cs="Times New Roman"/>
          <w:color w:val="000000"/>
        </w:rPr>
        <w:t>estimate. The hazard ratio</w:t>
      </w:r>
      <w:r w:rsidR="00BD4AB6">
        <w:rPr>
          <w:rFonts w:ascii="Century Schoolbook" w:eastAsia="Times New Roman" w:hAnsi="Century Schoolbook" w:cs="Times New Roman"/>
          <w:color w:val="000000"/>
        </w:rPr>
        <w:t>s</w:t>
      </w:r>
      <w:r>
        <w:rPr>
          <w:rFonts w:ascii="Century Schoolbook" w:eastAsia="Times New Roman" w:hAnsi="Century Schoolbook" w:cs="Times New Roman"/>
          <w:color w:val="000000"/>
        </w:rPr>
        <w:t xml:space="preserve"> </w:t>
      </w:r>
      <w:r w:rsidR="003203B1">
        <w:rPr>
          <w:rFonts w:ascii="Century Schoolbook" w:eastAsia="Times New Roman" w:hAnsi="Century Schoolbook" w:cs="Times New Roman"/>
          <w:color w:val="000000"/>
        </w:rPr>
        <w:t xml:space="preserve">are </w:t>
      </w:r>
      <w:r>
        <w:rPr>
          <w:rFonts w:ascii="Century Schoolbook" w:eastAsia="Times New Roman" w:hAnsi="Century Schoolbook" w:cs="Times New Roman"/>
          <w:color w:val="000000"/>
        </w:rPr>
        <w:t>reported under th</w:t>
      </w:r>
      <w:r w:rsidR="00F800EF">
        <w:rPr>
          <w:rFonts w:ascii="Century Schoolbook" w:eastAsia="Times New Roman" w:hAnsi="Century Schoolbook" w:cs="Times New Roman"/>
          <w:color w:val="000000"/>
        </w:rPr>
        <w:t xml:space="preserve">e column </w:t>
      </w:r>
      <w:r w:rsidR="00F800EF">
        <w:rPr>
          <w:rFonts w:ascii="Century Schoolbook" w:eastAsia="Times New Roman" w:hAnsi="Century Schoolbook" w:cs="Times New Roman"/>
          <w:color w:val="000000"/>
        </w:rPr>
        <w:lastRenderedPageBreak/>
        <w:t>titled “HR” next to their</w:t>
      </w:r>
      <w:r>
        <w:rPr>
          <w:rFonts w:ascii="Century Schoolbook" w:eastAsia="Times New Roman" w:hAnsi="Century Schoolbook" w:cs="Times New Roman"/>
          <w:color w:val="000000"/>
        </w:rPr>
        <w:t xml:space="preserve"> estimate</w:t>
      </w:r>
      <w:r w:rsidR="00F800EF">
        <w:rPr>
          <w:rFonts w:ascii="Century Schoolbook" w:eastAsia="Times New Roman" w:hAnsi="Century Schoolbook" w:cs="Times New Roman"/>
          <w:color w:val="000000"/>
        </w:rPr>
        <w:t>s</w:t>
      </w:r>
      <w:r w:rsidR="00BA6304">
        <w:rPr>
          <w:rFonts w:ascii="Century Schoolbook" w:eastAsia="Times New Roman" w:hAnsi="Century Schoolbook" w:cs="Times New Roman"/>
          <w:color w:val="000000"/>
        </w:rPr>
        <w:t xml:space="preserve">. </w:t>
      </w:r>
      <w:r w:rsidR="00134238">
        <w:rPr>
          <w:rFonts w:ascii="Century Schoolbook" w:eastAsia="Times New Roman" w:hAnsi="Century Schoolbook" w:cs="Times New Roman"/>
          <w:color w:val="000000"/>
        </w:rPr>
        <w:t xml:space="preserve">Each hazard ratio </w:t>
      </w:r>
      <w:r w:rsidR="009A0062">
        <w:rPr>
          <w:rFonts w:ascii="Century Schoolbook" w:eastAsia="Times New Roman" w:hAnsi="Century Schoolbook" w:cs="Times New Roman"/>
          <w:color w:val="000000"/>
        </w:rPr>
        <w:t>represent</w:t>
      </w:r>
      <w:r w:rsidR="00134238">
        <w:rPr>
          <w:rFonts w:ascii="Century Schoolbook" w:eastAsia="Times New Roman" w:hAnsi="Century Schoolbook" w:cs="Times New Roman"/>
          <w:color w:val="000000"/>
        </w:rPr>
        <w:t>s</w:t>
      </w:r>
      <w:r w:rsidR="009A0062">
        <w:rPr>
          <w:rFonts w:ascii="Century Schoolbook" w:eastAsia="Times New Roman" w:hAnsi="Century Schoolbook" w:cs="Times New Roman"/>
          <w:color w:val="000000"/>
        </w:rPr>
        <w:t xml:space="preserve"> the relative increase (or </w:t>
      </w:r>
      <w:r w:rsidR="00134238">
        <w:rPr>
          <w:rFonts w:ascii="Century Schoolbook" w:eastAsia="Times New Roman" w:hAnsi="Century Schoolbook" w:cs="Times New Roman"/>
          <w:color w:val="000000"/>
        </w:rPr>
        <w:t>decrease</w:t>
      </w:r>
      <w:r w:rsidR="009A0062">
        <w:rPr>
          <w:rFonts w:ascii="Century Schoolbook" w:eastAsia="Times New Roman" w:hAnsi="Century Schoolbook" w:cs="Times New Roman"/>
          <w:color w:val="000000"/>
        </w:rPr>
        <w:t>) in the</w:t>
      </w:r>
      <w:r w:rsidR="00A839E5">
        <w:rPr>
          <w:rFonts w:ascii="Century Schoolbook" w:eastAsia="Times New Roman" w:hAnsi="Century Schoolbook" w:cs="Times New Roman"/>
          <w:color w:val="000000"/>
        </w:rPr>
        <w:t xml:space="preserve"> likelihood </w:t>
      </w:r>
      <w:r w:rsidR="009A0062">
        <w:rPr>
          <w:rFonts w:ascii="Century Schoolbook" w:eastAsia="Times New Roman" w:hAnsi="Century Schoolbook" w:cs="Times New Roman"/>
          <w:color w:val="000000"/>
        </w:rPr>
        <w:t xml:space="preserve">that </w:t>
      </w:r>
      <w:r w:rsidR="00BA6304">
        <w:rPr>
          <w:rFonts w:ascii="Century Schoolbook" w:eastAsia="Times New Roman" w:hAnsi="Century Schoolbook" w:cs="Times New Roman"/>
          <w:color w:val="000000"/>
        </w:rPr>
        <w:t xml:space="preserve">a recommendation </w:t>
      </w:r>
      <w:r w:rsidR="00134238">
        <w:rPr>
          <w:rFonts w:ascii="Century Schoolbook" w:eastAsia="Times New Roman" w:hAnsi="Century Schoolbook" w:cs="Times New Roman"/>
          <w:color w:val="000000"/>
        </w:rPr>
        <w:t xml:space="preserve">will be </w:t>
      </w:r>
      <w:r w:rsidR="009A0062">
        <w:rPr>
          <w:rFonts w:ascii="Century Schoolbook" w:eastAsia="Times New Roman" w:hAnsi="Century Schoolbook" w:cs="Times New Roman"/>
          <w:color w:val="000000"/>
        </w:rPr>
        <w:t xml:space="preserve">revised </w:t>
      </w:r>
      <w:r w:rsidR="00D42687">
        <w:rPr>
          <w:rFonts w:ascii="Century Schoolbook" w:eastAsia="Times New Roman" w:hAnsi="Century Schoolbook" w:cs="Times New Roman"/>
          <w:color w:val="000000"/>
        </w:rPr>
        <w:t xml:space="preserve">for a </w:t>
      </w:r>
      <w:r w:rsidR="00BA6304">
        <w:rPr>
          <w:rFonts w:ascii="Century Schoolbook" w:eastAsia="Times New Roman" w:hAnsi="Century Schoolbook" w:cs="Times New Roman"/>
          <w:color w:val="000000"/>
        </w:rPr>
        <w:t xml:space="preserve">one-unit </w:t>
      </w:r>
      <w:r w:rsidR="00134238">
        <w:rPr>
          <w:rFonts w:ascii="Century Schoolbook" w:eastAsia="Times New Roman" w:hAnsi="Century Schoolbook" w:cs="Times New Roman"/>
          <w:color w:val="000000"/>
        </w:rPr>
        <w:t>change</w:t>
      </w:r>
      <w:r w:rsidR="00BA6304">
        <w:rPr>
          <w:rFonts w:ascii="Century Schoolbook" w:eastAsia="Times New Roman" w:hAnsi="Century Schoolbook" w:cs="Times New Roman"/>
          <w:color w:val="000000"/>
        </w:rPr>
        <w:t xml:space="preserve"> in the independent variable. </w:t>
      </w:r>
    </w:p>
    <w:p w14:paraId="4FDC55E7" w14:textId="38DCD7DD" w:rsidR="001B68A4" w:rsidRDefault="001B68A4" w:rsidP="00A00DFF">
      <w:pPr>
        <w:autoSpaceDE w:val="0"/>
        <w:autoSpaceDN w:val="0"/>
        <w:adjustRightInd w:val="0"/>
        <w:spacing w:after="0" w:line="480" w:lineRule="auto"/>
        <w:ind w:firstLine="426"/>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Column (1) shows the hazard ratio for </w:t>
      </w:r>
      <w:r w:rsidRPr="00147A78">
        <w:rPr>
          <w:rFonts w:ascii="Century Schoolbook" w:eastAsia="Times New Roman" w:hAnsi="Century Schoolbook" w:cs="Times New Roman"/>
          <w:i/>
          <w:color w:val="000000"/>
        </w:rPr>
        <w:t>Fast</w:t>
      </w:r>
      <w:r>
        <w:rPr>
          <w:rFonts w:ascii="Century Schoolbook" w:eastAsia="Times New Roman" w:hAnsi="Century Schoolbook" w:cs="Times New Roman"/>
          <w:color w:val="000000"/>
        </w:rPr>
        <w:t xml:space="preserve"> is 1.</w:t>
      </w:r>
      <w:r w:rsidR="00F800EF">
        <w:rPr>
          <w:rFonts w:ascii="Century Schoolbook" w:eastAsia="Times New Roman" w:hAnsi="Century Schoolbook" w:cs="Times New Roman"/>
          <w:color w:val="000000"/>
        </w:rPr>
        <w:t>35</w:t>
      </w:r>
      <w:r>
        <w:rPr>
          <w:rFonts w:ascii="Century Schoolbook" w:eastAsia="Times New Roman" w:hAnsi="Century Schoolbook" w:cs="Times New Roman"/>
          <w:color w:val="000000"/>
        </w:rPr>
        <w:t xml:space="preserve">, and for </w:t>
      </w:r>
      <w:r>
        <w:rPr>
          <w:rFonts w:ascii="Century Schoolbook" w:eastAsia="Times New Roman" w:hAnsi="Century Schoolbook" w:cs="Times New Roman"/>
          <w:i/>
          <w:color w:val="000000"/>
        </w:rPr>
        <w:t>Slow</w:t>
      </w:r>
      <w:r>
        <w:rPr>
          <w:rFonts w:ascii="Century Schoolbook" w:eastAsia="Times New Roman" w:hAnsi="Century Schoolbook" w:cs="Times New Roman"/>
          <w:color w:val="000000"/>
        </w:rPr>
        <w:t xml:space="preserve"> is 0.</w:t>
      </w:r>
      <w:r w:rsidR="00F800EF">
        <w:rPr>
          <w:rFonts w:ascii="Century Schoolbook" w:eastAsia="Times New Roman" w:hAnsi="Century Schoolbook" w:cs="Times New Roman"/>
          <w:color w:val="000000"/>
        </w:rPr>
        <w:t>83</w:t>
      </w:r>
      <w:r w:rsidR="0075726A">
        <w:rPr>
          <w:rFonts w:ascii="Century Schoolbook" w:eastAsia="Times New Roman" w:hAnsi="Century Schoolbook" w:cs="Times New Roman"/>
          <w:color w:val="000000"/>
        </w:rPr>
        <w:t>.</w:t>
      </w:r>
      <w:r>
        <w:rPr>
          <w:rFonts w:ascii="Century Schoolbook" w:eastAsia="Times New Roman" w:hAnsi="Century Schoolbook" w:cs="Times New Roman"/>
          <w:color w:val="000000"/>
        </w:rPr>
        <w:t xml:space="preserve"> This implies that on any given week, a fast-turnover analyst </w:t>
      </w:r>
      <w:r w:rsidR="00430505">
        <w:rPr>
          <w:rFonts w:ascii="Century Schoolbook" w:eastAsia="Times New Roman" w:hAnsi="Century Schoolbook" w:cs="Times New Roman"/>
          <w:color w:val="000000"/>
        </w:rPr>
        <w:t xml:space="preserve">is 1.35 times more likely to </w:t>
      </w:r>
      <w:r w:rsidR="0075726A">
        <w:rPr>
          <w:rFonts w:ascii="Century Schoolbook" w:eastAsia="Times New Roman" w:hAnsi="Century Schoolbook" w:cs="Times New Roman"/>
          <w:color w:val="000000"/>
        </w:rPr>
        <w:t>upgrade</w:t>
      </w:r>
      <w:r>
        <w:rPr>
          <w:rFonts w:ascii="Century Schoolbook" w:eastAsia="Times New Roman" w:hAnsi="Century Schoolbook" w:cs="Times New Roman"/>
          <w:color w:val="000000"/>
        </w:rPr>
        <w:t xml:space="preserve"> </w:t>
      </w:r>
      <w:r w:rsidR="0075726A">
        <w:rPr>
          <w:rFonts w:ascii="Century Schoolbook" w:eastAsia="Times New Roman" w:hAnsi="Century Schoolbook" w:cs="Times New Roman"/>
          <w:color w:val="000000"/>
        </w:rPr>
        <w:t>a stock</w:t>
      </w:r>
      <w:r w:rsidR="00382E9C">
        <w:rPr>
          <w:rFonts w:ascii="Century Schoolbook" w:eastAsia="Times New Roman" w:hAnsi="Century Schoolbook" w:cs="Times New Roman"/>
          <w:color w:val="000000"/>
        </w:rPr>
        <w:t xml:space="preserve">, on any given week, </w:t>
      </w:r>
      <w:r>
        <w:rPr>
          <w:rFonts w:ascii="Century Schoolbook" w:eastAsia="Times New Roman" w:hAnsi="Century Schoolbook" w:cs="Times New Roman"/>
          <w:color w:val="000000"/>
        </w:rPr>
        <w:t>relative to an average-turnover analyst</w:t>
      </w:r>
      <w:r w:rsidR="0075726A">
        <w:rPr>
          <w:rFonts w:ascii="Century Schoolbook" w:eastAsia="Times New Roman" w:hAnsi="Century Schoolbook" w:cs="Times New Roman"/>
          <w:color w:val="000000"/>
        </w:rPr>
        <w:t>, while for</w:t>
      </w:r>
      <w:r>
        <w:rPr>
          <w:rFonts w:ascii="Century Schoolbook" w:eastAsia="Times New Roman" w:hAnsi="Century Schoolbook" w:cs="Times New Roman"/>
          <w:color w:val="000000"/>
        </w:rPr>
        <w:t xml:space="preserve"> a slower-turnover analyst, </w:t>
      </w:r>
      <w:r w:rsidR="0075726A">
        <w:rPr>
          <w:rFonts w:ascii="Century Schoolbook" w:eastAsia="Times New Roman" w:hAnsi="Century Schoolbook" w:cs="Times New Roman"/>
          <w:color w:val="000000"/>
        </w:rPr>
        <w:t>the likelihood is</w:t>
      </w:r>
      <w:r>
        <w:rPr>
          <w:rFonts w:ascii="Century Schoolbook" w:eastAsia="Times New Roman" w:hAnsi="Century Schoolbook" w:cs="Times New Roman"/>
          <w:color w:val="000000"/>
        </w:rPr>
        <w:t xml:space="preserve"> 0.</w:t>
      </w:r>
      <w:r w:rsidR="00F800EF">
        <w:rPr>
          <w:rFonts w:ascii="Century Schoolbook" w:eastAsia="Times New Roman" w:hAnsi="Century Schoolbook" w:cs="Times New Roman"/>
          <w:color w:val="000000"/>
        </w:rPr>
        <w:t>83</w:t>
      </w:r>
      <w:r w:rsidR="0075726A">
        <w:rPr>
          <w:rFonts w:ascii="Century Schoolbook" w:eastAsia="Times New Roman" w:hAnsi="Century Schoolbook" w:cs="Times New Roman"/>
          <w:color w:val="000000"/>
        </w:rPr>
        <w:t xml:space="preserve"> times lower. </w:t>
      </w:r>
      <w:r w:rsidR="00F800EF">
        <w:rPr>
          <w:rFonts w:ascii="Century Schoolbook" w:eastAsia="Times New Roman" w:hAnsi="Century Schoolbook" w:cs="Times New Roman"/>
          <w:color w:val="000000"/>
        </w:rPr>
        <w:t xml:space="preserve">We can also compare the </w:t>
      </w:r>
      <w:r w:rsidR="0075726A">
        <w:rPr>
          <w:rFonts w:ascii="Century Schoolbook" w:eastAsia="Times New Roman" w:hAnsi="Century Schoolbook" w:cs="Times New Roman"/>
          <w:color w:val="000000"/>
        </w:rPr>
        <w:t>speed of recommendation changes</w:t>
      </w:r>
      <w:r w:rsidR="00F800EF">
        <w:rPr>
          <w:rFonts w:ascii="Century Schoolbook" w:eastAsia="Times New Roman" w:hAnsi="Century Schoolbook" w:cs="Times New Roman"/>
          <w:color w:val="000000"/>
        </w:rPr>
        <w:t xml:space="preserve"> between slow- vs. fast-turnover analysts using their hazard ratios</w:t>
      </w:r>
      <w:r w:rsidR="0075726A">
        <w:rPr>
          <w:rFonts w:ascii="Century Schoolbook" w:eastAsia="Times New Roman" w:hAnsi="Century Schoolbook" w:cs="Times New Roman"/>
          <w:color w:val="000000"/>
        </w:rPr>
        <w:t xml:space="preserve">, i.e., </w:t>
      </w:r>
      <w:r w:rsidR="0075726A" w:rsidRPr="001718BC">
        <w:rPr>
          <w:rFonts w:ascii="Century Schoolbook" w:eastAsia="Times New Roman" w:hAnsi="Century Schoolbook" w:cs="Times New Roman"/>
          <w:color w:val="000000"/>
        </w:rPr>
        <w:t>1.</w:t>
      </w:r>
      <w:r w:rsidR="0075726A">
        <w:rPr>
          <w:rFonts w:ascii="Century Schoolbook" w:eastAsia="Times New Roman" w:hAnsi="Century Schoolbook" w:cs="Times New Roman"/>
          <w:color w:val="000000"/>
        </w:rPr>
        <w:t xml:space="preserve">35/0.83 ≈ 1.62. This suggests </w:t>
      </w:r>
      <w:r w:rsidR="00F800EF">
        <w:rPr>
          <w:rFonts w:ascii="Century Schoolbook" w:eastAsia="Times New Roman" w:hAnsi="Century Schoolbook" w:cs="Times New Roman"/>
          <w:color w:val="000000"/>
        </w:rPr>
        <w:t>that</w:t>
      </w:r>
      <w:r w:rsidR="002B2D90">
        <w:rPr>
          <w:rFonts w:ascii="Century Schoolbook" w:eastAsia="Times New Roman" w:hAnsi="Century Schoolbook" w:cs="Times New Roman"/>
          <w:color w:val="000000"/>
        </w:rPr>
        <w:t xml:space="preserve"> o</w:t>
      </w:r>
      <w:r w:rsidR="00F800EF">
        <w:rPr>
          <w:rFonts w:ascii="Century Schoolbook" w:eastAsia="Times New Roman" w:hAnsi="Century Schoolbook" w:cs="Times New Roman"/>
          <w:color w:val="000000"/>
        </w:rPr>
        <w:t xml:space="preserve">n any </w:t>
      </w:r>
      <w:r>
        <w:rPr>
          <w:rFonts w:ascii="Century Schoolbook" w:eastAsia="Times New Roman" w:hAnsi="Century Schoolbook" w:cs="Times New Roman"/>
          <w:color w:val="000000"/>
        </w:rPr>
        <w:t xml:space="preserve">given week, a fast-turnover analyst </w:t>
      </w:r>
      <w:r w:rsidR="002B2D90">
        <w:rPr>
          <w:rFonts w:ascii="Century Schoolbook" w:eastAsia="Times New Roman" w:hAnsi="Century Schoolbook" w:cs="Times New Roman"/>
          <w:color w:val="000000"/>
        </w:rPr>
        <w:t xml:space="preserve">is </w:t>
      </w:r>
      <w:r w:rsidR="0075726A">
        <w:rPr>
          <w:rFonts w:ascii="Century Schoolbook" w:eastAsia="Times New Roman" w:hAnsi="Century Schoolbook" w:cs="Times New Roman"/>
          <w:color w:val="000000"/>
        </w:rPr>
        <w:t xml:space="preserve">1.62 </w:t>
      </w:r>
      <w:r w:rsidR="002B2D90">
        <w:rPr>
          <w:rFonts w:ascii="Century Schoolbook" w:eastAsia="Times New Roman" w:hAnsi="Century Schoolbook" w:cs="Times New Roman"/>
          <w:color w:val="000000"/>
        </w:rPr>
        <w:t xml:space="preserve">times more likely to </w:t>
      </w:r>
      <w:r w:rsidR="00430505">
        <w:rPr>
          <w:rFonts w:ascii="Century Schoolbook" w:eastAsia="Times New Roman" w:hAnsi="Century Schoolbook" w:cs="Times New Roman"/>
          <w:color w:val="000000"/>
        </w:rPr>
        <w:t xml:space="preserve">upgrade </w:t>
      </w:r>
      <w:r>
        <w:rPr>
          <w:rFonts w:ascii="Century Schoolbook" w:eastAsia="Times New Roman" w:hAnsi="Century Schoolbook" w:cs="Times New Roman"/>
          <w:color w:val="000000"/>
        </w:rPr>
        <w:t>his recommendation relative to that of a slow-turnover analyst</w:t>
      </w:r>
      <w:r w:rsidR="002B2D90">
        <w:rPr>
          <w:rFonts w:ascii="Century Schoolbook" w:eastAsia="Times New Roman" w:hAnsi="Century Schoolbook" w:cs="Times New Roman"/>
          <w:color w:val="000000"/>
        </w:rPr>
        <w:t>.</w:t>
      </w:r>
      <w:r w:rsidR="0075726A">
        <w:rPr>
          <w:rFonts w:ascii="Century Schoolbook" w:eastAsia="Times New Roman" w:hAnsi="Century Schoolbook" w:cs="Times New Roman"/>
          <w:color w:val="000000"/>
        </w:rPr>
        <w:t xml:space="preserve"> We find a similar economic magnitude for downgrades</w:t>
      </w:r>
      <w:r w:rsidR="000443AF">
        <w:rPr>
          <w:rFonts w:ascii="Century Schoolbook" w:eastAsia="Times New Roman" w:hAnsi="Century Schoolbook" w:cs="Times New Roman"/>
          <w:color w:val="000000"/>
        </w:rPr>
        <w:t xml:space="preserve">. Column (4) </w:t>
      </w:r>
      <w:r w:rsidR="0075726A">
        <w:rPr>
          <w:rFonts w:ascii="Century Schoolbook" w:eastAsia="Times New Roman" w:hAnsi="Century Schoolbook" w:cs="Times New Roman"/>
          <w:color w:val="000000"/>
        </w:rPr>
        <w:t>suggest</w:t>
      </w:r>
      <w:r w:rsidR="000443AF">
        <w:rPr>
          <w:rFonts w:ascii="Century Schoolbook" w:eastAsia="Times New Roman" w:hAnsi="Century Schoolbook" w:cs="Times New Roman"/>
          <w:color w:val="000000"/>
        </w:rPr>
        <w:t>s</w:t>
      </w:r>
      <w:r w:rsidR="0075726A">
        <w:rPr>
          <w:rFonts w:ascii="Century Schoolbook" w:eastAsia="Times New Roman" w:hAnsi="Century Schoolbook" w:cs="Times New Roman"/>
          <w:color w:val="000000"/>
        </w:rPr>
        <w:t xml:space="preserve"> that </w:t>
      </w:r>
      <w:r w:rsidR="000443AF">
        <w:rPr>
          <w:rFonts w:ascii="Century Schoolbook" w:eastAsia="Times New Roman" w:hAnsi="Century Schoolbook" w:cs="Times New Roman"/>
          <w:color w:val="000000"/>
        </w:rPr>
        <w:t xml:space="preserve">a </w:t>
      </w:r>
      <w:r w:rsidR="0075726A">
        <w:rPr>
          <w:rFonts w:ascii="Century Schoolbook" w:eastAsia="Times New Roman" w:hAnsi="Century Schoolbook" w:cs="Times New Roman"/>
          <w:color w:val="000000"/>
        </w:rPr>
        <w:t>fast-turnover analyst</w:t>
      </w:r>
      <w:r w:rsidR="000443AF">
        <w:rPr>
          <w:rFonts w:ascii="Century Schoolbook" w:eastAsia="Times New Roman" w:hAnsi="Century Schoolbook" w:cs="Times New Roman"/>
          <w:color w:val="000000"/>
        </w:rPr>
        <w:t xml:space="preserve"> is</w:t>
      </w:r>
      <w:r w:rsidR="0075726A">
        <w:rPr>
          <w:rFonts w:ascii="Century Schoolbook" w:eastAsia="Times New Roman" w:hAnsi="Century Schoolbook" w:cs="Times New Roman"/>
          <w:color w:val="000000"/>
        </w:rPr>
        <w:t xml:space="preserve"> 1.41/0.82 ≈ 1.72 times more likely </w:t>
      </w:r>
      <w:r w:rsidR="000443AF">
        <w:rPr>
          <w:rFonts w:ascii="Century Schoolbook" w:eastAsia="Times New Roman" w:hAnsi="Century Schoolbook" w:cs="Times New Roman"/>
          <w:color w:val="000000"/>
        </w:rPr>
        <w:t xml:space="preserve">than a slow-turnover analyst </w:t>
      </w:r>
      <w:r w:rsidR="0075726A">
        <w:rPr>
          <w:rFonts w:ascii="Century Schoolbook" w:eastAsia="Times New Roman" w:hAnsi="Century Schoolbook" w:cs="Times New Roman"/>
          <w:color w:val="000000"/>
        </w:rPr>
        <w:t>to downgrade a stock on any given week</w:t>
      </w:r>
      <w:r w:rsidR="000443AF">
        <w:rPr>
          <w:rFonts w:ascii="Century Schoolbook" w:eastAsia="Times New Roman" w:hAnsi="Century Schoolbook" w:cs="Times New Roman"/>
          <w:color w:val="000000"/>
        </w:rPr>
        <w:t>.</w:t>
      </w:r>
      <w:r w:rsidR="0075726A">
        <w:rPr>
          <w:rFonts w:ascii="Century Schoolbook" w:eastAsia="Times New Roman" w:hAnsi="Century Schoolbook" w:cs="Times New Roman"/>
          <w:color w:val="000000"/>
        </w:rPr>
        <w:t xml:space="preserve"> </w:t>
      </w:r>
    </w:p>
    <w:p w14:paraId="1FA15263" w14:textId="329E31A5" w:rsidR="007955DF" w:rsidRDefault="00CF6A0D" w:rsidP="00A00DFF">
      <w:pPr>
        <w:pStyle w:val="FootnoteText"/>
        <w:spacing w:line="480" w:lineRule="auto"/>
        <w:ind w:firstLine="426"/>
        <w:jc w:val="both"/>
        <w:rPr>
          <w:rFonts w:ascii="Century Schoolbook" w:hAnsi="Century Schoolbook"/>
          <w:sz w:val="22"/>
          <w:szCs w:val="22"/>
        </w:rPr>
      </w:pPr>
      <w:r>
        <w:rPr>
          <w:rFonts w:ascii="Century Schoolbook" w:eastAsia="Times New Roman" w:hAnsi="Century Schoolbook" w:cs="Times New Roman"/>
          <w:color w:val="000000"/>
          <w:sz w:val="22"/>
          <w:szCs w:val="22"/>
        </w:rPr>
        <w:t>The</w:t>
      </w:r>
      <w:r w:rsidR="00027CB2" w:rsidRPr="00334A10">
        <w:rPr>
          <w:rFonts w:ascii="Century Schoolbook" w:eastAsia="Times New Roman" w:hAnsi="Century Schoolbook" w:cs="Times New Roman"/>
          <w:color w:val="000000"/>
          <w:sz w:val="22"/>
          <w:szCs w:val="22"/>
        </w:rPr>
        <w:t xml:space="preserve"> statistical </w:t>
      </w:r>
      <w:r w:rsidR="00334A10" w:rsidRPr="00334A10">
        <w:rPr>
          <w:rFonts w:ascii="Century Schoolbook" w:eastAsia="Times New Roman" w:hAnsi="Century Schoolbook" w:cs="Times New Roman"/>
          <w:color w:val="000000"/>
          <w:sz w:val="22"/>
          <w:szCs w:val="22"/>
        </w:rPr>
        <w:t>importance</w:t>
      </w:r>
      <w:r w:rsidR="00027CB2" w:rsidRPr="00334A10">
        <w:rPr>
          <w:rFonts w:ascii="Century Schoolbook" w:eastAsia="Times New Roman" w:hAnsi="Century Schoolbook" w:cs="Times New Roman"/>
          <w:color w:val="000000"/>
          <w:sz w:val="22"/>
          <w:szCs w:val="22"/>
        </w:rPr>
        <w:t xml:space="preserve"> of including the two </w:t>
      </w:r>
      <w:r w:rsidR="00027CB2" w:rsidRPr="00334A10">
        <w:rPr>
          <w:rFonts w:ascii="Century Schoolbook" w:eastAsia="Times New Roman" w:hAnsi="Century Schoolbook" w:cs="Times New Roman"/>
          <w:i/>
          <w:color w:val="000000"/>
          <w:sz w:val="22"/>
          <w:szCs w:val="22"/>
        </w:rPr>
        <w:t>Slow</w:t>
      </w:r>
      <w:r w:rsidR="00027CB2" w:rsidRPr="00334A10">
        <w:rPr>
          <w:rFonts w:ascii="Century Schoolbook" w:eastAsia="Times New Roman" w:hAnsi="Century Schoolbook" w:cs="Times New Roman"/>
          <w:color w:val="000000"/>
          <w:sz w:val="22"/>
          <w:szCs w:val="22"/>
        </w:rPr>
        <w:t xml:space="preserve"> and </w:t>
      </w:r>
      <w:r w:rsidR="00027CB2" w:rsidRPr="00334A10">
        <w:rPr>
          <w:rFonts w:ascii="Century Schoolbook" w:eastAsia="Times New Roman" w:hAnsi="Century Schoolbook" w:cs="Times New Roman"/>
          <w:i/>
          <w:color w:val="000000"/>
          <w:sz w:val="22"/>
          <w:szCs w:val="22"/>
        </w:rPr>
        <w:t xml:space="preserve">Fast </w:t>
      </w:r>
      <w:r w:rsidR="00027CB2" w:rsidRPr="00334A10">
        <w:rPr>
          <w:rFonts w:ascii="Century Schoolbook" w:eastAsia="Times New Roman" w:hAnsi="Century Schoolbook" w:cs="Times New Roman"/>
          <w:color w:val="000000"/>
          <w:sz w:val="22"/>
          <w:szCs w:val="22"/>
        </w:rPr>
        <w:t xml:space="preserve">indicator variables in the Cox PH model is </w:t>
      </w:r>
      <w:r w:rsidR="005A049E">
        <w:rPr>
          <w:rFonts w:ascii="Century Schoolbook" w:eastAsia="Times New Roman" w:hAnsi="Century Schoolbook" w:cs="Times New Roman"/>
          <w:color w:val="000000"/>
          <w:sz w:val="22"/>
          <w:szCs w:val="22"/>
        </w:rPr>
        <w:t>large</w:t>
      </w:r>
      <w:r w:rsidR="00027CB2" w:rsidRPr="00334A10">
        <w:rPr>
          <w:rFonts w:ascii="Century Schoolbook" w:eastAsia="Times New Roman" w:hAnsi="Century Schoolbook" w:cs="Times New Roman"/>
          <w:color w:val="000000"/>
          <w:sz w:val="22"/>
          <w:szCs w:val="22"/>
        </w:rPr>
        <w:t xml:space="preserve">. </w:t>
      </w:r>
      <w:r w:rsidR="00774FA8" w:rsidRPr="00334A10">
        <w:rPr>
          <w:rFonts w:ascii="Century Schoolbook" w:eastAsia="Times New Roman" w:hAnsi="Century Schoolbook" w:cs="Times New Roman"/>
          <w:color w:val="000000"/>
          <w:sz w:val="22"/>
          <w:szCs w:val="22"/>
        </w:rPr>
        <w:t>We illustrate this by reporting the log-likelihood ratio</w:t>
      </w:r>
      <w:r w:rsidR="0065464B" w:rsidRPr="00334A10">
        <w:rPr>
          <w:rFonts w:ascii="Century Schoolbook" w:eastAsia="Times New Roman" w:hAnsi="Century Schoolbook" w:cs="Times New Roman"/>
          <w:color w:val="000000"/>
          <w:sz w:val="22"/>
          <w:szCs w:val="22"/>
        </w:rPr>
        <w:t xml:space="preserve"> (LLR)</w:t>
      </w:r>
      <w:r w:rsidR="001253AC" w:rsidRPr="00334A10">
        <w:rPr>
          <w:rFonts w:ascii="Century Schoolbook" w:eastAsia="Times New Roman" w:hAnsi="Century Schoolbook" w:cs="Times New Roman"/>
          <w:color w:val="000000"/>
          <w:sz w:val="22"/>
          <w:szCs w:val="22"/>
        </w:rPr>
        <w:t xml:space="preserve"> </w:t>
      </w:r>
      <w:r w:rsidR="00774FA8" w:rsidRPr="00334A10">
        <w:rPr>
          <w:rFonts w:ascii="Century Schoolbook" w:eastAsia="Times New Roman" w:hAnsi="Century Schoolbook" w:cs="Times New Roman"/>
          <w:color w:val="000000"/>
          <w:sz w:val="22"/>
          <w:szCs w:val="22"/>
        </w:rPr>
        <w:t xml:space="preserve">comparing the </w:t>
      </w:r>
      <w:r w:rsidR="0065464B" w:rsidRPr="00334A10">
        <w:rPr>
          <w:rFonts w:ascii="Century Schoolbook" w:eastAsia="Times New Roman" w:hAnsi="Century Schoolbook" w:cs="Times New Roman"/>
          <w:color w:val="000000"/>
          <w:sz w:val="22"/>
          <w:szCs w:val="22"/>
        </w:rPr>
        <w:t xml:space="preserve">likelihood of the </w:t>
      </w:r>
      <w:r w:rsidR="00774FA8" w:rsidRPr="00334A10">
        <w:rPr>
          <w:rFonts w:ascii="Century Schoolbook" w:eastAsia="Times New Roman" w:hAnsi="Century Schoolbook" w:cs="Times New Roman"/>
          <w:color w:val="000000"/>
          <w:sz w:val="22"/>
          <w:szCs w:val="22"/>
        </w:rPr>
        <w:t xml:space="preserve">unrestricted model that includes the </w:t>
      </w:r>
      <w:r w:rsidR="00C77573" w:rsidRPr="00334A10">
        <w:rPr>
          <w:rFonts w:ascii="Century Schoolbook" w:eastAsia="Times New Roman" w:hAnsi="Century Schoolbook" w:cs="Times New Roman"/>
          <w:color w:val="000000"/>
          <w:sz w:val="22"/>
          <w:szCs w:val="22"/>
        </w:rPr>
        <w:t xml:space="preserve">two </w:t>
      </w:r>
      <w:r w:rsidR="00774FA8" w:rsidRPr="00334A10">
        <w:rPr>
          <w:rFonts w:ascii="Century Schoolbook" w:eastAsia="Times New Roman" w:hAnsi="Century Schoolbook" w:cs="Times New Roman"/>
          <w:color w:val="000000"/>
          <w:sz w:val="22"/>
          <w:szCs w:val="22"/>
        </w:rPr>
        <w:t xml:space="preserve">speed-style indicators versus </w:t>
      </w:r>
      <w:r w:rsidR="00C77573" w:rsidRPr="00334A10">
        <w:rPr>
          <w:rFonts w:ascii="Century Schoolbook" w:eastAsia="Times New Roman" w:hAnsi="Century Schoolbook" w:cs="Times New Roman"/>
          <w:color w:val="000000"/>
          <w:sz w:val="22"/>
          <w:szCs w:val="22"/>
        </w:rPr>
        <w:t>t</w:t>
      </w:r>
      <w:r w:rsidR="00055352">
        <w:rPr>
          <w:rFonts w:ascii="Century Schoolbook" w:eastAsia="Times New Roman" w:hAnsi="Century Schoolbook" w:cs="Times New Roman"/>
          <w:color w:val="000000"/>
          <w:sz w:val="22"/>
          <w:szCs w:val="22"/>
        </w:rPr>
        <w:t>he likelihood</w:t>
      </w:r>
      <w:r w:rsidR="00C77573" w:rsidRPr="00334A10">
        <w:rPr>
          <w:rFonts w:ascii="Century Schoolbook" w:eastAsia="Times New Roman" w:hAnsi="Century Schoolbook" w:cs="Times New Roman"/>
          <w:color w:val="000000"/>
          <w:sz w:val="22"/>
          <w:szCs w:val="22"/>
        </w:rPr>
        <w:t xml:space="preserve"> of </w:t>
      </w:r>
      <w:r w:rsidR="00774FA8" w:rsidRPr="00334A10">
        <w:rPr>
          <w:rFonts w:ascii="Century Schoolbook" w:eastAsia="Times New Roman" w:hAnsi="Century Schoolbook" w:cs="Times New Roman"/>
          <w:color w:val="000000"/>
          <w:sz w:val="22"/>
          <w:szCs w:val="22"/>
        </w:rPr>
        <w:t>the null model that do</w:t>
      </w:r>
      <w:r w:rsidR="0065464B" w:rsidRPr="00334A10">
        <w:rPr>
          <w:rFonts w:ascii="Century Schoolbook" w:eastAsia="Times New Roman" w:hAnsi="Century Schoolbook" w:cs="Times New Roman"/>
          <w:color w:val="000000"/>
          <w:sz w:val="22"/>
          <w:szCs w:val="22"/>
        </w:rPr>
        <w:t>es</w:t>
      </w:r>
      <w:r w:rsidR="00774FA8" w:rsidRPr="00334A10">
        <w:rPr>
          <w:rFonts w:ascii="Century Schoolbook" w:eastAsia="Times New Roman" w:hAnsi="Century Schoolbook" w:cs="Times New Roman"/>
          <w:color w:val="000000"/>
          <w:sz w:val="22"/>
          <w:szCs w:val="22"/>
        </w:rPr>
        <w:t xml:space="preserve"> not. </w:t>
      </w:r>
      <w:r w:rsidR="00055352">
        <w:rPr>
          <w:rFonts w:ascii="Century Schoolbook" w:eastAsia="Times New Roman" w:hAnsi="Century Schoolbook" w:cs="Times New Roman"/>
          <w:color w:val="000000"/>
          <w:sz w:val="22"/>
          <w:szCs w:val="22"/>
        </w:rPr>
        <w:t xml:space="preserve">The </w:t>
      </w:r>
      <w:r w:rsidR="0065464B" w:rsidRPr="00334A10">
        <w:rPr>
          <w:rFonts w:ascii="Century Schoolbook" w:eastAsia="Times New Roman" w:hAnsi="Century Schoolbook" w:cs="Times New Roman"/>
          <w:color w:val="000000"/>
          <w:sz w:val="22"/>
          <w:szCs w:val="22"/>
        </w:rPr>
        <w:t xml:space="preserve">LLR </w:t>
      </w:r>
      <w:r w:rsidR="00C77573" w:rsidRPr="00334A10">
        <w:rPr>
          <w:rFonts w:ascii="Century Schoolbook" w:eastAsia="Times New Roman" w:hAnsi="Century Schoolbook" w:cs="Times New Roman"/>
          <w:color w:val="000000"/>
          <w:sz w:val="22"/>
          <w:szCs w:val="22"/>
        </w:rPr>
        <w:t>f</w:t>
      </w:r>
      <w:r w:rsidR="00D23255" w:rsidRPr="00334A10">
        <w:rPr>
          <w:rFonts w:ascii="Century Schoolbook" w:eastAsia="Times New Roman" w:hAnsi="Century Schoolbook" w:cs="Times New Roman"/>
          <w:color w:val="000000"/>
          <w:sz w:val="22"/>
          <w:szCs w:val="22"/>
        </w:rPr>
        <w:t>or each model specification</w:t>
      </w:r>
      <w:r w:rsidR="001253AC" w:rsidRPr="00334A10">
        <w:rPr>
          <w:rFonts w:ascii="Century Schoolbook" w:eastAsia="Times New Roman" w:hAnsi="Century Schoolbook" w:cs="Times New Roman"/>
          <w:color w:val="000000"/>
          <w:sz w:val="22"/>
          <w:szCs w:val="22"/>
        </w:rPr>
        <w:t xml:space="preserve"> </w:t>
      </w:r>
      <w:r w:rsidR="00055352">
        <w:rPr>
          <w:rFonts w:ascii="Century Schoolbook" w:eastAsia="Times New Roman" w:hAnsi="Century Schoolbook" w:cs="Times New Roman"/>
          <w:color w:val="000000"/>
          <w:sz w:val="22"/>
          <w:szCs w:val="22"/>
        </w:rPr>
        <w:t>is reported near the</w:t>
      </w:r>
      <w:r w:rsidR="001253AC" w:rsidRPr="00334A10">
        <w:rPr>
          <w:rFonts w:ascii="Century Schoolbook" w:eastAsia="Times New Roman" w:hAnsi="Century Schoolbook" w:cs="Times New Roman"/>
          <w:color w:val="000000"/>
          <w:sz w:val="22"/>
          <w:szCs w:val="22"/>
        </w:rPr>
        <w:t xml:space="preserve"> bottom of Panels A and B.</w:t>
      </w:r>
      <w:r w:rsidR="00D23255" w:rsidRPr="00334A10">
        <w:rPr>
          <w:rFonts w:ascii="Century Schoolbook" w:eastAsia="Times New Roman" w:hAnsi="Century Schoolbook" w:cs="Times New Roman"/>
          <w:color w:val="000000"/>
          <w:sz w:val="22"/>
          <w:szCs w:val="22"/>
        </w:rPr>
        <w:t xml:space="preserve"> </w:t>
      </w:r>
      <w:r w:rsidR="0065464B" w:rsidRPr="00334A10">
        <w:rPr>
          <w:rFonts w:ascii="Century Schoolbook" w:eastAsia="Times New Roman" w:hAnsi="Century Schoolbook" w:cs="Times New Roman"/>
          <w:color w:val="000000"/>
          <w:sz w:val="22"/>
          <w:szCs w:val="22"/>
        </w:rPr>
        <w:t>Columns (1) and (4) show the LLR are 688</w:t>
      </w:r>
      <w:r w:rsidR="00C77573" w:rsidRPr="00334A10">
        <w:rPr>
          <w:rFonts w:ascii="Century Schoolbook" w:eastAsia="Times New Roman" w:hAnsi="Century Schoolbook" w:cs="Times New Roman"/>
          <w:color w:val="000000"/>
          <w:sz w:val="22"/>
          <w:szCs w:val="22"/>
        </w:rPr>
        <w:t xml:space="preserve"> and 916, respectively. </w:t>
      </w:r>
      <w:r w:rsidR="00334A10" w:rsidRPr="00334A10">
        <w:rPr>
          <w:rFonts w:ascii="Century Schoolbook" w:eastAsia="Times New Roman" w:hAnsi="Century Schoolbook" w:cs="Times New Roman"/>
          <w:color w:val="000000"/>
          <w:sz w:val="22"/>
          <w:szCs w:val="22"/>
        </w:rPr>
        <w:t xml:space="preserve">These values are </w:t>
      </w:r>
      <w:r w:rsidR="00334A10">
        <w:rPr>
          <w:rFonts w:ascii="Century Schoolbook" w:eastAsia="Times New Roman" w:hAnsi="Century Schoolbook" w:cs="Times New Roman"/>
          <w:color w:val="000000"/>
          <w:sz w:val="22"/>
          <w:szCs w:val="22"/>
        </w:rPr>
        <w:t>extremely</w:t>
      </w:r>
      <w:r w:rsidR="00334A10" w:rsidRPr="00334A10">
        <w:rPr>
          <w:rFonts w:ascii="Century Schoolbook" w:eastAsia="Times New Roman" w:hAnsi="Century Schoolbook" w:cs="Times New Roman"/>
          <w:color w:val="000000"/>
          <w:sz w:val="22"/>
          <w:szCs w:val="22"/>
        </w:rPr>
        <w:t xml:space="preserve"> large</w:t>
      </w:r>
      <w:r w:rsidR="00EC6D76">
        <w:rPr>
          <w:rFonts w:ascii="Century Schoolbook" w:eastAsia="Times New Roman" w:hAnsi="Century Schoolbook" w:cs="Times New Roman"/>
          <w:color w:val="000000"/>
          <w:sz w:val="22"/>
          <w:szCs w:val="22"/>
        </w:rPr>
        <w:t xml:space="preserve"> as the </w:t>
      </w:r>
      <w:r w:rsidR="00334A10" w:rsidRPr="00334A10">
        <w:rPr>
          <w:rFonts w:ascii="Century Schoolbook" w:eastAsia="Times New Roman" w:hAnsi="Century Schoolbook" w:cs="Times New Roman"/>
          <w:color w:val="000000"/>
          <w:sz w:val="22"/>
          <w:szCs w:val="22"/>
        </w:rPr>
        <w:t xml:space="preserve">critical cut-off </w:t>
      </w:r>
      <w:r w:rsidR="00334A10">
        <w:rPr>
          <w:rFonts w:ascii="Century Schoolbook" w:hAnsi="Century Schoolbook"/>
          <w:sz w:val="22"/>
          <w:szCs w:val="22"/>
        </w:rPr>
        <w:t>for rejecting the null model at the 0.001 p-value is</w:t>
      </w:r>
      <w:r w:rsidR="007955DF">
        <w:rPr>
          <w:rFonts w:ascii="Century Schoolbook" w:hAnsi="Century Schoolbook"/>
          <w:sz w:val="22"/>
          <w:szCs w:val="22"/>
        </w:rPr>
        <w:t xml:space="preserve"> 13.82.</w:t>
      </w:r>
      <w:r w:rsidR="00EC6D76">
        <w:rPr>
          <w:rStyle w:val="FootnoteReference"/>
          <w:rFonts w:ascii="Century Schoolbook" w:hAnsi="Century Schoolbook"/>
          <w:sz w:val="22"/>
          <w:szCs w:val="22"/>
        </w:rPr>
        <w:footnoteReference w:id="12"/>
      </w:r>
    </w:p>
    <w:p w14:paraId="3E64036D" w14:textId="405194FE" w:rsidR="005041F6" w:rsidRDefault="004626E1" w:rsidP="00A47527">
      <w:pPr>
        <w:autoSpaceDE w:val="0"/>
        <w:autoSpaceDN w:val="0"/>
        <w:adjustRightInd w:val="0"/>
        <w:spacing w:after="0" w:line="480" w:lineRule="auto"/>
        <w:ind w:firstLine="426"/>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As expected, we find the estimate on </w:t>
      </w:r>
      <w:r w:rsidRPr="00542207">
        <w:rPr>
          <w:rFonts w:ascii="Century Schoolbook" w:eastAsia="Times New Roman" w:hAnsi="Century Schoolbook" w:cs="Times New Roman"/>
          <w:i/>
          <w:color w:val="000000"/>
        </w:rPr>
        <w:t>Concurrent with earnings</w:t>
      </w:r>
      <w:r>
        <w:rPr>
          <w:rFonts w:ascii="Century Schoolbook" w:eastAsia="Times New Roman" w:hAnsi="Century Schoolbook" w:cs="Times New Roman"/>
          <w:color w:val="000000"/>
        </w:rPr>
        <w:t xml:space="preserve"> to be positive and highly significant. </w:t>
      </w:r>
      <w:r w:rsidR="0016631F">
        <w:rPr>
          <w:rFonts w:ascii="Century Schoolbook" w:eastAsia="Times New Roman" w:hAnsi="Century Schoolbook" w:cs="Times New Roman"/>
          <w:color w:val="000000"/>
        </w:rPr>
        <w:t>We find that</w:t>
      </w:r>
      <w:r>
        <w:rPr>
          <w:rFonts w:ascii="Century Schoolbook" w:eastAsia="Times New Roman" w:hAnsi="Century Schoolbook" w:cs="Times New Roman"/>
          <w:color w:val="000000"/>
        </w:rPr>
        <w:t xml:space="preserve"> the probability that an analyst will revise a recommendation is almost four times higher when there is a concurrent earnings announcement in the same week. </w:t>
      </w:r>
      <w:r w:rsidR="007B7B96" w:rsidRPr="00542207">
        <w:rPr>
          <w:rFonts w:ascii="Century Schoolbook" w:eastAsia="Times New Roman" w:hAnsi="Century Schoolbook" w:cs="Times New Roman"/>
          <w:color w:val="000000"/>
        </w:rPr>
        <w:t xml:space="preserve">We </w:t>
      </w:r>
      <w:r w:rsidR="007B7B96">
        <w:rPr>
          <w:rFonts w:ascii="Century Schoolbook" w:eastAsia="Times New Roman" w:hAnsi="Century Schoolbook" w:cs="Times New Roman"/>
          <w:color w:val="000000"/>
        </w:rPr>
        <w:t xml:space="preserve">include </w:t>
      </w:r>
      <w:r w:rsidR="007B7B96" w:rsidRPr="00542207">
        <w:rPr>
          <w:rFonts w:ascii="Century Schoolbook" w:eastAsia="Times New Roman" w:hAnsi="Century Schoolbook" w:cs="Times New Roman"/>
          <w:color w:val="000000"/>
        </w:rPr>
        <w:t>previous-reco</w:t>
      </w:r>
      <w:r w:rsidR="007B7B96">
        <w:rPr>
          <w:rFonts w:ascii="Century Schoolbook" w:eastAsia="Times New Roman" w:hAnsi="Century Schoolbook" w:cs="Times New Roman"/>
          <w:color w:val="000000"/>
        </w:rPr>
        <w:t xml:space="preserve">mmendation </w:t>
      </w:r>
      <w:r w:rsidR="007B7B96" w:rsidRPr="00542207">
        <w:rPr>
          <w:rFonts w:ascii="Century Schoolbook" w:eastAsia="Times New Roman" w:hAnsi="Century Schoolbook" w:cs="Times New Roman"/>
          <w:color w:val="000000"/>
        </w:rPr>
        <w:t xml:space="preserve">fixed effects </w:t>
      </w:r>
      <w:r w:rsidR="009B4B75">
        <w:rPr>
          <w:rFonts w:ascii="Century Schoolbook" w:eastAsia="Times New Roman" w:hAnsi="Century Schoolbook" w:cs="Times New Roman"/>
          <w:color w:val="000000"/>
        </w:rPr>
        <w:t xml:space="preserve">in Table 3 </w:t>
      </w:r>
      <w:r w:rsidR="007B7B96" w:rsidRPr="00542207">
        <w:rPr>
          <w:rFonts w:ascii="Century Schoolbook" w:eastAsia="Times New Roman" w:hAnsi="Century Schoolbook" w:cs="Times New Roman"/>
          <w:color w:val="000000"/>
        </w:rPr>
        <w:t xml:space="preserve">using indicator variables </w:t>
      </w:r>
      <w:r w:rsidR="007B7B96" w:rsidRPr="00542207">
        <w:rPr>
          <w:rFonts w:ascii="Century Schoolbook" w:eastAsia="Times New Roman" w:hAnsi="Century Schoolbook" w:cs="Times New Roman"/>
          <w:i/>
          <w:color w:val="000000"/>
        </w:rPr>
        <w:lastRenderedPageBreak/>
        <w:t xml:space="preserve">Last </w:t>
      </w:r>
      <w:proofErr w:type="spellStart"/>
      <w:r w:rsidR="007B7B96" w:rsidRPr="00542207">
        <w:rPr>
          <w:rFonts w:ascii="Century Schoolbook" w:eastAsia="Times New Roman" w:hAnsi="Century Schoolbook" w:cs="Times New Roman"/>
          <w:i/>
          <w:color w:val="000000"/>
        </w:rPr>
        <w:t>recom</w:t>
      </w:r>
      <w:proofErr w:type="spellEnd"/>
      <w:r w:rsidR="007B7B96">
        <w:rPr>
          <w:rFonts w:ascii="Century Schoolbook" w:eastAsia="Times New Roman" w:hAnsi="Century Schoolbook" w:cs="Times New Roman"/>
          <w:color w:val="000000"/>
        </w:rPr>
        <w:t xml:space="preserve">. The reference level for the </w:t>
      </w:r>
      <w:r w:rsidR="007B7B96" w:rsidRPr="00542207">
        <w:rPr>
          <w:rFonts w:ascii="Century Schoolbook" w:eastAsia="Times New Roman" w:hAnsi="Century Schoolbook" w:cs="Times New Roman"/>
          <w:color w:val="000000"/>
        </w:rPr>
        <w:t>previous-reco</w:t>
      </w:r>
      <w:r w:rsidR="007B7B96">
        <w:rPr>
          <w:rFonts w:ascii="Century Schoolbook" w:eastAsia="Times New Roman" w:hAnsi="Century Schoolbook" w:cs="Times New Roman"/>
          <w:color w:val="000000"/>
        </w:rPr>
        <w:t xml:space="preserve">mmendation </w:t>
      </w:r>
      <w:r w:rsidR="007B7B96" w:rsidRPr="00542207">
        <w:rPr>
          <w:rFonts w:ascii="Century Schoolbook" w:eastAsia="Times New Roman" w:hAnsi="Century Schoolbook" w:cs="Times New Roman"/>
          <w:color w:val="000000"/>
        </w:rPr>
        <w:t xml:space="preserve">fixed effects </w:t>
      </w:r>
      <w:r w:rsidR="007B7B96">
        <w:rPr>
          <w:rFonts w:ascii="Century Schoolbook" w:eastAsia="Times New Roman" w:hAnsi="Century Schoolbook" w:cs="Times New Roman"/>
          <w:color w:val="000000"/>
        </w:rPr>
        <w:t>is “hold</w:t>
      </w:r>
      <w:r w:rsidR="009B4B75">
        <w:rPr>
          <w:rFonts w:ascii="Century Schoolbook" w:eastAsia="Times New Roman" w:hAnsi="Century Schoolbook" w:cs="Times New Roman"/>
          <w:color w:val="000000"/>
        </w:rPr>
        <w:t>.</w:t>
      </w:r>
      <w:r w:rsidR="007B7B96">
        <w:rPr>
          <w:rFonts w:ascii="Century Schoolbook" w:eastAsia="Times New Roman" w:hAnsi="Century Schoolbook" w:cs="Times New Roman"/>
          <w:color w:val="000000"/>
        </w:rPr>
        <w:t xml:space="preserve">” </w:t>
      </w:r>
      <w:r w:rsidR="009B4B75">
        <w:rPr>
          <w:rFonts w:ascii="Century Schoolbook" w:eastAsia="Times New Roman" w:hAnsi="Century Schoolbook" w:cs="Times New Roman"/>
          <w:color w:val="000000"/>
        </w:rPr>
        <w:t>Panel A shows t</w:t>
      </w:r>
      <w:r w:rsidR="000152BF">
        <w:rPr>
          <w:rFonts w:ascii="Century Schoolbook" w:eastAsia="Times New Roman" w:hAnsi="Century Schoolbook" w:cs="Times New Roman"/>
          <w:color w:val="000000"/>
        </w:rPr>
        <w:t xml:space="preserve">he coefficients on </w:t>
      </w:r>
      <w:r w:rsidR="000152BF" w:rsidRPr="00542207">
        <w:rPr>
          <w:rFonts w:ascii="Century Schoolbook" w:eastAsia="Times New Roman" w:hAnsi="Century Schoolbook" w:cs="Times New Roman"/>
          <w:i/>
          <w:color w:val="000000"/>
        </w:rPr>
        <w:t xml:space="preserve">Last </w:t>
      </w:r>
      <w:proofErr w:type="spellStart"/>
      <w:r w:rsidR="000152BF" w:rsidRPr="00542207">
        <w:rPr>
          <w:rFonts w:ascii="Century Schoolbook" w:eastAsia="Times New Roman" w:hAnsi="Century Schoolbook" w:cs="Times New Roman"/>
          <w:i/>
          <w:color w:val="000000"/>
        </w:rPr>
        <w:t>recom</w:t>
      </w:r>
      <w:proofErr w:type="spellEnd"/>
      <w:r w:rsidR="007B7B96">
        <w:rPr>
          <w:rFonts w:ascii="Century Schoolbook" w:eastAsia="Times New Roman" w:hAnsi="Century Schoolbook" w:cs="Times New Roman"/>
          <w:color w:val="000000"/>
        </w:rPr>
        <w:t xml:space="preserve"> </w:t>
      </w:r>
      <w:r w:rsidR="0016631F">
        <w:rPr>
          <w:rFonts w:ascii="Century Schoolbook" w:eastAsia="Times New Roman" w:hAnsi="Century Schoolbook" w:cs="Times New Roman"/>
          <w:color w:val="000000"/>
        </w:rPr>
        <w:t xml:space="preserve">for upgrades </w:t>
      </w:r>
      <w:r w:rsidR="009B4B75">
        <w:rPr>
          <w:rFonts w:ascii="Century Schoolbook" w:eastAsia="Times New Roman" w:hAnsi="Century Schoolbook" w:cs="Times New Roman"/>
          <w:color w:val="000000"/>
        </w:rPr>
        <w:t xml:space="preserve">are mostly positive. This suggests </w:t>
      </w:r>
      <w:r w:rsidR="000152BF">
        <w:rPr>
          <w:rFonts w:ascii="Century Schoolbook" w:eastAsia="Times New Roman" w:hAnsi="Century Schoolbook" w:cs="Times New Roman"/>
          <w:color w:val="000000"/>
        </w:rPr>
        <w:t xml:space="preserve">that </w:t>
      </w:r>
      <w:r w:rsidR="009B4B75">
        <w:rPr>
          <w:rFonts w:ascii="Century Schoolbook" w:eastAsia="Times New Roman" w:hAnsi="Century Schoolbook" w:cs="Times New Roman"/>
          <w:color w:val="000000"/>
        </w:rPr>
        <w:t xml:space="preserve">upgrades out of a “hold” recommendation are stickier than upgrades out of a </w:t>
      </w:r>
      <w:r w:rsidR="005041F6">
        <w:rPr>
          <w:rFonts w:ascii="Century Schoolbook" w:eastAsia="Times New Roman" w:hAnsi="Century Schoolbook" w:cs="Times New Roman"/>
          <w:color w:val="000000"/>
        </w:rPr>
        <w:t>“</w:t>
      </w:r>
      <w:r w:rsidR="009B4B75">
        <w:rPr>
          <w:rFonts w:ascii="Century Schoolbook" w:eastAsia="Times New Roman" w:hAnsi="Century Schoolbook" w:cs="Times New Roman"/>
          <w:color w:val="000000"/>
        </w:rPr>
        <w:t xml:space="preserve">strong </w:t>
      </w:r>
      <w:r w:rsidR="005041F6">
        <w:rPr>
          <w:rFonts w:ascii="Century Schoolbook" w:eastAsia="Times New Roman" w:hAnsi="Century Schoolbook" w:cs="Times New Roman"/>
          <w:color w:val="000000"/>
        </w:rPr>
        <w:t xml:space="preserve">sell” or a </w:t>
      </w:r>
      <w:r w:rsidR="009B4B75">
        <w:rPr>
          <w:rFonts w:ascii="Century Schoolbook" w:eastAsia="Times New Roman" w:hAnsi="Century Schoolbook" w:cs="Times New Roman"/>
          <w:color w:val="000000"/>
        </w:rPr>
        <w:t>“</w:t>
      </w:r>
      <w:r w:rsidR="005041F6">
        <w:rPr>
          <w:rFonts w:ascii="Century Schoolbook" w:eastAsia="Times New Roman" w:hAnsi="Century Schoolbook" w:cs="Times New Roman"/>
          <w:color w:val="000000"/>
        </w:rPr>
        <w:t>sell</w:t>
      </w:r>
      <w:r w:rsidR="009B4B75">
        <w:rPr>
          <w:rFonts w:ascii="Century Schoolbook" w:eastAsia="Times New Roman" w:hAnsi="Century Schoolbook" w:cs="Times New Roman"/>
          <w:color w:val="000000"/>
        </w:rPr>
        <w:t>.</w:t>
      </w:r>
      <w:r w:rsidR="005041F6">
        <w:rPr>
          <w:rFonts w:ascii="Century Schoolbook" w:eastAsia="Times New Roman" w:hAnsi="Century Schoolbook" w:cs="Times New Roman"/>
          <w:color w:val="000000"/>
        </w:rPr>
        <w:t>”</w:t>
      </w:r>
      <w:r w:rsidR="009B4B75">
        <w:rPr>
          <w:rFonts w:ascii="Century Schoolbook" w:eastAsia="Times New Roman" w:hAnsi="Century Schoolbook" w:cs="Times New Roman"/>
          <w:color w:val="000000"/>
        </w:rPr>
        <w:t xml:space="preserve"> In Panel B, we find </w:t>
      </w:r>
      <w:r w:rsidR="00C40301">
        <w:rPr>
          <w:rFonts w:ascii="Century Schoolbook" w:eastAsia="Times New Roman" w:hAnsi="Century Schoolbook" w:cs="Times New Roman"/>
          <w:color w:val="000000"/>
        </w:rPr>
        <w:t xml:space="preserve">that </w:t>
      </w:r>
      <w:r w:rsidR="009B4B75">
        <w:rPr>
          <w:rFonts w:ascii="Century Schoolbook" w:eastAsia="Times New Roman" w:hAnsi="Century Schoolbook" w:cs="Times New Roman"/>
          <w:color w:val="000000"/>
        </w:rPr>
        <w:t xml:space="preserve">downgrades out of a “strong buy” recommendation takes a longer </w:t>
      </w:r>
      <w:r w:rsidR="00C40301">
        <w:rPr>
          <w:rFonts w:ascii="Century Schoolbook" w:eastAsia="Times New Roman" w:hAnsi="Century Schoolbook" w:cs="Times New Roman"/>
          <w:color w:val="000000"/>
        </w:rPr>
        <w:t xml:space="preserve">time than </w:t>
      </w:r>
      <w:r w:rsidR="009B4B75">
        <w:rPr>
          <w:rFonts w:ascii="Century Schoolbook" w:eastAsia="Times New Roman" w:hAnsi="Century Schoolbook" w:cs="Times New Roman"/>
          <w:color w:val="000000"/>
        </w:rPr>
        <w:t xml:space="preserve">downgrades out of other recommendation levels. </w:t>
      </w:r>
    </w:p>
    <w:p w14:paraId="4ED78F8A" w14:textId="2190CA82" w:rsidR="004626E1" w:rsidRPr="00E344CC" w:rsidRDefault="00F91A13" w:rsidP="00E81AEC">
      <w:pPr>
        <w:pStyle w:val="ListParagraph"/>
        <w:numPr>
          <w:ilvl w:val="0"/>
          <w:numId w:val="42"/>
        </w:numPr>
        <w:autoSpaceDE w:val="0"/>
        <w:autoSpaceDN w:val="0"/>
        <w:adjustRightInd w:val="0"/>
        <w:spacing w:after="0" w:line="480" w:lineRule="auto"/>
        <w:ind w:left="360"/>
        <w:jc w:val="center"/>
        <w:rPr>
          <w:rFonts w:ascii="Century Schoolbook" w:eastAsiaTheme="minorEastAsia" w:hAnsi="Century Schoolbook" w:cs="Times New Roman"/>
          <w:b/>
          <w:i/>
          <w:szCs w:val="20"/>
        </w:rPr>
      </w:pPr>
      <w:r w:rsidRPr="00E344CC">
        <w:rPr>
          <w:rFonts w:ascii="Century Schoolbook" w:eastAsiaTheme="minorEastAsia" w:hAnsi="Century Schoolbook" w:cs="Times New Roman"/>
          <w:b/>
          <w:i/>
          <w:szCs w:val="20"/>
        </w:rPr>
        <w:t>Speed-style</w:t>
      </w:r>
      <w:r w:rsidR="001A2C66" w:rsidRPr="00E344CC">
        <w:rPr>
          <w:rFonts w:ascii="Century Schoolbook" w:eastAsiaTheme="minorEastAsia" w:hAnsi="Century Schoolbook" w:cs="Times New Roman"/>
          <w:b/>
          <w:i/>
          <w:szCs w:val="20"/>
        </w:rPr>
        <w:t xml:space="preserve"> under</w:t>
      </w:r>
      <w:r w:rsidR="008C1CAE" w:rsidRPr="00E344CC">
        <w:rPr>
          <w:rFonts w:ascii="Century Schoolbook" w:eastAsiaTheme="minorEastAsia" w:hAnsi="Century Schoolbook" w:cs="Times New Roman"/>
          <w:b/>
          <w:i/>
          <w:szCs w:val="20"/>
        </w:rPr>
        <w:t xml:space="preserve"> various </w:t>
      </w:r>
      <w:r w:rsidR="00F46616" w:rsidRPr="00E344CC">
        <w:rPr>
          <w:rFonts w:ascii="Century Schoolbook" w:eastAsiaTheme="minorEastAsia" w:hAnsi="Century Schoolbook" w:cs="Times New Roman"/>
          <w:b/>
          <w:i/>
          <w:szCs w:val="20"/>
        </w:rPr>
        <w:t xml:space="preserve">controls for </w:t>
      </w:r>
      <w:r w:rsidR="004626E1" w:rsidRPr="00E344CC">
        <w:rPr>
          <w:rFonts w:ascii="Century Schoolbook" w:eastAsiaTheme="minorEastAsia" w:hAnsi="Century Schoolbook" w:cs="Times New Roman"/>
          <w:b/>
          <w:i/>
          <w:szCs w:val="20"/>
        </w:rPr>
        <w:t>recommendation triggers</w:t>
      </w:r>
    </w:p>
    <w:p w14:paraId="0982610A" w14:textId="7AD2CABF" w:rsidR="00832883" w:rsidRDefault="00446120" w:rsidP="00832883">
      <w:pPr>
        <w:autoSpaceDE w:val="0"/>
        <w:autoSpaceDN w:val="0"/>
        <w:adjustRightInd w:val="0"/>
        <w:spacing w:after="0" w:line="480" w:lineRule="auto"/>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We </w:t>
      </w:r>
      <w:r w:rsidR="004824E7">
        <w:rPr>
          <w:rFonts w:ascii="Century Schoolbook" w:eastAsia="Times New Roman" w:hAnsi="Century Schoolbook" w:cs="Times New Roman"/>
          <w:color w:val="000000"/>
        </w:rPr>
        <w:t xml:space="preserve">next </w:t>
      </w:r>
      <w:r>
        <w:rPr>
          <w:rFonts w:ascii="Century Schoolbook" w:eastAsia="Times New Roman" w:hAnsi="Century Schoolbook" w:cs="Times New Roman"/>
          <w:color w:val="000000"/>
        </w:rPr>
        <w:t xml:space="preserve">show that our main regression results hold after including various sets of control variables for recommendation triggers. </w:t>
      </w:r>
      <w:r w:rsidR="00EA39A9">
        <w:rPr>
          <w:rFonts w:ascii="Century Schoolbook" w:eastAsia="Times New Roman" w:hAnsi="Century Schoolbook" w:cs="Times New Roman"/>
          <w:color w:val="000000"/>
        </w:rPr>
        <w:t xml:space="preserve">For brevity, </w:t>
      </w:r>
      <w:r w:rsidR="00832883">
        <w:rPr>
          <w:rFonts w:ascii="Century Schoolbook" w:eastAsia="Times New Roman" w:hAnsi="Century Schoolbook" w:cs="Times New Roman"/>
          <w:color w:val="000000"/>
        </w:rPr>
        <w:t xml:space="preserve">we leave discussions on how </w:t>
      </w:r>
      <w:r w:rsidR="003C18B1">
        <w:rPr>
          <w:rFonts w:ascii="Century Schoolbook" w:eastAsia="Times New Roman" w:hAnsi="Century Schoolbook" w:cs="Times New Roman"/>
          <w:color w:val="000000"/>
        </w:rPr>
        <w:t xml:space="preserve">coefficient </w:t>
      </w:r>
      <w:r w:rsidR="00C40301">
        <w:rPr>
          <w:rFonts w:ascii="Century Schoolbook" w:eastAsia="Times New Roman" w:hAnsi="Century Schoolbook" w:cs="Times New Roman"/>
          <w:color w:val="000000"/>
        </w:rPr>
        <w:t>estimation</w:t>
      </w:r>
      <w:r w:rsidR="003C18B1">
        <w:rPr>
          <w:rFonts w:ascii="Century Schoolbook" w:eastAsia="Times New Roman" w:hAnsi="Century Schoolbook" w:cs="Times New Roman"/>
          <w:color w:val="000000"/>
        </w:rPr>
        <w:t>s</w:t>
      </w:r>
      <w:r w:rsidR="00C40301">
        <w:rPr>
          <w:rFonts w:ascii="Century Schoolbook" w:eastAsia="Times New Roman" w:hAnsi="Century Schoolbook" w:cs="Times New Roman"/>
          <w:color w:val="000000"/>
        </w:rPr>
        <w:t xml:space="preserve"> </w:t>
      </w:r>
      <w:r w:rsidR="003C18B1">
        <w:rPr>
          <w:rFonts w:ascii="Century Schoolbook" w:eastAsia="Times New Roman" w:hAnsi="Century Schoolbook" w:cs="Times New Roman"/>
          <w:color w:val="000000"/>
        </w:rPr>
        <w:t>on</w:t>
      </w:r>
      <w:r w:rsidR="00C40301">
        <w:rPr>
          <w:rFonts w:ascii="Century Schoolbook" w:eastAsia="Times New Roman" w:hAnsi="Century Schoolbook" w:cs="Times New Roman"/>
          <w:color w:val="000000"/>
        </w:rPr>
        <w:t xml:space="preserve"> </w:t>
      </w:r>
      <w:r w:rsidR="00832883">
        <w:rPr>
          <w:rFonts w:ascii="Century Schoolbook" w:eastAsia="Times New Roman" w:hAnsi="Century Schoolbook" w:cs="Times New Roman"/>
          <w:color w:val="000000"/>
        </w:rPr>
        <w:t>these control variables</w:t>
      </w:r>
      <w:r w:rsidR="00C40301">
        <w:rPr>
          <w:rFonts w:ascii="Century Schoolbook" w:eastAsia="Times New Roman" w:hAnsi="Century Schoolbook" w:cs="Times New Roman"/>
          <w:color w:val="000000"/>
        </w:rPr>
        <w:t xml:space="preserve"> are related to</w:t>
      </w:r>
      <w:r w:rsidR="00832883">
        <w:rPr>
          <w:rFonts w:ascii="Century Schoolbook" w:eastAsia="Times New Roman" w:hAnsi="Century Schoolbook" w:cs="Times New Roman"/>
          <w:color w:val="000000"/>
        </w:rPr>
        <w:t xml:space="preserve"> analysts’ recommendation speed-style in relation to the framework that we outlined in Section 3.1</w:t>
      </w:r>
      <w:r w:rsidR="00966ECE">
        <w:rPr>
          <w:rFonts w:ascii="Century Schoolbook" w:eastAsia="Times New Roman" w:hAnsi="Century Schoolbook" w:cs="Times New Roman"/>
          <w:color w:val="000000"/>
        </w:rPr>
        <w:t xml:space="preserve"> to the Online Appendix.</w:t>
      </w:r>
    </w:p>
    <w:p w14:paraId="6AD8D7AA" w14:textId="2FD3089C" w:rsidR="00591723" w:rsidRDefault="00446120" w:rsidP="00591723">
      <w:pPr>
        <w:autoSpaceDE w:val="0"/>
        <w:autoSpaceDN w:val="0"/>
        <w:adjustRightInd w:val="0"/>
        <w:spacing w:after="0" w:line="480" w:lineRule="auto"/>
        <w:ind w:firstLine="360"/>
        <w:jc w:val="both"/>
        <w:rPr>
          <w:rFonts w:ascii="Century Schoolbook" w:eastAsia="Times New Roman" w:hAnsi="Century Schoolbook" w:cs="Times New Roman"/>
          <w:i/>
          <w:color w:val="000000"/>
        </w:rPr>
      </w:pPr>
      <w:r>
        <w:rPr>
          <w:rFonts w:ascii="Century Schoolbook" w:eastAsia="Times New Roman" w:hAnsi="Century Schoolbook" w:cs="Times New Roman"/>
          <w:color w:val="000000"/>
        </w:rPr>
        <w:t>Columns (2) and (5) of Table 3 report the estimation results with a more extensive set of control variables.</w:t>
      </w:r>
      <w:r w:rsidRPr="00EA39A9">
        <w:rPr>
          <w:rFonts w:ascii="Century Schoolbook" w:eastAsia="Times New Roman" w:hAnsi="Century Schoolbook" w:cs="Times New Roman"/>
          <w:color w:val="000000"/>
        </w:rPr>
        <w:t xml:space="preserve"> </w:t>
      </w:r>
      <w:r w:rsidR="00591723">
        <w:rPr>
          <w:rFonts w:ascii="Century Schoolbook" w:eastAsia="Times New Roman" w:hAnsi="Century Schoolbook" w:cs="Times New Roman"/>
          <w:color w:val="000000"/>
        </w:rPr>
        <w:t xml:space="preserve">Where applicable, all control variables are lagged by one week, as they are potential triggers of future recommendation revisions. We </w:t>
      </w:r>
      <w:r w:rsidR="00865722">
        <w:rPr>
          <w:rFonts w:ascii="Century Schoolbook" w:eastAsia="Times New Roman" w:hAnsi="Century Schoolbook" w:cs="Times New Roman"/>
          <w:color w:val="000000"/>
        </w:rPr>
        <w:t xml:space="preserve">include </w:t>
      </w:r>
      <w:r w:rsidR="00C40301">
        <w:rPr>
          <w:rFonts w:ascii="Century Schoolbook" w:eastAsia="Times New Roman" w:hAnsi="Century Schoolbook" w:cs="Times New Roman"/>
          <w:color w:val="000000"/>
        </w:rPr>
        <w:t xml:space="preserve">a large set </w:t>
      </w:r>
      <w:r w:rsidR="00832883">
        <w:rPr>
          <w:rFonts w:ascii="Century Schoolbook" w:eastAsia="Times New Roman" w:hAnsi="Century Schoolbook" w:cs="Times New Roman"/>
          <w:color w:val="000000"/>
        </w:rPr>
        <w:t xml:space="preserve">of </w:t>
      </w:r>
      <w:r w:rsidR="0080423D">
        <w:rPr>
          <w:rFonts w:ascii="Century Schoolbook" w:eastAsia="Times New Roman" w:hAnsi="Century Schoolbook" w:cs="Times New Roman"/>
          <w:color w:val="000000"/>
        </w:rPr>
        <w:t>control</w:t>
      </w:r>
      <w:r w:rsidR="002E5957">
        <w:rPr>
          <w:rFonts w:ascii="Century Schoolbook" w:eastAsia="Times New Roman" w:hAnsi="Century Schoolbook" w:cs="Times New Roman"/>
          <w:color w:val="000000"/>
        </w:rPr>
        <w:t>s</w:t>
      </w:r>
      <w:r w:rsidR="0080423D">
        <w:rPr>
          <w:rFonts w:ascii="Century Schoolbook" w:eastAsia="Times New Roman" w:hAnsi="Century Schoolbook" w:cs="Times New Roman"/>
          <w:color w:val="000000"/>
        </w:rPr>
        <w:t xml:space="preserve"> for</w:t>
      </w:r>
      <w:r w:rsidR="00C01636">
        <w:rPr>
          <w:rFonts w:ascii="Century Schoolbook" w:eastAsia="Times New Roman" w:hAnsi="Century Schoolbook" w:cs="Times New Roman"/>
          <w:color w:val="000000"/>
        </w:rPr>
        <w:t xml:space="preserve"> changes in t</w:t>
      </w:r>
      <w:r w:rsidR="00495804">
        <w:rPr>
          <w:rFonts w:ascii="Century Schoolbook" w:eastAsia="Times New Roman" w:hAnsi="Century Schoolbook" w:cs="Times New Roman"/>
          <w:color w:val="000000"/>
        </w:rPr>
        <w:t xml:space="preserve">he publicly </w:t>
      </w:r>
      <w:r w:rsidR="00200770">
        <w:rPr>
          <w:rFonts w:ascii="Century Schoolbook" w:eastAsia="Times New Roman" w:hAnsi="Century Schoolbook" w:cs="Times New Roman"/>
          <w:color w:val="000000"/>
        </w:rPr>
        <w:t>traded share prices</w:t>
      </w:r>
      <w:r w:rsidR="002E5957">
        <w:rPr>
          <w:rFonts w:ascii="Century Schoolbook" w:eastAsia="Times New Roman" w:hAnsi="Century Schoolbook" w:cs="Times New Roman"/>
          <w:color w:val="000000"/>
        </w:rPr>
        <w:t xml:space="preserve"> </w:t>
      </w:r>
      <w:r w:rsidR="002E5957" w:rsidRPr="002E5957">
        <w:rPr>
          <w:rFonts w:ascii="Century Schoolbook" w:eastAsia="Times New Roman" w:hAnsi="Century Schoolbook" w:cs="Times New Roman"/>
          <w:i/>
          <w:color w:val="000000"/>
        </w:rPr>
        <w:t>(P</w:t>
      </w:r>
      <w:r w:rsidR="00C40301">
        <w:rPr>
          <w:rFonts w:ascii="Century Schoolbook" w:eastAsia="Times New Roman" w:hAnsi="Century Schoolbook" w:cs="Times New Roman"/>
          <w:i/>
          <w:color w:val="000000"/>
        </w:rPr>
        <w:t>).</w:t>
      </w:r>
      <w:r w:rsidR="00200770">
        <w:rPr>
          <w:rFonts w:ascii="Century Schoolbook" w:eastAsia="Times New Roman" w:hAnsi="Century Schoolbook" w:cs="Times New Roman"/>
          <w:color w:val="000000"/>
        </w:rPr>
        <w:t xml:space="preserve"> This includes an upward or </w:t>
      </w:r>
      <w:r w:rsidR="00771A2A">
        <w:rPr>
          <w:rFonts w:ascii="Century Schoolbook" w:eastAsia="Times New Roman" w:hAnsi="Century Schoolbook" w:cs="Times New Roman"/>
          <w:color w:val="000000"/>
        </w:rPr>
        <w:t xml:space="preserve">a </w:t>
      </w:r>
      <w:r w:rsidR="00200770">
        <w:rPr>
          <w:rFonts w:ascii="Century Schoolbook" w:eastAsia="Times New Roman" w:hAnsi="Century Schoolbook" w:cs="Times New Roman"/>
          <w:color w:val="000000"/>
        </w:rPr>
        <w:t>downward stock price momentum re</w:t>
      </w:r>
      <w:r w:rsidR="0080423D">
        <w:rPr>
          <w:rFonts w:ascii="Century Schoolbook" w:eastAsia="Times New Roman" w:hAnsi="Century Schoolbook" w:cs="Times New Roman"/>
          <w:color w:val="000000"/>
        </w:rPr>
        <w:t xml:space="preserve">lative to the aggregate market, i.e., </w:t>
      </w:r>
      <w:r w:rsidR="00495804" w:rsidRPr="00AB0ABC">
        <w:rPr>
          <w:rFonts w:ascii="Century Schoolbook" w:eastAsia="Times New Roman" w:hAnsi="Century Schoolbook" w:cs="Times New Roman"/>
          <w:i/>
          <w:color w:val="000000"/>
        </w:rPr>
        <w:t>Market</w:t>
      </w:r>
      <w:r w:rsidR="00495804">
        <w:rPr>
          <w:rFonts w:ascii="Century Schoolbook" w:eastAsia="Times New Roman" w:hAnsi="Century Schoolbook" w:cs="Times New Roman"/>
          <w:i/>
          <w:color w:val="000000"/>
        </w:rPr>
        <w:t xml:space="preserve">-adjusted </w:t>
      </w:r>
      <w:r w:rsidR="00495804" w:rsidRPr="00AB0ABC">
        <w:rPr>
          <w:rFonts w:ascii="Century Schoolbook" w:eastAsia="Times New Roman" w:hAnsi="Century Schoolbook" w:cs="Times New Roman"/>
          <w:i/>
          <w:color w:val="000000"/>
        </w:rPr>
        <w:t>s</w:t>
      </w:r>
      <w:r w:rsidR="00495804">
        <w:rPr>
          <w:rFonts w:ascii="Century Schoolbook" w:eastAsia="Times New Roman" w:hAnsi="Century Schoolbook" w:cs="Times New Roman"/>
          <w:i/>
          <w:color w:val="000000"/>
        </w:rPr>
        <w:t>tock return</w:t>
      </w:r>
      <w:r w:rsidR="00495804">
        <w:rPr>
          <w:rFonts w:ascii="Century Schoolbook" w:eastAsia="Times New Roman" w:hAnsi="Century Schoolbook" w:cs="Times New Roman"/>
          <w:color w:val="000000"/>
        </w:rPr>
        <w:t xml:space="preserve">, </w:t>
      </w:r>
      <w:r w:rsidR="009F195B">
        <w:rPr>
          <w:rFonts w:ascii="Century Schoolbook" w:eastAsia="Times New Roman" w:hAnsi="Century Schoolbook" w:cs="Times New Roman"/>
          <w:color w:val="000000"/>
        </w:rPr>
        <w:t>or</w:t>
      </w:r>
      <w:r w:rsidR="0047760B">
        <w:rPr>
          <w:rFonts w:ascii="Century Schoolbook" w:eastAsia="Times New Roman" w:hAnsi="Century Schoolbook" w:cs="Times New Roman"/>
          <w:color w:val="000000"/>
        </w:rPr>
        <w:t xml:space="preserve"> to an</w:t>
      </w:r>
      <w:r w:rsidR="009F195B">
        <w:rPr>
          <w:rFonts w:ascii="Century Schoolbook" w:eastAsia="Times New Roman" w:hAnsi="Century Schoolbook" w:cs="Times New Roman"/>
          <w:color w:val="000000"/>
        </w:rPr>
        <w:t xml:space="preserve"> industry benchmark, i.e. </w:t>
      </w:r>
      <w:r w:rsidR="0047760B">
        <w:rPr>
          <w:rFonts w:ascii="Century Schoolbook" w:eastAsia="Times New Roman" w:hAnsi="Century Schoolbook" w:cs="Times New Roman"/>
          <w:color w:val="000000"/>
        </w:rPr>
        <w:t xml:space="preserve"> </w:t>
      </w:r>
      <w:r w:rsidR="00495804">
        <w:rPr>
          <w:rFonts w:ascii="Century Schoolbook" w:eastAsia="Times New Roman" w:hAnsi="Century Schoolbook" w:cs="Times New Roman"/>
          <w:i/>
          <w:color w:val="000000"/>
        </w:rPr>
        <w:t xml:space="preserve">Industry-adjusted stock </w:t>
      </w:r>
      <w:r w:rsidR="00495804" w:rsidRPr="00F25DA0">
        <w:rPr>
          <w:rFonts w:ascii="Century Schoolbook" w:eastAsia="Times New Roman" w:hAnsi="Century Schoolbook" w:cs="Times New Roman"/>
          <w:i/>
          <w:color w:val="000000"/>
        </w:rPr>
        <w:t>return</w:t>
      </w:r>
      <w:r w:rsidR="0080423D">
        <w:rPr>
          <w:rFonts w:ascii="Century Schoolbook" w:eastAsia="Times New Roman" w:hAnsi="Century Schoolbook" w:cs="Times New Roman"/>
          <w:i/>
          <w:color w:val="000000"/>
        </w:rPr>
        <w:t xml:space="preserve">. </w:t>
      </w:r>
      <w:r w:rsidR="00591723">
        <w:rPr>
          <w:rFonts w:ascii="Century Schoolbook" w:eastAsia="Times New Roman" w:hAnsi="Century Schoolbook" w:cs="Times New Roman"/>
          <w:color w:val="000000"/>
        </w:rPr>
        <w:t>Large</w:t>
      </w:r>
      <w:r w:rsidR="00591723" w:rsidRPr="00591723">
        <w:rPr>
          <w:rFonts w:ascii="Century Schoolbook" w:eastAsia="Times New Roman" w:hAnsi="Century Schoolbook" w:cs="Times New Roman"/>
          <w:color w:val="000000"/>
        </w:rPr>
        <w:t xml:space="preserve"> c</w:t>
      </w:r>
      <w:r w:rsidR="00591723">
        <w:rPr>
          <w:rFonts w:ascii="Century Schoolbook" w:eastAsia="Times New Roman" w:hAnsi="Century Schoolbook" w:cs="Times New Roman"/>
          <w:color w:val="000000"/>
        </w:rPr>
        <w:t>hanges</w:t>
      </w:r>
      <w:r w:rsidR="0080423D">
        <w:rPr>
          <w:rFonts w:ascii="Century Schoolbook" w:eastAsia="Times New Roman" w:hAnsi="Century Schoolbook" w:cs="Times New Roman"/>
          <w:color w:val="000000"/>
        </w:rPr>
        <w:t xml:space="preserve"> in share price can also occur abruptly</w:t>
      </w:r>
      <w:r w:rsidR="00591723">
        <w:rPr>
          <w:rFonts w:ascii="Century Schoolbook" w:eastAsia="Times New Roman" w:hAnsi="Century Schoolbook" w:cs="Times New Roman"/>
          <w:color w:val="000000"/>
        </w:rPr>
        <w:t xml:space="preserve">, and they </w:t>
      </w:r>
      <w:r w:rsidR="0080423D">
        <w:rPr>
          <w:rFonts w:ascii="Century Schoolbook" w:eastAsia="Times New Roman" w:hAnsi="Century Schoolbook" w:cs="Times New Roman"/>
          <w:color w:val="000000"/>
        </w:rPr>
        <w:t>are often referred to as jumps</w:t>
      </w:r>
      <w:r w:rsidR="00591723">
        <w:rPr>
          <w:rFonts w:ascii="Century Schoolbook" w:eastAsia="Times New Roman" w:hAnsi="Century Schoolbook" w:cs="Times New Roman"/>
          <w:color w:val="000000"/>
        </w:rPr>
        <w:t>. W</w:t>
      </w:r>
      <w:r w:rsidR="0080423D">
        <w:rPr>
          <w:rFonts w:ascii="Century Schoolbook" w:eastAsia="Times New Roman" w:hAnsi="Century Schoolbook" w:cs="Times New Roman"/>
          <w:color w:val="000000"/>
        </w:rPr>
        <w:t>e</w:t>
      </w:r>
      <w:r w:rsidR="00591723">
        <w:rPr>
          <w:rFonts w:ascii="Century Schoolbook" w:eastAsia="Times New Roman" w:hAnsi="Century Schoolbook" w:cs="Times New Roman"/>
          <w:color w:val="000000"/>
        </w:rPr>
        <w:t xml:space="preserve"> therefore</w:t>
      </w:r>
      <w:r w:rsidR="0080423D">
        <w:rPr>
          <w:rFonts w:ascii="Century Schoolbook" w:eastAsia="Times New Roman" w:hAnsi="Century Schoolbook" w:cs="Times New Roman"/>
          <w:color w:val="000000"/>
        </w:rPr>
        <w:t xml:space="preserve"> include </w:t>
      </w:r>
      <w:r w:rsidR="0080423D">
        <w:rPr>
          <w:rFonts w:ascii="Century Schoolbook" w:hAnsi="Century Schoolbook" w:cs="Times New Roman"/>
        </w:rPr>
        <w:t xml:space="preserve">two indicator variables </w:t>
      </w:r>
      <w:r w:rsidR="0080423D">
        <w:rPr>
          <w:rFonts w:ascii="Century Schoolbook" w:eastAsia="Times New Roman" w:hAnsi="Century Schoolbook" w:cs="Times New Roman"/>
          <w:i/>
          <w:color w:val="000000"/>
        </w:rPr>
        <w:t xml:space="preserve">Positive stock price jump </w:t>
      </w:r>
      <w:r w:rsidR="0080423D">
        <w:rPr>
          <w:rFonts w:ascii="Century Schoolbook" w:eastAsia="Times New Roman" w:hAnsi="Century Schoolbook" w:cs="Times New Roman"/>
          <w:color w:val="000000"/>
        </w:rPr>
        <w:t xml:space="preserve">and </w:t>
      </w:r>
      <w:r w:rsidR="0080423D">
        <w:rPr>
          <w:rFonts w:ascii="Century Schoolbook" w:eastAsia="Times New Roman" w:hAnsi="Century Schoolbook" w:cs="Times New Roman"/>
          <w:i/>
          <w:color w:val="000000"/>
        </w:rPr>
        <w:t>Negative stock price jump</w:t>
      </w:r>
      <w:r w:rsidR="0080423D">
        <w:rPr>
          <w:rFonts w:ascii="Century Schoolbook" w:eastAsia="Times New Roman" w:hAnsi="Century Schoolbook" w:cs="Times New Roman"/>
          <w:color w:val="000000"/>
        </w:rPr>
        <w:t>.</w:t>
      </w:r>
      <w:r w:rsidR="0080423D">
        <w:rPr>
          <w:rStyle w:val="FootnoteReference"/>
          <w:rFonts w:ascii="Century Schoolbook" w:hAnsi="Century Schoolbook"/>
        </w:rPr>
        <w:footnoteReference w:id="13"/>
      </w:r>
      <w:r w:rsidR="0080423D">
        <w:rPr>
          <w:rFonts w:ascii="Century Schoolbook" w:eastAsia="Times New Roman" w:hAnsi="Century Schoolbook" w:cs="Times New Roman"/>
          <w:color w:val="000000"/>
        </w:rPr>
        <w:t xml:space="preserve"> We also include </w:t>
      </w:r>
      <w:r w:rsidR="0080423D">
        <w:rPr>
          <w:rFonts w:ascii="Century Schoolbook" w:eastAsia="Times New Roman" w:hAnsi="Century Schoolbook" w:cs="Times New Roman"/>
          <w:i/>
          <w:color w:val="000000"/>
        </w:rPr>
        <w:t>Stock Volatility</w:t>
      </w:r>
      <w:r w:rsidR="0080423D">
        <w:rPr>
          <w:rFonts w:ascii="Century Schoolbook" w:eastAsia="Times New Roman" w:hAnsi="Century Schoolbook" w:cs="Times New Roman"/>
          <w:color w:val="000000"/>
        </w:rPr>
        <w:t xml:space="preserve"> as a control because high volatility may lower analysts’ ability to precisely estimate their stock valuation-to-price ratio (</w:t>
      </w:r>
      <w:r w:rsidR="0080423D" w:rsidRPr="00AF0D18">
        <w:rPr>
          <w:rFonts w:ascii="Century Schoolbook" w:eastAsia="Times New Roman" w:hAnsi="Century Schoolbook" w:cs="Times New Roman"/>
          <w:i/>
          <w:color w:val="000000"/>
        </w:rPr>
        <w:t>V/P</w:t>
      </w:r>
      <w:r w:rsidR="0080423D">
        <w:rPr>
          <w:rFonts w:ascii="Century Schoolbook" w:eastAsia="Times New Roman" w:hAnsi="Century Schoolbook" w:cs="Times New Roman"/>
          <w:color w:val="000000"/>
        </w:rPr>
        <w:t xml:space="preserve">). Finally, we include </w:t>
      </w:r>
      <w:r w:rsidR="0080423D" w:rsidRPr="00E87077">
        <w:rPr>
          <w:rFonts w:ascii="Century Schoolbook" w:eastAsia="Times New Roman" w:hAnsi="Century Schoolbook" w:cs="Times New Roman"/>
          <w:color w:val="000000"/>
        </w:rPr>
        <w:t>the stock price ratio relative to its 52-week high</w:t>
      </w:r>
      <w:r w:rsidR="0080423D">
        <w:rPr>
          <w:rFonts w:ascii="Century Schoolbook" w:eastAsia="Times New Roman" w:hAnsi="Century Schoolbook" w:cs="Times New Roman"/>
          <w:color w:val="000000"/>
        </w:rPr>
        <w:t xml:space="preserve"> </w:t>
      </w:r>
      <w:r w:rsidR="0080423D" w:rsidRPr="00E87077">
        <w:rPr>
          <w:rFonts w:ascii="Century Schoolbook" w:eastAsia="Times New Roman" w:hAnsi="Century Schoolbook" w:cs="Times New Roman"/>
          <w:color w:val="000000"/>
        </w:rPr>
        <w:t xml:space="preserve">because </w:t>
      </w:r>
      <w:r w:rsidR="0080423D" w:rsidRPr="00E87077">
        <w:rPr>
          <w:rFonts w:ascii="Century Schoolbook" w:hAnsi="Century Schoolbook"/>
        </w:rPr>
        <w:t xml:space="preserve">previous research has shown that the 52-week high price </w:t>
      </w:r>
      <w:r w:rsidR="0080423D" w:rsidRPr="00E87077">
        <w:rPr>
          <w:rFonts w:ascii="Century Schoolbook" w:hAnsi="Century Schoolbook"/>
        </w:rPr>
        <w:lastRenderedPageBreak/>
        <w:t xml:space="preserve">serves as a reference point for the decisions of </w:t>
      </w:r>
      <w:r w:rsidR="0080423D">
        <w:rPr>
          <w:rFonts w:ascii="Century Schoolbook" w:hAnsi="Century Schoolbook"/>
        </w:rPr>
        <w:t xml:space="preserve">traders </w:t>
      </w:r>
      <w:r w:rsidR="0080423D" w:rsidRPr="00E87077">
        <w:rPr>
          <w:rFonts w:ascii="Century Schoolbook" w:hAnsi="Century Schoolbook"/>
        </w:rPr>
        <w:t xml:space="preserve">(e.g., </w:t>
      </w:r>
      <w:r w:rsidR="0080423D">
        <w:rPr>
          <w:rFonts w:ascii="Century Schoolbook" w:hAnsi="Century Schoolbook"/>
        </w:rPr>
        <w:t>George and Huang, 2004</w:t>
      </w:r>
      <w:r w:rsidR="0080423D" w:rsidRPr="00E87077">
        <w:rPr>
          <w:rFonts w:ascii="Century Schoolbook" w:hAnsi="Century Schoolbook"/>
        </w:rPr>
        <w:t>).</w:t>
      </w:r>
      <w:r w:rsidR="0080423D">
        <w:rPr>
          <w:rFonts w:ascii="Century Schoolbook" w:hAnsi="Century Schoolbook"/>
        </w:rPr>
        <w:t xml:space="preserve"> This </w:t>
      </w:r>
      <w:r w:rsidR="00591723">
        <w:rPr>
          <w:rFonts w:ascii="Century Schoolbook" w:hAnsi="Century Schoolbook"/>
        </w:rPr>
        <w:t xml:space="preserve">control </w:t>
      </w:r>
      <w:r w:rsidR="0080423D">
        <w:rPr>
          <w:rFonts w:ascii="Century Schoolbook" w:hAnsi="Century Schoolbook"/>
        </w:rPr>
        <w:t xml:space="preserve">is represented by </w:t>
      </w:r>
      <w:r w:rsidR="0080423D">
        <w:rPr>
          <w:rFonts w:ascii="Century Schoolbook" w:hAnsi="Century Schoolbook"/>
          <w:i/>
        </w:rPr>
        <w:t>Price relative to 52-week high</w:t>
      </w:r>
      <w:r w:rsidR="0080423D">
        <w:rPr>
          <w:rFonts w:ascii="Century Schoolbook" w:hAnsi="Century Schoolbook"/>
        </w:rPr>
        <w:t>.</w:t>
      </w:r>
      <w:r w:rsidR="00591723">
        <w:rPr>
          <w:rFonts w:ascii="Century Schoolbook" w:eastAsia="Times New Roman" w:hAnsi="Century Schoolbook" w:cs="Times New Roman"/>
          <w:i/>
          <w:color w:val="000000"/>
        </w:rPr>
        <w:t xml:space="preserve"> </w:t>
      </w:r>
    </w:p>
    <w:p w14:paraId="04DAC7C1" w14:textId="77777777" w:rsidR="007E5FC9" w:rsidRDefault="00591723" w:rsidP="007E5FC9">
      <w:pPr>
        <w:autoSpaceDE w:val="0"/>
        <w:autoSpaceDN w:val="0"/>
        <w:adjustRightInd w:val="0"/>
        <w:spacing w:after="0" w:line="480" w:lineRule="auto"/>
        <w:ind w:firstLine="360"/>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In Columns (3) and (6) of Table 3, we introduce an additional variable </w:t>
      </w:r>
      <w:r>
        <w:rPr>
          <w:rFonts w:ascii="Century Schoolbook" w:eastAsia="Times New Roman" w:hAnsi="Century Schoolbook" w:cs="Times New Roman"/>
          <w:i/>
          <w:color w:val="000000"/>
        </w:rPr>
        <w:t>News intensity</w:t>
      </w:r>
      <w:r>
        <w:rPr>
          <w:rFonts w:ascii="Century Schoolbook" w:eastAsia="Times New Roman" w:hAnsi="Century Schoolbook" w:cs="Times New Roman"/>
          <w:color w:val="000000"/>
        </w:rPr>
        <w:t xml:space="preserve">, which </w:t>
      </w:r>
      <w:r w:rsidRPr="00542207">
        <w:rPr>
          <w:rFonts w:ascii="Century Schoolbook" w:eastAsia="Times New Roman" w:hAnsi="Century Schoolbook" w:cs="Times New Roman"/>
          <w:color w:val="000000"/>
        </w:rPr>
        <w:t>is the number of firm-specific news observed in the previous week</w:t>
      </w:r>
      <w:r w:rsidR="009F195B">
        <w:rPr>
          <w:rFonts w:ascii="Century Schoolbook" w:eastAsia="Times New Roman" w:hAnsi="Century Schoolbook" w:cs="Times New Roman"/>
          <w:color w:val="000000"/>
        </w:rPr>
        <w:t>. It proxies for the arrival of new information that affects an analyst’s stock valuation (</w:t>
      </w:r>
      <w:r w:rsidR="009F195B" w:rsidRPr="009F195B">
        <w:rPr>
          <w:rFonts w:ascii="Century Schoolbook" w:eastAsia="Times New Roman" w:hAnsi="Century Schoolbook" w:cs="Times New Roman"/>
          <w:i/>
          <w:color w:val="000000"/>
        </w:rPr>
        <w:t>V</w:t>
      </w:r>
      <w:r w:rsidR="009F195B">
        <w:rPr>
          <w:rFonts w:ascii="Century Schoolbook" w:eastAsia="Times New Roman" w:hAnsi="Century Schoolbook" w:cs="Times New Roman"/>
          <w:color w:val="000000"/>
        </w:rPr>
        <w:t>)</w:t>
      </w:r>
      <w:r>
        <w:rPr>
          <w:rFonts w:ascii="Century Schoolbook" w:eastAsia="Times New Roman" w:hAnsi="Century Schoolbook" w:cs="Times New Roman"/>
          <w:color w:val="000000"/>
        </w:rPr>
        <w:t xml:space="preserve">. </w:t>
      </w:r>
      <w:r w:rsidRPr="00542207">
        <w:rPr>
          <w:rFonts w:ascii="Century Schoolbook" w:eastAsia="Times New Roman" w:hAnsi="Century Schoolbook" w:cs="Times New Roman"/>
          <w:color w:val="000000"/>
        </w:rPr>
        <w:t xml:space="preserve">We </w:t>
      </w:r>
      <w:r>
        <w:rPr>
          <w:rFonts w:ascii="Century Schoolbook" w:eastAsia="Times New Roman" w:hAnsi="Century Schoolbook" w:cs="Times New Roman"/>
          <w:color w:val="000000"/>
        </w:rPr>
        <w:t xml:space="preserve">obtain data on </w:t>
      </w:r>
      <w:r w:rsidRPr="00542207">
        <w:rPr>
          <w:rFonts w:ascii="Century Schoolbook" w:eastAsia="Times New Roman" w:hAnsi="Century Schoolbook" w:cs="Times New Roman"/>
          <w:color w:val="000000"/>
        </w:rPr>
        <w:t xml:space="preserve">news </w:t>
      </w:r>
      <w:r>
        <w:rPr>
          <w:rFonts w:ascii="Century Schoolbook" w:eastAsia="Times New Roman" w:hAnsi="Century Schoolbook" w:cs="Times New Roman"/>
          <w:color w:val="000000"/>
        </w:rPr>
        <w:t xml:space="preserve">releases </w:t>
      </w:r>
      <w:r w:rsidRPr="00542207">
        <w:rPr>
          <w:rFonts w:ascii="Century Schoolbook" w:eastAsia="Times New Roman" w:hAnsi="Century Schoolbook" w:cs="Times New Roman"/>
          <w:color w:val="000000"/>
        </w:rPr>
        <w:t xml:space="preserve">from Capital </w:t>
      </w:r>
      <w:r>
        <w:rPr>
          <w:rFonts w:ascii="Century Schoolbook" w:eastAsia="Times New Roman" w:hAnsi="Century Schoolbook" w:cs="Times New Roman"/>
          <w:color w:val="000000"/>
        </w:rPr>
        <w:t>IQ,</w:t>
      </w:r>
      <w:r w:rsidRPr="00D04E15">
        <w:rPr>
          <w:rFonts w:ascii="Century Schoolbook" w:hAnsi="Century Schoolbook" w:cs="Times New Roman"/>
        </w:rPr>
        <w:t xml:space="preserve"> a comprehensive database of company-specific news collected from over 20,000 public news sources. They include firm- and non-firm initiated news found in newswire se</w:t>
      </w:r>
      <w:r>
        <w:rPr>
          <w:rFonts w:ascii="Century Schoolbook" w:hAnsi="Century Schoolbook" w:cs="Times New Roman"/>
        </w:rPr>
        <w:t>rvice</w:t>
      </w:r>
      <w:r w:rsidRPr="00D04E15">
        <w:rPr>
          <w:rFonts w:ascii="Century Schoolbook" w:hAnsi="Century Schoolbook" w:cs="Times New Roman"/>
        </w:rPr>
        <w:t>s.</w:t>
      </w:r>
      <w:r>
        <w:rPr>
          <w:rFonts w:ascii="Century Schoolbook" w:eastAsia="Times New Roman" w:hAnsi="Century Schoolbook" w:cs="Times New Roman"/>
          <w:color w:val="000000"/>
        </w:rPr>
        <w:t xml:space="preserve"> News coverage in the Capital IQ database was relatively thin until the end of 2002. As a result, the sample that we use to estimate the Cox PH model in Columns (3) and (6) is from 2003 to 2013.</w:t>
      </w:r>
      <w:r>
        <w:rPr>
          <w:rStyle w:val="FootnoteReference"/>
          <w:rFonts w:ascii="Century Schoolbook" w:eastAsia="Times New Roman" w:hAnsi="Century Schoolbook" w:cs="Times New Roman"/>
          <w:color w:val="000000"/>
        </w:rPr>
        <w:footnoteReference w:id="14"/>
      </w:r>
      <w:r w:rsidR="007E5FC9" w:rsidRPr="007E5FC9">
        <w:rPr>
          <w:rFonts w:ascii="Century Schoolbook" w:eastAsia="Times New Roman" w:hAnsi="Century Schoolbook" w:cs="Times New Roman"/>
          <w:color w:val="000000"/>
        </w:rPr>
        <w:t xml:space="preserve"> </w:t>
      </w:r>
    </w:p>
    <w:p w14:paraId="5A394853" w14:textId="77777777" w:rsidR="00673E45" w:rsidRDefault="007E5FC9" w:rsidP="00673E45">
      <w:pPr>
        <w:autoSpaceDE w:val="0"/>
        <w:autoSpaceDN w:val="0"/>
        <w:adjustRightInd w:val="0"/>
        <w:spacing w:after="0" w:line="480" w:lineRule="auto"/>
        <w:ind w:firstLine="360"/>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The time it takes an analyst to revise his recommendation can depend on the magnitude of the recommendation change that he is evaluating. We control for this effect</w:t>
      </w:r>
      <w:r w:rsidR="00673E45">
        <w:rPr>
          <w:rFonts w:ascii="Century Schoolbook" w:eastAsia="Times New Roman" w:hAnsi="Century Schoolbook" w:cs="Times New Roman"/>
          <w:color w:val="000000"/>
        </w:rPr>
        <w:t xml:space="preserve"> in Table 3</w:t>
      </w:r>
      <w:r>
        <w:rPr>
          <w:rFonts w:ascii="Century Schoolbook" w:eastAsia="Times New Roman" w:hAnsi="Century Schoolbook" w:cs="Times New Roman"/>
          <w:color w:val="000000"/>
        </w:rPr>
        <w:t xml:space="preserve"> using </w:t>
      </w:r>
      <w:r w:rsidRPr="00542207">
        <w:rPr>
          <w:rFonts w:ascii="Century Schoolbook" w:eastAsia="Times New Roman" w:hAnsi="Century Schoolbook" w:cs="Times New Roman"/>
          <w:i/>
          <w:color w:val="000000"/>
        </w:rPr>
        <w:t># level up/down</w:t>
      </w:r>
      <w:r>
        <w:rPr>
          <w:rFonts w:ascii="Century Schoolbook" w:eastAsia="Times New Roman" w:hAnsi="Century Schoolbook" w:cs="Times New Roman"/>
          <w:color w:val="000000"/>
        </w:rPr>
        <w:t>, which is defined as the absolute value of the difference between the new and previous recommendation levels.</w:t>
      </w:r>
      <w:r w:rsidR="00673E45">
        <w:rPr>
          <w:rFonts w:ascii="Century Schoolbook" w:eastAsia="Times New Roman" w:hAnsi="Century Schoolbook" w:cs="Times New Roman"/>
          <w:color w:val="000000"/>
        </w:rPr>
        <w:t xml:space="preserve"> </w:t>
      </w:r>
    </w:p>
    <w:p w14:paraId="1FD0319E" w14:textId="3D1A92F3" w:rsidR="008C1CAE" w:rsidRDefault="00C40301" w:rsidP="00673E45">
      <w:pPr>
        <w:autoSpaceDE w:val="0"/>
        <w:autoSpaceDN w:val="0"/>
        <w:adjustRightInd w:val="0"/>
        <w:spacing w:after="0" w:line="480" w:lineRule="auto"/>
        <w:ind w:firstLine="360"/>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Overall, w</w:t>
      </w:r>
      <w:r w:rsidR="00F72C2B">
        <w:rPr>
          <w:rFonts w:ascii="Century Schoolbook" w:eastAsia="Times New Roman" w:hAnsi="Century Schoolbook" w:cs="Times New Roman"/>
          <w:color w:val="000000"/>
        </w:rPr>
        <w:t>e</w:t>
      </w:r>
      <w:r w:rsidR="00B129C1">
        <w:rPr>
          <w:rFonts w:ascii="Century Schoolbook" w:eastAsia="Times New Roman" w:hAnsi="Century Schoolbook" w:cs="Times New Roman"/>
          <w:color w:val="000000"/>
        </w:rPr>
        <w:t xml:space="preserve"> find that </w:t>
      </w:r>
      <w:r w:rsidR="008C1CAE">
        <w:rPr>
          <w:rFonts w:ascii="Century Schoolbook" w:eastAsia="Times New Roman" w:hAnsi="Century Schoolbook" w:cs="Times New Roman"/>
          <w:color w:val="000000"/>
        </w:rPr>
        <w:t xml:space="preserve">the coefficient estimates on </w:t>
      </w:r>
      <w:r w:rsidR="008C1CAE">
        <w:rPr>
          <w:rFonts w:ascii="Century Schoolbook" w:eastAsia="Times New Roman" w:hAnsi="Century Schoolbook" w:cs="Times New Roman"/>
          <w:i/>
          <w:color w:val="000000"/>
        </w:rPr>
        <w:t>Slow</w:t>
      </w:r>
      <w:r w:rsidR="008C1CAE">
        <w:rPr>
          <w:rFonts w:ascii="Century Schoolbook" w:eastAsia="Times New Roman" w:hAnsi="Century Schoolbook" w:cs="Times New Roman"/>
          <w:color w:val="000000"/>
        </w:rPr>
        <w:t xml:space="preserve"> and </w:t>
      </w:r>
      <w:r w:rsidR="008C1CAE">
        <w:rPr>
          <w:rFonts w:ascii="Century Schoolbook" w:eastAsia="Times New Roman" w:hAnsi="Century Schoolbook" w:cs="Times New Roman"/>
          <w:i/>
          <w:color w:val="000000"/>
        </w:rPr>
        <w:t>Fast</w:t>
      </w:r>
      <w:r w:rsidR="008C1CAE">
        <w:rPr>
          <w:rFonts w:ascii="Century Schoolbook" w:eastAsia="Times New Roman" w:hAnsi="Century Schoolbook" w:cs="Times New Roman"/>
          <w:color w:val="000000"/>
        </w:rPr>
        <w:t xml:space="preserve"> remain </w:t>
      </w:r>
      <w:r w:rsidR="00673E45">
        <w:rPr>
          <w:rFonts w:ascii="Century Schoolbook" w:eastAsia="Times New Roman" w:hAnsi="Century Schoolbook" w:cs="Times New Roman"/>
          <w:color w:val="000000"/>
        </w:rPr>
        <w:t>strongly</w:t>
      </w:r>
      <w:r w:rsidR="008C1CAE">
        <w:rPr>
          <w:rFonts w:ascii="Century Schoolbook" w:eastAsia="Times New Roman" w:hAnsi="Century Schoolbook" w:cs="Times New Roman"/>
          <w:color w:val="000000"/>
        </w:rPr>
        <w:t xml:space="preserve"> significant</w:t>
      </w:r>
      <w:r w:rsidR="0079511D">
        <w:rPr>
          <w:rFonts w:ascii="Century Schoolbook" w:eastAsia="Times New Roman" w:hAnsi="Century Schoolbook" w:cs="Times New Roman"/>
          <w:color w:val="000000"/>
        </w:rPr>
        <w:t xml:space="preserve"> </w:t>
      </w:r>
      <w:r w:rsidR="008C1CAE">
        <w:rPr>
          <w:rFonts w:ascii="Century Schoolbook" w:eastAsia="Times New Roman" w:hAnsi="Century Schoolbook" w:cs="Times New Roman"/>
          <w:color w:val="000000"/>
        </w:rPr>
        <w:t>and are in the expected direction</w:t>
      </w:r>
      <w:r w:rsidR="0079511D">
        <w:rPr>
          <w:rFonts w:ascii="Century Schoolbook" w:eastAsia="Times New Roman" w:hAnsi="Century Schoolbook" w:cs="Times New Roman"/>
          <w:color w:val="000000"/>
        </w:rPr>
        <w:t xml:space="preserve"> after more controls for recommendation triggers are added to the model.</w:t>
      </w:r>
      <w:r w:rsidR="008C1CAE">
        <w:rPr>
          <w:rFonts w:ascii="Century Schoolbook" w:eastAsia="Times New Roman" w:hAnsi="Century Schoolbook" w:cs="Times New Roman"/>
          <w:color w:val="000000"/>
        </w:rPr>
        <w:t xml:space="preserve"> Import</w:t>
      </w:r>
      <w:r w:rsidR="00673E45">
        <w:rPr>
          <w:rFonts w:ascii="Century Schoolbook" w:eastAsia="Times New Roman" w:hAnsi="Century Schoolbook" w:cs="Times New Roman"/>
          <w:color w:val="000000"/>
        </w:rPr>
        <w:t xml:space="preserve">antly, these estimates are </w:t>
      </w:r>
      <w:r w:rsidR="008C1CAE">
        <w:rPr>
          <w:rFonts w:ascii="Century Schoolbook" w:eastAsia="Times New Roman" w:hAnsi="Century Schoolbook" w:cs="Times New Roman"/>
          <w:color w:val="000000"/>
        </w:rPr>
        <w:t xml:space="preserve">similar in magnitude relative to their baseline estimates in Columns (1) and (4). </w:t>
      </w:r>
      <w:r w:rsidR="002621AB">
        <w:rPr>
          <w:rFonts w:ascii="Century Schoolbook" w:eastAsia="Times New Roman" w:hAnsi="Century Schoolbook" w:cs="Times New Roman"/>
          <w:color w:val="000000"/>
        </w:rPr>
        <w:t xml:space="preserve">For instance, the proportion of hazard ratios for </w:t>
      </w:r>
      <w:r w:rsidR="002621AB">
        <w:rPr>
          <w:rFonts w:ascii="Century Schoolbook" w:eastAsia="Times New Roman" w:hAnsi="Century Schoolbook" w:cs="Times New Roman"/>
          <w:i/>
          <w:color w:val="000000"/>
        </w:rPr>
        <w:t>Slow</w:t>
      </w:r>
      <w:r w:rsidR="002621AB">
        <w:rPr>
          <w:rFonts w:ascii="Century Schoolbook" w:eastAsia="Times New Roman" w:hAnsi="Century Schoolbook" w:cs="Times New Roman"/>
          <w:color w:val="000000"/>
        </w:rPr>
        <w:t xml:space="preserve"> and </w:t>
      </w:r>
      <w:r w:rsidR="002621AB">
        <w:rPr>
          <w:rFonts w:ascii="Century Schoolbook" w:eastAsia="Times New Roman" w:hAnsi="Century Schoolbook" w:cs="Times New Roman"/>
          <w:i/>
          <w:color w:val="000000"/>
        </w:rPr>
        <w:t xml:space="preserve">Fast </w:t>
      </w:r>
      <w:r w:rsidR="002621AB">
        <w:rPr>
          <w:rFonts w:ascii="Century Schoolbook" w:eastAsia="Times New Roman" w:hAnsi="Century Schoolbook" w:cs="Times New Roman"/>
          <w:color w:val="000000"/>
        </w:rPr>
        <w:t xml:space="preserve">in Column (6) is 1.47/0.77 </w:t>
      </w:r>
      <w:r w:rsidR="002621AB">
        <w:rPr>
          <w:rFonts w:ascii="Calibri" w:eastAsia="Times New Roman" w:hAnsi="Calibri" w:cs="Times New Roman"/>
          <w:color w:val="000000"/>
        </w:rPr>
        <w:t xml:space="preserve">≈ </w:t>
      </w:r>
      <w:r w:rsidR="002621AB">
        <w:rPr>
          <w:rFonts w:ascii="Century Schoolbook" w:eastAsia="Times New Roman" w:hAnsi="Century Schoolbook" w:cs="Times New Roman"/>
          <w:color w:val="000000"/>
        </w:rPr>
        <w:t xml:space="preserve">1.9. This implies that on any given week, a fast-turnover analyst is almost twice more likely to revise his recommendation relative to a slow-turnover analyst. </w:t>
      </w:r>
      <w:r>
        <w:rPr>
          <w:rFonts w:ascii="Century Schoolbook" w:eastAsia="Times New Roman" w:hAnsi="Century Schoolbook" w:cs="Times New Roman"/>
          <w:color w:val="000000"/>
        </w:rPr>
        <w:t>These findings</w:t>
      </w:r>
      <w:r w:rsidR="00B129C1">
        <w:rPr>
          <w:rFonts w:ascii="Century Schoolbook" w:eastAsia="Times New Roman" w:hAnsi="Century Schoolbook" w:cs="Times New Roman"/>
          <w:color w:val="000000"/>
        </w:rPr>
        <w:t xml:space="preserve"> indicate</w:t>
      </w:r>
      <w:r w:rsidR="001B7D59">
        <w:rPr>
          <w:rFonts w:ascii="Century Schoolbook" w:eastAsia="Times New Roman" w:hAnsi="Century Schoolbook" w:cs="Times New Roman"/>
          <w:color w:val="000000"/>
        </w:rPr>
        <w:t xml:space="preserve"> </w:t>
      </w:r>
      <w:r w:rsidR="008C1CAE">
        <w:rPr>
          <w:rFonts w:ascii="Century Schoolbook" w:eastAsia="Times New Roman" w:hAnsi="Century Schoolbook" w:cs="Times New Roman"/>
          <w:color w:val="000000"/>
        </w:rPr>
        <w:t>that analysts’ past revision</w:t>
      </w:r>
      <w:r w:rsidR="001B7D59">
        <w:rPr>
          <w:rFonts w:ascii="Century Schoolbook" w:eastAsia="Times New Roman" w:hAnsi="Century Schoolbook" w:cs="Times New Roman"/>
          <w:color w:val="000000"/>
        </w:rPr>
        <w:t>-speed</w:t>
      </w:r>
      <w:r w:rsidR="008C1CAE">
        <w:rPr>
          <w:rFonts w:ascii="Century Schoolbook" w:eastAsia="Times New Roman" w:hAnsi="Century Schoolbook" w:cs="Times New Roman"/>
          <w:color w:val="000000"/>
        </w:rPr>
        <w:t xml:space="preserve"> patterns is a robust predictor of the rate at which </w:t>
      </w:r>
      <w:r w:rsidR="001B7D59">
        <w:rPr>
          <w:rFonts w:ascii="Century Schoolbook" w:eastAsia="Times New Roman" w:hAnsi="Century Schoolbook" w:cs="Times New Roman"/>
          <w:color w:val="000000"/>
        </w:rPr>
        <w:t xml:space="preserve">they </w:t>
      </w:r>
      <w:r w:rsidR="008C1CAE">
        <w:rPr>
          <w:rFonts w:ascii="Century Schoolbook" w:eastAsia="Times New Roman" w:hAnsi="Century Schoolbook" w:cs="Times New Roman"/>
          <w:color w:val="000000"/>
        </w:rPr>
        <w:t>will revise future recommendation.</w:t>
      </w:r>
    </w:p>
    <w:p w14:paraId="3F844D98" w14:textId="77777777" w:rsidR="00673E45" w:rsidRDefault="00673E45" w:rsidP="00673E45">
      <w:pPr>
        <w:autoSpaceDE w:val="0"/>
        <w:autoSpaceDN w:val="0"/>
        <w:adjustRightInd w:val="0"/>
        <w:spacing w:after="0" w:line="480" w:lineRule="auto"/>
        <w:ind w:firstLine="360"/>
        <w:jc w:val="both"/>
        <w:rPr>
          <w:rFonts w:ascii="Century Schoolbook" w:eastAsia="Times New Roman" w:hAnsi="Century Schoolbook" w:cs="Times New Roman"/>
          <w:color w:val="000000"/>
        </w:rPr>
      </w:pPr>
    </w:p>
    <w:p w14:paraId="479AF184" w14:textId="01F96E72" w:rsidR="00E354EB" w:rsidRPr="00D33D99" w:rsidRDefault="00C72BDB" w:rsidP="00A00DFF">
      <w:pPr>
        <w:pStyle w:val="ListParagraph"/>
        <w:numPr>
          <w:ilvl w:val="1"/>
          <w:numId w:val="3"/>
        </w:numPr>
        <w:spacing w:line="480" w:lineRule="auto"/>
        <w:ind w:left="450" w:hanging="450"/>
        <w:rPr>
          <w:rFonts w:ascii="Century Schoolbook" w:hAnsi="Century Schoolbook" w:cs="Times New Roman"/>
          <w:b/>
          <w:i/>
        </w:rPr>
      </w:pPr>
      <w:r w:rsidRPr="00D33D99">
        <w:rPr>
          <w:rFonts w:ascii="Century Schoolbook" w:hAnsi="Century Schoolbook" w:cs="Times New Roman"/>
          <w:b/>
          <w:i/>
        </w:rPr>
        <w:lastRenderedPageBreak/>
        <w:t>R</w:t>
      </w:r>
      <w:r w:rsidR="00E354EB" w:rsidRPr="00D33D99">
        <w:rPr>
          <w:rFonts w:ascii="Century Schoolbook" w:hAnsi="Century Schoolbook" w:cs="Times New Roman"/>
          <w:b/>
          <w:i/>
        </w:rPr>
        <w:t xml:space="preserve">ecommendation </w:t>
      </w:r>
      <w:r w:rsidR="00110E69" w:rsidRPr="00D33D99">
        <w:rPr>
          <w:rFonts w:ascii="Century Schoolbook" w:hAnsi="Century Schoolbook" w:cs="Times New Roman"/>
          <w:b/>
          <w:i/>
        </w:rPr>
        <w:t>speed-style</w:t>
      </w:r>
      <w:r w:rsidR="00412E0E" w:rsidRPr="00D33D99">
        <w:rPr>
          <w:rFonts w:ascii="Century Schoolbook" w:hAnsi="Century Schoolbook" w:cs="Times New Roman"/>
          <w:b/>
          <w:i/>
        </w:rPr>
        <w:t xml:space="preserve"> and </w:t>
      </w:r>
      <w:r w:rsidRPr="00D33D99">
        <w:rPr>
          <w:rFonts w:ascii="Century Schoolbook" w:hAnsi="Century Schoolbook" w:cs="Times New Roman"/>
          <w:b/>
          <w:i/>
        </w:rPr>
        <w:t>analyst characteristics</w:t>
      </w:r>
    </w:p>
    <w:p w14:paraId="1E9EB482" w14:textId="02678324" w:rsidR="00DD33A8" w:rsidRDefault="00582994" w:rsidP="00A00DFF">
      <w:pPr>
        <w:spacing w:line="480" w:lineRule="auto"/>
        <w:ind w:firstLine="284"/>
        <w:jc w:val="both"/>
      </w:pPr>
      <w:r>
        <w:rPr>
          <w:rFonts w:ascii="Century Schoolbook" w:hAnsi="Century Schoolbook" w:cs="Times New Roman"/>
        </w:rPr>
        <w:t xml:space="preserve">We </w:t>
      </w:r>
      <w:r w:rsidR="007832E2">
        <w:rPr>
          <w:rFonts w:ascii="Century Schoolbook" w:hAnsi="Century Schoolbook" w:cs="Times New Roman"/>
        </w:rPr>
        <w:t xml:space="preserve">next </w:t>
      </w:r>
      <w:r>
        <w:rPr>
          <w:rFonts w:ascii="Century Schoolbook" w:hAnsi="Century Schoolbook" w:cs="Times New Roman"/>
        </w:rPr>
        <w:t xml:space="preserve">examine </w:t>
      </w:r>
      <w:r w:rsidR="007832E2">
        <w:rPr>
          <w:rFonts w:ascii="Century Schoolbook" w:hAnsi="Century Schoolbook" w:cs="Times New Roman"/>
        </w:rPr>
        <w:t xml:space="preserve">which analyst characteristics are associated </w:t>
      </w:r>
      <w:r w:rsidR="0023406F">
        <w:rPr>
          <w:rFonts w:ascii="Century Schoolbook" w:hAnsi="Century Schoolbook" w:cs="Times New Roman"/>
        </w:rPr>
        <w:t xml:space="preserve">with different recommendation speed-styles. </w:t>
      </w:r>
      <w:r w:rsidR="007832E2">
        <w:rPr>
          <w:rFonts w:ascii="Century Schoolbook" w:hAnsi="Century Schoolbook" w:cs="Times New Roman"/>
        </w:rPr>
        <w:t>We</w:t>
      </w:r>
      <w:r>
        <w:rPr>
          <w:rFonts w:ascii="Century Schoolbook" w:hAnsi="Century Schoolbook" w:cs="Times New Roman"/>
        </w:rPr>
        <w:t xml:space="preserve"> estimate three logit models. In the first </w:t>
      </w:r>
      <w:r w:rsidR="0023406F">
        <w:rPr>
          <w:rFonts w:ascii="Century Schoolbook" w:hAnsi="Century Schoolbook" w:cs="Times New Roman"/>
        </w:rPr>
        <w:t xml:space="preserve">model, the dependent variable is an indicator function that is equal to 1 if the analyst in </w:t>
      </w:r>
      <w:r>
        <w:rPr>
          <w:rFonts w:ascii="Century Schoolbook" w:hAnsi="Century Schoolbook" w:cs="Times New Roman"/>
        </w:rPr>
        <w:t xml:space="preserve">year </w:t>
      </w:r>
      <w:r>
        <w:rPr>
          <w:rFonts w:ascii="Century Schoolbook" w:hAnsi="Century Schoolbook" w:cs="Times New Roman"/>
          <w:i/>
        </w:rPr>
        <w:t>t</w:t>
      </w:r>
      <w:r>
        <w:rPr>
          <w:rFonts w:ascii="Century Schoolbook" w:hAnsi="Century Schoolbook" w:cs="Times New Roman"/>
        </w:rPr>
        <w:t xml:space="preserve"> belongs to the </w:t>
      </w:r>
      <w:r w:rsidRPr="0023406F">
        <w:rPr>
          <w:rFonts w:ascii="Century Schoolbook" w:hAnsi="Century Schoolbook" w:cs="Times New Roman"/>
          <w:i/>
        </w:rPr>
        <w:t>Slow-turnover</w:t>
      </w:r>
      <w:r>
        <w:rPr>
          <w:rFonts w:ascii="Century Schoolbook" w:hAnsi="Century Schoolbook" w:cs="Times New Roman"/>
        </w:rPr>
        <w:t xml:space="preserve"> group, and</w:t>
      </w:r>
      <w:r w:rsidR="0023406F">
        <w:rPr>
          <w:rFonts w:ascii="Century Schoolbook" w:hAnsi="Century Schoolbook" w:cs="Times New Roman"/>
        </w:rPr>
        <w:t xml:space="preserve"> 0 </w:t>
      </w:r>
      <w:r>
        <w:rPr>
          <w:rFonts w:ascii="Century Schoolbook" w:hAnsi="Century Schoolbook" w:cs="Times New Roman"/>
        </w:rPr>
        <w:t xml:space="preserve">otherwise. </w:t>
      </w:r>
      <w:r w:rsidR="0023406F">
        <w:rPr>
          <w:rFonts w:ascii="Century Schoolbook" w:hAnsi="Century Schoolbook" w:cs="Times New Roman"/>
        </w:rPr>
        <w:t>Similarly</w:t>
      </w:r>
      <w:r>
        <w:rPr>
          <w:rFonts w:ascii="Century Schoolbook" w:hAnsi="Century Schoolbook" w:cs="Times New Roman"/>
        </w:rPr>
        <w:t xml:space="preserve">, in the </w:t>
      </w:r>
      <w:r w:rsidR="0023406F">
        <w:rPr>
          <w:rFonts w:ascii="Century Schoolbook" w:hAnsi="Century Schoolbook" w:cs="Times New Roman"/>
        </w:rPr>
        <w:t xml:space="preserve">second and third specifications, </w:t>
      </w:r>
      <w:r>
        <w:rPr>
          <w:rFonts w:ascii="Century Schoolbook" w:hAnsi="Century Schoolbook" w:cs="Times New Roman"/>
        </w:rPr>
        <w:t>the dependent variable</w:t>
      </w:r>
      <w:r w:rsidR="0023406F">
        <w:rPr>
          <w:rFonts w:ascii="Century Schoolbook" w:hAnsi="Century Schoolbook" w:cs="Times New Roman"/>
        </w:rPr>
        <w:t xml:space="preserve"> is an indicator function that is equal to 1</w:t>
      </w:r>
      <w:r>
        <w:rPr>
          <w:rFonts w:ascii="Century Schoolbook" w:hAnsi="Century Schoolbook" w:cs="Times New Roman"/>
        </w:rPr>
        <w:t xml:space="preserve"> </w:t>
      </w:r>
      <w:r w:rsidR="0023406F">
        <w:rPr>
          <w:rFonts w:ascii="Century Schoolbook" w:hAnsi="Century Schoolbook" w:cs="Times New Roman"/>
        </w:rPr>
        <w:t xml:space="preserve">if the </w:t>
      </w:r>
      <w:r>
        <w:rPr>
          <w:rFonts w:ascii="Century Schoolbook" w:hAnsi="Century Schoolbook" w:cs="Times New Roman"/>
        </w:rPr>
        <w:t xml:space="preserve">analyst on year </w:t>
      </w:r>
      <w:r>
        <w:rPr>
          <w:rFonts w:ascii="Century Schoolbook" w:hAnsi="Century Schoolbook" w:cs="Times New Roman"/>
          <w:i/>
        </w:rPr>
        <w:t>t</w:t>
      </w:r>
      <w:r>
        <w:rPr>
          <w:rFonts w:ascii="Century Schoolbook" w:hAnsi="Century Schoolbook" w:cs="Times New Roman"/>
        </w:rPr>
        <w:t xml:space="preserve"> belongs to the </w:t>
      </w:r>
      <w:r w:rsidR="0023406F">
        <w:rPr>
          <w:rFonts w:ascii="Century Schoolbook" w:hAnsi="Century Schoolbook" w:cs="Times New Roman"/>
          <w:i/>
        </w:rPr>
        <w:t>Average-turnover</w:t>
      </w:r>
      <w:r>
        <w:rPr>
          <w:rFonts w:ascii="Century Schoolbook" w:hAnsi="Century Schoolbook" w:cs="Times New Roman"/>
        </w:rPr>
        <w:t xml:space="preserve"> and </w:t>
      </w:r>
      <w:r w:rsidR="0023406F">
        <w:rPr>
          <w:rFonts w:ascii="Century Schoolbook" w:hAnsi="Century Schoolbook" w:cs="Times New Roman"/>
          <w:i/>
        </w:rPr>
        <w:t>Fast-turnover</w:t>
      </w:r>
      <w:r>
        <w:rPr>
          <w:rFonts w:ascii="Century Schoolbook" w:hAnsi="Century Schoolbook" w:cs="Times New Roman"/>
        </w:rPr>
        <w:t xml:space="preserve"> group</w:t>
      </w:r>
      <w:r w:rsidR="0023406F">
        <w:rPr>
          <w:rFonts w:ascii="Century Schoolbook" w:hAnsi="Century Schoolbook" w:cs="Times New Roman"/>
        </w:rPr>
        <w:t xml:space="preserve">, </w:t>
      </w:r>
      <w:r>
        <w:rPr>
          <w:rFonts w:ascii="Century Schoolbook" w:hAnsi="Century Schoolbook" w:cs="Times New Roman"/>
        </w:rPr>
        <w:t>respectively, and zero otherwise.</w:t>
      </w:r>
      <w:r w:rsidR="00D23BE5">
        <w:rPr>
          <w:rStyle w:val="FootnoteReference"/>
          <w:rFonts w:ascii="Century Schoolbook" w:hAnsi="Century Schoolbook" w:cs="Times New Roman"/>
        </w:rPr>
        <w:footnoteReference w:id="15"/>
      </w:r>
      <w:r w:rsidR="00D23BE5">
        <w:rPr>
          <w:rFonts w:ascii="Century Schoolbook" w:hAnsi="Century Schoolbook" w:cs="Times New Roman"/>
        </w:rPr>
        <w:t xml:space="preserve"> </w:t>
      </w:r>
    </w:p>
    <w:p w14:paraId="43B4F0AF" w14:textId="48A90A60" w:rsidR="00582994" w:rsidRPr="00B47CE9" w:rsidRDefault="005349F1" w:rsidP="00A00DFF">
      <w:pPr>
        <w:spacing w:line="480" w:lineRule="auto"/>
        <w:ind w:firstLine="284"/>
        <w:jc w:val="both"/>
        <w:rPr>
          <w:rFonts w:ascii="Century Schoolbook" w:hAnsi="Century Schoolbook" w:cs="Times New Roman"/>
        </w:rPr>
      </w:pPr>
      <w:r>
        <w:rPr>
          <w:rFonts w:ascii="Century Schoolbook" w:hAnsi="Century Schoolbook" w:cs="Times New Roman"/>
        </w:rPr>
        <w:t xml:space="preserve">Table 4 reports the results. </w:t>
      </w:r>
      <w:r w:rsidR="00582994">
        <w:rPr>
          <w:rFonts w:ascii="Century Schoolbook" w:hAnsi="Century Schoolbook" w:cs="Times New Roman"/>
        </w:rPr>
        <w:t xml:space="preserve">All independent variables are analyst-level characteristics and are defined in Appendix A. We first examine the set of variables </w:t>
      </w:r>
      <w:r w:rsidR="003D6FA2">
        <w:rPr>
          <w:rFonts w:ascii="Century Schoolbook" w:hAnsi="Century Schoolbook" w:cs="Times New Roman"/>
        </w:rPr>
        <w:t xml:space="preserve">that are </w:t>
      </w:r>
      <w:r w:rsidR="00582994">
        <w:rPr>
          <w:rFonts w:ascii="Century Schoolbook" w:hAnsi="Century Schoolbook" w:cs="Times New Roman"/>
        </w:rPr>
        <w:t>related to analysts’ career outcome</w:t>
      </w:r>
      <w:r w:rsidR="003D6FA2">
        <w:rPr>
          <w:rFonts w:ascii="Century Schoolbook" w:hAnsi="Century Schoolbook" w:cs="Times New Roman"/>
        </w:rPr>
        <w:t>s</w:t>
      </w:r>
      <w:r w:rsidR="00582994">
        <w:rPr>
          <w:rFonts w:ascii="Century Schoolbook" w:hAnsi="Century Schoolbook" w:cs="Times New Roman"/>
        </w:rPr>
        <w:t xml:space="preserve">. </w:t>
      </w:r>
      <w:r w:rsidR="00AD6DCA">
        <w:rPr>
          <w:rFonts w:ascii="Century Schoolbook" w:hAnsi="Century Schoolbook" w:cs="Times New Roman"/>
        </w:rPr>
        <w:t xml:space="preserve">Looking at </w:t>
      </w:r>
      <w:r w:rsidR="003D6FA2">
        <w:rPr>
          <w:rFonts w:ascii="Century Schoolbook" w:hAnsi="Century Schoolbook" w:cs="Times New Roman"/>
        </w:rPr>
        <w:t>Column (1)</w:t>
      </w:r>
      <w:r w:rsidR="00AD6DCA">
        <w:rPr>
          <w:rFonts w:ascii="Century Schoolbook" w:hAnsi="Century Schoolbook" w:cs="Times New Roman"/>
        </w:rPr>
        <w:t xml:space="preserve">, we find </w:t>
      </w:r>
      <w:r w:rsidR="003D6FA2">
        <w:rPr>
          <w:rFonts w:ascii="Century Schoolbook" w:hAnsi="Century Schoolbook" w:cs="Times New Roman"/>
        </w:rPr>
        <w:t>that</w:t>
      </w:r>
      <w:r w:rsidR="00582994">
        <w:rPr>
          <w:rFonts w:ascii="Century Schoolbook" w:hAnsi="Century Schoolbook" w:cs="Times New Roman"/>
        </w:rPr>
        <w:t xml:space="preserve"> </w:t>
      </w:r>
      <w:r w:rsidR="00582994" w:rsidRPr="00160BFC">
        <w:rPr>
          <w:rFonts w:ascii="Century Schoolbook" w:hAnsi="Century Schoolbook" w:cs="Times New Roman"/>
          <w:i/>
        </w:rPr>
        <w:t>General Experience</w:t>
      </w:r>
      <w:r w:rsidR="00F059E9">
        <w:rPr>
          <w:rFonts w:ascii="Century Schoolbook" w:hAnsi="Century Schoolbook" w:cs="Times New Roman"/>
          <w:i/>
        </w:rPr>
        <w:t xml:space="preserve"> (</w:t>
      </w:r>
      <w:r w:rsidR="00710CAC">
        <w:rPr>
          <w:rFonts w:ascii="Century Schoolbook" w:hAnsi="Century Schoolbook" w:cs="Times New Roman"/>
        </w:rPr>
        <w:t>the number of years since an</w:t>
      </w:r>
      <w:r w:rsidR="00F059E9">
        <w:rPr>
          <w:rFonts w:ascii="Century Schoolbook" w:hAnsi="Century Schoolbook" w:cs="Times New Roman"/>
        </w:rPr>
        <w:t xml:space="preserve"> analyst’s first recommendation),</w:t>
      </w:r>
      <w:r w:rsidR="00582994">
        <w:rPr>
          <w:rFonts w:ascii="Century Schoolbook" w:hAnsi="Century Schoolbook" w:cs="Times New Roman"/>
        </w:rPr>
        <w:t xml:space="preserve"> </w:t>
      </w:r>
      <w:r w:rsidR="00582994" w:rsidRPr="00160BFC">
        <w:rPr>
          <w:rFonts w:ascii="Century Schoolbook" w:hAnsi="Century Schoolbook" w:cs="Times New Roman"/>
          <w:i/>
        </w:rPr>
        <w:t>All-star</w:t>
      </w:r>
      <w:r w:rsidR="00710CAC">
        <w:rPr>
          <w:rFonts w:ascii="Century Schoolbook" w:hAnsi="Century Schoolbook" w:cs="Times New Roman"/>
          <w:i/>
        </w:rPr>
        <w:t xml:space="preserve"> </w:t>
      </w:r>
      <w:r w:rsidR="00710CAC">
        <w:rPr>
          <w:rFonts w:ascii="Century Schoolbook" w:hAnsi="Century Schoolbook" w:cs="Times New Roman"/>
        </w:rPr>
        <w:t>(</w:t>
      </w:r>
      <w:r w:rsidR="007942F6">
        <w:rPr>
          <w:rFonts w:ascii="Century Schoolbook" w:hAnsi="Century Schoolbook" w:cs="Times New Roman"/>
        </w:rPr>
        <w:t xml:space="preserve">a </w:t>
      </w:r>
      <w:r w:rsidR="00F059E9">
        <w:rPr>
          <w:rFonts w:ascii="Century Schoolbook" w:hAnsi="Century Schoolbook" w:cs="Times New Roman"/>
        </w:rPr>
        <w:t xml:space="preserve">dummy equal to one </w:t>
      </w:r>
      <w:r w:rsidR="00047FAC">
        <w:rPr>
          <w:rFonts w:ascii="Century Schoolbook" w:hAnsi="Century Schoolbook" w:cs="Times New Roman"/>
        </w:rPr>
        <w:t xml:space="preserve">if the analyst is currently </w:t>
      </w:r>
      <w:r w:rsidR="00710CAC">
        <w:rPr>
          <w:rFonts w:ascii="Century Schoolbook" w:hAnsi="Century Schoolbook" w:cs="Times New Roman"/>
        </w:rPr>
        <w:t xml:space="preserve">elected to the </w:t>
      </w:r>
      <w:r w:rsidR="00710CAC" w:rsidRPr="00047FAC">
        <w:rPr>
          <w:rFonts w:ascii="Century Schoolbook" w:hAnsi="Century Schoolbook" w:cs="Times New Roman"/>
          <w:i/>
        </w:rPr>
        <w:t>Institutional Investor’s</w:t>
      </w:r>
      <w:r w:rsidR="00710CAC">
        <w:rPr>
          <w:rFonts w:ascii="Century Schoolbook" w:hAnsi="Century Schoolbook" w:cs="Times New Roman"/>
        </w:rPr>
        <w:t xml:space="preserve"> </w:t>
      </w:r>
      <w:r w:rsidR="00047FAC">
        <w:rPr>
          <w:rFonts w:ascii="Century Schoolbook" w:hAnsi="Century Schoolbook" w:cs="Times New Roman"/>
        </w:rPr>
        <w:t xml:space="preserve">All-American </w:t>
      </w:r>
      <w:r w:rsidR="00710CAC">
        <w:rPr>
          <w:rFonts w:ascii="Century Schoolbook" w:hAnsi="Century Schoolbook" w:cs="Times New Roman"/>
        </w:rPr>
        <w:t>annual ranking)</w:t>
      </w:r>
      <w:r w:rsidR="00582994">
        <w:rPr>
          <w:rFonts w:ascii="Century Schoolbook" w:hAnsi="Century Schoolbook" w:cs="Times New Roman"/>
        </w:rPr>
        <w:t xml:space="preserve">, and </w:t>
      </w:r>
      <w:r w:rsidR="00582994">
        <w:rPr>
          <w:rFonts w:ascii="Century Schoolbook" w:hAnsi="Century Schoolbook" w:cs="Times New Roman"/>
          <w:i/>
        </w:rPr>
        <w:t>Top Broker</w:t>
      </w:r>
      <w:r w:rsidR="00710CAC">
        <w:rPr>
          <w:rFonts w:ascii="Century Schoolbook" w:hAnsi="Century Schoolbook" w:cs="Times New Roman"/>
          <w:i/>
        </w:rPr>
        <w:t xml:space="preserve"> </w:t>
      </w:r>
      <w:r w:rsidR="00710CAC">
        <w:rPr>
          <w:rFonts w:ascii="Century Schoolbook" w:hAnsi="Century Schoolbook" w:cs="Times New Roman"/>
        </w:rPr>
        <w:t>(</w:t>
      </w:r>
      <w:r w:rsidR="007942F6">
        <w:rPr>
          <w:rFonts w:ascii="Century Schoolbook" w:hAnsi="Century Schoolbook" w:cs="Times New Roman"/>
        </w:rPr>
        <w:t xml:space="preserve">a </w:t>
      </w:r>
      <w:r w:rsidR="00047FAC">
        <w:rPr>
          <w:rFonts w:ascii="Century Schoolbook" w:hAnsi="Century Schoolbook" w:cs="Times New Roman"/>
        </w:rPr>
        <w:t xml:space="preserve">dummy equal to if the analyst’s brokerage ranks in the </w:t>
      </w:r>
      <w:r w:rsidR="00710CAC">
        <w:rPr>
          <w:rFonts w:ascii="Century Schoolbook" w:hAnsi="Century Schoolbook" w:cs="Times New Roman"/>
        </w:rPr>
        <w:t xml:space="preserve">top decile </w:t>
      </w:r>
      <w:r w:rsidR="00047FAC">
        <w:rPr>
          <w:rFonts w:ascii="Century Schoolbook" w:hAnsi="Century Schoolbook" w:cs="Times New Roman"/>
        </w:rPr>
        <w:t>by size in a given year</w:t>
      </w:r>
      <w:r w:rsidR="00710CAC">
        <w:rPr>
          <w:rFonts w:ascii="Century Schoolbook" w:hAnsi="Century Schoolbook" w:cs="Times New Roman"/>
        </w:rPr>
        <w:t>)</w:t>
      </w:r>
      <w:r w:rsidR="003D6FA2">
        <w:rPr>
          <w:rFonts w:ascii="Century Schoolbook" w:hAnsi="Century Schoolbook" w:cs="Times New Roman"/>
        </w:rPr>
        <w:t xml:space="preserve"> are</w:t>
      </w:r>
      <w:r w:rsidR="00582994">
        <w:rPr>
          <w:rFonts w:ascii="Century Schoolbook" w:hAnsi="Century Schoolbook" w:cs="Times New Roman"/>
        </w:rPr>
        <w:t xml:space="preserve"> positively and significantly associated with the probability that an analyst </w:t>
      </w:r>
      <w:r w:rsidR="003D6FA2">
        <w:rPr>
          <w:rFonts w:ascii="Century Schoolbook" w:hAnsi="Century Schoolbook" w:cs="Times New Roman"/>
        </w:rPr>
        <w:t xml:space="preserve">is identified with the slow-turnover group. </w:t>
      </w:r>
      <w:r w:rsidR="002601D8">
        <w:rPr>
          <w:rFonts w:ascii="Century Schoolbook" w:hAnsi="Century Schoolbook" w:cs="Times New Roman"/>
        </w:rPr>
        <w:t xml:space="preserve">This finding </w:t>
      </w:r>
      <w:r w:rsidR="003D6FA2">
        <w:rPr>
          <w:rFonts w:ascii="Century Schoolbook" w:hAnsi="Century Schoolbook" w:cs="Times New Roman"/>
        </w:rPr>
        <w:t>indicate</w:t>
      </w:r>
      <w:r w:rsidR="002601D8">
        <w:rPr>
          <w:rFonts w:ascii="Century Schoolbook" w:hAnsi="Century Schoolbook" w:cs="Times New Roman"/>
        </w:rPr>
        <w:t>s</w:t>
      </w:r>
      <w:r w:rsidR="003D6FA2">
        <w:rPr>
          <w:rFonts w:ascii="Century Schoolbook" w:hAnsi="Century Schoolbook" w:cs="Times New Roman"/>
        </w:rPr>
        <w:t xml:space="preserve"> that slow-turnover analysts tend to have better career outcome</w:t>
      </w:r>
      <w:r w:rsidR="00AD6DCA">
        <w:rPr>
          <w:rFonts w:ascii="Century Schoolbook" w:hAnsi="Century Schoolbook" w:cs="Times New Roman"/>
        </w:rPr>
        <w:t>s</w:t>
      </w:r>
      <w:r w:rsidR="003D6FA2">
        <w:rPr>
          <w:rFonts w:ascii="Century Schoolbook" w:hAnsi="Century Schoolbook" w:cs="Times New Roman"/>
        </w:rPr>
        <w:t xml:space="preserve"> in the sense that they have</w:t>
      </w:r>
      <w:r w:rsidR="00AD6DCA">
        <w:rPr>
          <w:rFonts w:ascii="Century Schoolbook" w:hAnsi="Century Schoolbook" w:cs="Times New Roman"/>
        </w:rPr>
        <w:t xml:space="preserve"> a longer </w:t>
      </w:r>
      <w:r w:rsidR="003D6FA2">
        <w:rPr>
          <w:rFonts w:ascii="Century Schoolbook" w:hAnsi="Century Schoolbook" w:cs="Times New Roman"/>
        </w:rPr>
        <w:t>career, more likely to attain the All-star status, and work for a top brokerage firm.</w:t>
      </w:r>
      <w:r w:rsidR="00AD6DCA">
        <w:rPr>
          <w:rFonts w:ascii="Century Schoolbook" w:hAnsi="Century Schoolbook" w:cs="Times New Roman"/>
        </w:rPr>
        <w:t xml:space="preserve"> </w:t>
      </w:r>
      <w:r w:rsidR="002601D8">
        <w:rPr>
          <w:rFonts w:ascii="Century Schoolbook" w:hAnsi="Century Schoolbook" w:cs="Times New Roman"/>
        </w:rPr>
        <w:t xml:space="preserve">Among these three career-outcome variables, </w:t>
      </w:r>
      <w:r w:rsidR="002601D8">
        <w:rPr>
          <w:rFonts w:ascii="Century Schoolbook" w:hAnsi="Century Schoolbook" w:cs="Times New Roman"/>
          <w:i/>
        </w:rPr>
        <w:t>General Experience</w:t>
      </w:r>
      <w:r w:rsidR="002601D8">
        <w:rPr>
          <w:rFonts w:ascii="Century Schoolbook" w:hAnsi="Century Schoolbook" w:cs="Times New Roman"/>
        </w:rPr>
        <w:t xml:space="preserve"> has the strongest association with slow-turnover analysts with </w:t>
      </w:r>
      <w:r w:rsidR="00A549C8">
        <w:rPr>
          <w:rFonts w:ascii="Century Schoolbook" w:hAnsi="Century Schoolbook" w:cs="Times New Roman"/>
        </w:rPr>
        <w:t xml:space="preserve">a </w:t>
      </w:r>
      <w:r w:rsidR="002601D8">
        <w:rPr>
          <w:rFonts w:ascii="Century Schoolbook" w:hAnsi="Century Schoolbook" w:cs="Times New Roman"/>
        </w:rPr>
        <w:t xml:space="preserve">t-statistic of 27. Looking at the results in Columns (2) and (3) for </w:t>
      </w:r>
      <w:r w:rsidR="00582994">
        <w:rPr>
          <w:rFonts w:ascii="Century Schoolbook" w:hAnsi="Century Schoolbook" w:cs="Times New Roman"/>
        </w:rPr>
        <w:t xml:space="preserve">the </w:t>
      </w:r>
      <w:r w:rsidR="002601D8">
        <w:rPr>
          <w:rFonts w:ascii="Century Schoolbook" w:hAnsi="Century Schoolbook" w:cs="Times New Roman"/>
        </w:rPr>
        <w:t>average- and fast-turnover group,</w:t>
      </w:r>
      <w:r w:rsidR="00582994">
        <w:rPr>
          <w:rFonts w:ascii="Century Schoolbook" w:hAnsi="Century Schoolbook" w:cs="Times New Roman"/>
        </w:rPr>
        <w:t xml:space="preserve"> </w:t>
      </w:r>
      <w:r w:rsidR="002601D8">
        <w:rPr>
          <w:rFonts w:ascii="Century Schoolbook" w:hAnsi="Century Schoolbook" w:cs="Times New Roman"/>
        </w:rPr>
        <w:t xml:space="preserve">we find </w:t>
      </w:r>
      <w:r w:rsidR="00582994">
        <w:rPr>
          <w:rFonts w:ascii="Century Schoolbook" w:hAnsi="Century Schoolbook" w:cs="Times New Roman"/>
        </w:rPr>
        <w:t xml:space="preserve">the coefficients on </w:t>
      </w:r>
      <w:r w:rsidR="002C1EAF">
        <w:rPr>
          <w:rFonts w:ascii="Century Schoolbook" w:hAnsi="Century Schoolbook" w:cs="Times New Roman"/>
        </w:rPr>
        <w:t>the</w:t>
      </w:r>
      <w:r w:rsidR="00582994">
        <w:rPr>
          <w:rFonts w:ascii="Century Schoolbook" w:hAnsi="Century Schoolbook" w:cs="Times New Roman"/>
        </w:rPr>
        <w:t xml:space="preserve"> three variables</w:t>
      </w:r>
      <w:r w:rsidR="002C1EAF">
        <w:rPr>
          <w:rFonts w:ascii="Century Schoolbook" w:hAnsi="Century Schoolbook" w:cs="Times New Roman"/>
        </w:rPr>
        <w:t xml:space="preserve"> </w:t>
      </w:r>
      <w:r w:rsidR="002C1EAF" w:rsidRPr="00160BFC">
        <w:rPr>
          <w:rFonts w:ascii="Century Schoolbook" w:hAnsi="Century Schoolbook" w:cs="Times New Roman"/>
          <w:i/>
        </w:rPr>
        <w:t>General Experience</w:t>
      </w:r>
      <w:r w:rsidR="002C1EAF">
        <w:rPr>
          <w:rFonts w:ascii="Century Schoolbook" w:hAnsi="Century Schoolbook" w:cs="Times New Roman"/>
        </w:rPr>
        <w:t xml:space="preserve">, </w:t>
      </w:r>
      <w:r w:rsidR="002C1EAF" w:rsidRPr="00160BFC">
        <w:rPr>
          <w:rFonts w:ascii="Century Schoolbook" w:hAnsi="Century Schoolbook" w:cs="Times New Roman"/>
          <w:i/>
        </w:rPr>
        <w:t>All-star</w:t>
      </w:r>
      <w:r w:rsidR="002C1EAF">
        <w:rPr>
          <w:rFonts w:ascii="Century Schoolbook" w:hAnsi="Century Schoolbook" w:cs="Times New Roman"/>
        </w:rPr>
        <w:t xml:space="preserve">, and </w:t>
      </w:r>
      <w:r w:rsidR="002C1EAF">
        <w:rPr>
          <w:rFonts w:ascii="Century Schoolbook" w:hAnsi="Century Schoolbook" w:cs="Times New Roman"/>
          <w:i/>
        </w:rPr>
        <w:t>Top Broker</w:t>
      </w:r>
      <w:r w:rsidR="00582994">
        <w:rPr>
          <w:rFonts w:ascii="Century Schoolbook" w:hAnsi="Century Schoolbook" w:cs="Times New Roman"/>
        </w:rPr>
        <w:t xml:space="preserve"> become negative</w:t>
      </w:r>
      <w:r w:rsidR="002C1EAF">
        <w:rPr>
          <w:rFonts w:ascii="Century Schoolbook" w:hAnsi="Century Schoolbook" w:cs="Times New Roman"/>
        </w:rPr>
        <w:t xml:space="preserve">. In particular, the magnitude of the coefficients and their </w:t>
      </w:r>
      <w:r w:rsidR="002C1EAF">
        <w:rPr>
          <w:rFonts w:ascii="Century Schoolbook" w:hAnsi="Century Schoolbook" w:cs="Times New Roman"/>
        </w:rPr>
        <w:lastRenderedPageBreak/>
        <w:t>statistical significance are the largest and strongest for</w:t>
      </w:r>
      <w:r w:rsidR="00582994">
        <w:rPr>
          <w:rFonts w:ascii="Century Schoolbook" w:hAnsi="Century Schoolbook" w:cs="Times New Roman"/>
        </w:rPr>
        <w:t xml:space="preserve"> the </w:t>
      </w:r>
      <w:r w:rsidR="002C1EAF">
        <w:rPr>
          <w:rFonts w:ascii="Century Schoolbook" w:hAnsi="Century Schoolbook" w:cs="Times New Roman"/>
        </w:rPr>
        <w:t>fast-</w:t>
      </w:r>
      <w:r w:rsidR="00582994">
        <w:rPr>
          <w:rFonts w:ascii="Century Schoolbook" w:hAnsi="Century Schoolbook" w:cs="Times New Roman"/>
        </w:rPr>
        <w:t xml:space="preserve">turnover group. Put together, those results show </w:t>
      </w:r>
      <w:r w:rsidR="002C1EAF">
        <w:rPr>
          <w:rFonts w:ascii="Century Schoolbook" w:hAnsi="Century Schoolbook" w:cs="Times New Roman"/>
        </w:rPr>
        <w:t xml:space="preserve">that slower decision-speed style is associated with positive outcomes. </w:t>
      </w:r>
    </w:p>
    <w:p w14:paraId="7D8E0E97" w14:textId="7A481E3D" w:rsidR="00AF0192" w:rsidRDefault="00582994" w:rsidP="00A00DFF">
      <w:pPr>
        <w:spacing w:line="480" w:lineRule="auto"/>
        <w:ind w:firstLine="284"/>
        <w:jc w:val="both"/>
        <w:rPr>
          <w:rFonts w:ascii="Century Schoolbook" w:hAnsi="Century Schoolbook" w:cs="Times New Roman"/>
        </w:rPr>
      </w:pPr>
      <w:r>
        <w:rPr>
          <w:rFonts w:ascii="Century Schoolbook" w:hAnsi="Century Schoolbook" w:cs="Times New Roman"/>
        </w:rPr>
        <w:t xml:space="preserve">We next turn to the characteristics of </w:t>
      </w:r>
      <w:r w:rsidR="00673E45">
        <w:rPr>
          <w:rFonts w:ascii="Century Schoolbook" w:hAnsi="Century Schoolbook" w:cs="Times New Roman"/>
        </w:rPr>
        <w:t xml:space="preserve">stock </w:t>
      </w:r>
      <w:r>
        <w:rPr>
          <w:rFonts w:ascii="Century Schoolbook" w:hAnsi="Century Schoolbook" w:cs="Times New Roman"/>
        </w:rPr>
        <w:t>re</w:t>
      </w:r>
      <w:r w:rsidR="002C1EAF">
        <w:rPr>
          <w:rFonts w:ascii="Century Schoolbook" w:hAnsi="Century Schoolbook" w:cs="Times New Roman"/>
        </w:rPr>
        <w:t xml:space="preserve">commendations that analysts with different recommendation-speed styles make. </w:t>
      </w:r>
      <w:r w:rsidR="009D1212">
        <w:rPr>
          <w:rFonts w:ascii="Century Schoolbook" w:hAnsi="Century Schoolbook" w:cs="Times New Roman"/>
        </w:rPr>
        <w:t>Columns (1) and (3) of Table 4 show the</w:t>
      </w:r>
      <w:r w:rsidRPr="00AB75FD">
        <w:rPr>
          <w:rFonts w:ascii="Century Schoolbook" w:hAnsi="Century Schoolbook" w:cs="Times New Roman"/>
        </w:rPr>
        <w:t xml:space="preserve"> </w:t>
      </w:r>
      <w:r w:rsidRPr="00AB75FD">
        <w:rPr>
          <w:rFonts w:ascii="Century Schoolbook" w:eastAsia="Times New Roman" w:hAnsi="Century Schoolbook" w:cs="Times New Roman"/>
          <w:i/>
          <w:color w:val="000000"/>
          <w:shd w:val="clear" w:color="auto" w:fill="FFFFFF" w:themeFill="background1"/>
          <w:lang w:eastAsia="en-CA"/>
        </w:rPr>
        <w:t>Leader</w:t>
      </w:r>
      <w:r>
        <w:rPr>
          <w:rFonts w:ascii="Century Schoolbook" w:eastAsia="Times New Roman" w:hAnsi="Century Schoolbook" w:cs="Times New Roman"/>
          <w:i/>
          <w:color w:val="000000"/>
          <w:shd w:val="clear" w:color="auto" w:fill="FFFFFF" w:themeFill="background1"/>
          <w:lang w:eastAsia="en-CA"/>
        </w:rPr>
        <w:t>-</w:t>
      </w:r>
      <w:r w:rsidRPr="00AB75FD">
        <w:rPr>
          <w:rFonts w:ascii="Century Schoolbook" w:eastAsia="Times New Roman" w:hAnsi="Century Schoolbook" w:cs="Times New Roman"/>
          <w:i/>
          <w:color w:val="000000"/>
          <w:shd w:val="clear" w:color="auto" w:fill="FFFFFF" w:themeFill="background1"/>
          <w:lang w:eastAsia="en-CA"/>
        </w:rPr>
        <w:t>follower ratio (LFR)</w:t>
      </w:r>
      <w:r w:rsidRPr="00AB75FD">
        <w:rPr>
          <w:rFonts w:ascii="Century Schoolbook" w:eastAsia="Times New Roman" w:hAnsi="Century Schoolbook" w:cs="Times New Roman"/>
          <w:color w:val="000000"/>
          <w:shd w:val="clear" w:color="auto" w:fill="FFFFFF" w:themeFill="background1"/>
          <w:lang w:eastAsia="en-CA"/>
        </w:rPr>
        <w:t xml:space="preserve">, which </w:t>
      </w:r>
      <w:r w:rsidRPr="00AB75FD">
        <w:rPr>
          <w:rFonts w:ascii="Century Schoolbook" w:hAnsi="Century Schoolbook" w:cs="Times New Roman"/>
        </w:rPr>
        <w:t xml:space="preserve">measures </w:t>
      </w:r>
      <w:r w:rsidRPr="00AB75FD">
        <w:rPr>
          <w:rFonts w:ascii="Century Schoolbook" w:eastAsia="Times New Roman" w:hAnsi="Century Schoolbook" w:cs="Times New Roman"/>
          <w:color w:val="000000"/>
          <w:shd w:val="clear" w:color="auto" w:fill="FFFFFF" w:themeFill="background1"/>
          <w:lang w:eastAsia="en-CA"/>
        </w:rPr>
        <w:t>the average timeliness of an analyst’s recommendation change,</w:t>
      </w:r>
      <w:r w:rsidRPr="00AB75FD">
        <w:rPr>
          <w:rFonts w:ascii="Century Schoolbook" w:hAnsi="Century Schoolbook" w:cs="Times New Roman"/>
        </w:rPr>
        <w:t xml:space="preserve"> </w:t>
      </w:r>
      <w:r>
        <w:rPr>
          <w:rFonts w:ascii="Century Schoolbook" w:hAnsi="Century Schoolbook" w:cs="Times New Roman"/>
        </w:rPr>
        <w:t xml:space="preserve">to be positively associated with </w:t>
      </w:r>
      <w:r w:rsidR="002C1EAF">
        <w:rPr>
          <w:rFonts w:ascii="Century Schoolbook" w:hAnsi="Century Schoolbook" w:cs="Times New Roman"/>
        </w:rPr>
        <w:t>s</w:t>
      </w:r>
      <w:r w:rsidRPr="008E19B9">
        <w:rPr>
          <w:rFonts w:ascii="Century Schoolbook" w:hAnsi="Century Schoolbook" w:cs="Times New Roman"/>
        </w:rPr>
        <w:t>low</w:t>
      </w:r>
      <w:r>
        <w:rPr>
          <w:rFonts w:ascii="Century Schoolbook" w:hAnsi="Century Schoolbook" w:cs="Times New Roman"/>
        </w:rPr>
        <w:t>-turnover analyst</w:t>
      </w:r>
      <w:r w:rsidR="002C1EAF">
        <w:rPr>
          <w:rFonts w:ascii="Century Schoolbook" w:hAnsi="Century Schoolbook" w:cs="Times New Roman"/>
        </w:rPr>
        <w:t>s, but</w:t>
      </w:r>
      <w:r>
        <w:rPr>
          <w:rFonts w:ascii="Century Schoolbook" w:hAnsi="Century Schoolbook" w:cs="Times New Roman"/>
        </w:rPr>
        <w:t xml:space="preserve"> negatively with </w:t>
      </w:r>
      <w:r w:rsidR="002C1EAF">
        <w:rPr>
          <w:rFonts w:ascii="Century Schoolbook" w:hAnsi="Century Schoolbook" w:cs="Times New Roman"/>
        </w:rPr>
        <w:t>fa</w:t>
      </w:r>
      <w:r w:rsidR="002C1EAF" w:rsidRPr="008E19B9">
        <w:rPr>
          <w:rFonts w:ascii="Century Schoolbook" w:hAnsi="Century Schoolbook" w:cs="Times New Roman"/>
        </w:rPr>
        <w:t>st</w:t>
      </w:r>
      <w:r>
        <w:rPr>
          <w:rFonts w:ascii="Century Schoolbook" w:hAnsi="Century Schoolbook" w:cs="Times New Roman"/>
        </w:rPr>
        <w:t>-turnover analyst</w:t>
      </w:r>
      <w:r w:rsidR="002C1EAF">
        <w:rPr>
          <w:rFonts w:ascii="Century Schoolbook" w:hAnsi="Century Schoolbook" w:cs="Times New Roman"/>
        </w:rPr>
        <w:t>s</w:t>
      </w:r>
      <w:r w:rsidRPr="00AB75FD">
        <w:rPr>
          <w:rFonts w:ascii="Century Schoolbook" w:hAnsi="Century Schoolbook" w:cs="Times New Roman"/>
        </w:rPr>
        <w:t>.</w:t>
      </w:r>
      <w:r w:rsidRPr="00AB75FD">
        <w:rPr>
          <w:rStyle w:val="FootnoteReference"/>
          <w:rFonts w:ascii="Century Schoolbook" w:hAnsi="Century Schoolbook" w:cs="Times New Roman"/>
        </w:rPr>
        <w:footnoteReference w:id="16"/>
      </w:r>
      <w:r w:rsidRPr="00AB75FD">
        <w:rPr>
          <w:rFonts w:ascii="Century Schoolbook" w:hAnsi="Century Schoolbook" w:cs="Times New Roman"/>
        </w:rPr>
        <w:t xml:space="preserve"> </w:t>
      </w:r>
      <w:r>
        <w:rPr>
          <w:rFonts w:ascii="Century Schoolbook" w:hAnsi="Century Schoolbook" w:cs="Times New Roman"/>
        </w:rPr>
        <w:t xml:space="preserve">This </w:t>
      </w:r>
      <w:r w:rsidR="002C1EAF">
        <w:rPr>
          <w:rFonts w:ascii="Century Schoolbook" w:hAnsi="Century Schoolbook" w:cs="Times New Roman"/>
        </w:rPr>
        <w:t>implies</w:t>
      </w:r>
      <w:r>
        <w:rPr>
          <w:rFonts w:ascii="Century Schoolbook" w:hAnsi="Century Schoolbook" w:cs="Times New Roman"/>
        </w:rPr>
        <w:t xml:space="preserve"> that</w:t>
      </w:r>
      <w:r w:rsidRPr="00AB75FD">
        <w:rPr>
          <w:rFonts w:ascii="Century Schoolbook" w:hAnsi="Century Schoolbook" w:cs="Times New Roman"/>
        </w:rPr>
        <w:t xml:space="preserve"> recommendation changes of slower-revising analysts tend to </w:t>
      </w:r>
      <w:r w:rsidR="002C1EAF">
        <w:rPr>
          <w:rFonts w:ascii="Century Schoolbook" w:hAnsi="Century Schoolbook" w:cs="Times New Roman"/>
        </w:rPr>
        <w:t>“</w:t>
      </w:r>
      <w:r w:rsidRPr="00AB75FD">
        <w:rPr>
          <w:rFonts w:ascii="Century Schoolbook" w:hAnsi="Century Schoolbook" w:cs="Times New Roman"/>
        </w:rPr>
        <w:t>lead</w:t>
      </w:r>
      <w:r w:rsidR="002C1EAF">
        <w:rPr>
          <w:rFonts w:ascii="Century Schoolbook" w:hAnsi="Century Schoolbook" w:cs="Times New Roman"/>
        </w:rPr>
        <w:t xml:space="preserve"> the pack</w:t>
      </w:r>
      <w:r w:rsidR="009D1212">
        <w:rPr>
          <w:rFonts w:ascii="Century Schoolbook" w:hAnsi="Century Schoolbook" w:cs="Times New Roman"/>
        </w:rPr>
        <w:t>,</w:t>
      </w:r>
      <w:r w:rsidR="002C1EAF">
        <w:rPr>
          <w:rFonts w:ascii="Century Schoolbook" w:hAnsi="Century Schoolbook" w:cs="Times New Roman"/>
        </w:rPr>
        <w:t>” in the sense that they</w:t>
      </w:r>
      <w:r w:rsidR="009D1212">
        <w:rPr>
          <w:rFonts w:ascii="Century Schoolbook" w:hAnsi="Century Schoolbook" w:cs="Times New Roman"/>
        </w:rPr>
        <w:t xml:space="preserve"> often</w:t>
      </w:r>
      <w:r w:rsidR="002C1EAF">
        <w:rPr>
          <w:rFonts w:ascii="Century Schoolbook" w:hAnsi="Century Schoolbook" w:cs="Times New Roman"/>
        </w:rPr>
        <w:t xml:space="preserve"> front-run recommendation changes of faster-revising analysts. </w:t>
      </w:r>
      <w:r>
        <w:rPr>
          <w:rFonts w:ascii="Century Schoolbook" w:hAnsi="Century Schoolbook" w:cs="Times New Roman"/>
        </w:rPr>
        <w:t xml:space="preserve"> Relatedly,</w:t>
      </w:r>
      <w:r w:rsidRPr="00AB75FD">
        <w:rPr>
          <w:rFonts w:ascii="Century Schoolbook" w:hAnsi="Century Schoolbook" w:cs="Times New Roman"/>
        </w:rPr>
        <w:t xml:space="preserve"> </w:t>
      </w:r>
      <w:r>
        <w:rPr>
          <w:rFonts w:ascii="Century Schoolbook" w:hAnsi="Century Schoolbook" w:cs="Times New Roman"/>
        </w:rPr>
        <w:t>w</w:t>
      </w:r>
      <w:r w:rsidRPr="00AB75FD">
        <w:rPr>
          <w:rFonts w:ascii="Century Schoolbook" w:hAnsi="Century Schoolbook" w:cs="Times New Roman"/>
        </w:rPr>
        <w:t>e</w:t>
      </w:r>
      <w:r>
        <w:rPr>
          <w:rFonts w:ascii="Century Schoolbook" w:hAnsi="Century Schoolbook" w:cs="Times New Roman"/>
        </w:rPr>
        <w:t xml:space="preserve"> </w:t>
      </w:r>
      <w:r w:rsidRPr="00AB75FD">
        <w:rPr>
          <w:rFonts w:ascii="Century Schoolbook" w:hAnsi="Century Schoolbook" w:cs="Times New Roman"/>
        </w:rPr>
        <w:t xml:space="preserve">find that </w:t>
      </w:r>
      <w:r w:rsidR="009D1212">
        <w:rPr>
          <w:rFonts w:ascii="Century Schoolbook" w:hAnsi="Century Schoolbook" w:cs="Times New Roman"/>
        </w:rPr>
        <w:t>recommendations of fast-turnover</w:t>
      </w:r>
      <w:r w:rsidRPr="00AB75FD">
        <w:rPr>
          <w:rFonts w:ascii="Century Schoolbook" w:hAnsi="Century Schoolbook" w:cs="Times New Roman"/>
        </w:rPr>
        <w:t xml:space="preserve"> analysts </w:t>
      </w:r>
      <w:r w:rsidR="009D1212">
        <w:rPr>
          <w:rFonts w:ascii="Century Schoolbook" w:hAnsi="Century Schoolbook" w:cs="Times New Roman"/>
        </w:rPr>
        <w:t>tend</w:t>
      </w:r>
      <w:r w:rsidRPr="00AB75FD">
        <w:rPr>
          <w:rFonts w:ascii="Century Schoolbook" w:hAnsi="Century Schoolbook" w:cs="Times New Roman"/>
        </w:rPr>
        <w:t xml:space="preserve"> to be</w:t>
      </w:r>
      <w:r>
        <w:rPr>
          <w:rFonts w:ascii="Century Schoolbook" w:hAnsi="Century Schoolbook" w:cs="Times New Roman"/>
        </w:rPr>
        <w:t xml:space="preserve"> less</w:t>
      </w:r>
      <w:r w:rsidRPr="00AB75FD">
        <w:rPr>
          <w:rFonts w:ascii="Century Schoolbook" w:hAnsi="Century Schoolbook" w:cs="Times New Roman"/>
        </w:rPr>
        <w:t xml:space="preserve"> bold, i.e.,</w:t>
      </w:r>
      <w:r>
        <w:rPr>
          <w:rFonts w:ascii="Century Schoolbook" w:hAnsi="Century Schoolbook" w:cs="Times New Roman"/>
        </w:rPr>
        <w:t xml:space="preserve"> they herd more towards the consensus</w:t>
      </w:r>
      <w:r w:rsidR="002C1EAF">
        <w:rPr>
          <w:rFonts w:ascii="Century Schoolbook" w:hAnsi="Century Schoolbook" w:cs="Times New Roman"/>
        </w:rPr>
        <w:t xml:space="preserve">. This is seen in Column (3) which shows that </w:t>
      </w:r>
      <w:r w:rsidRPr="00AB75FD">
        <w:rPr>
          <w:rFonts w:ascii="Century Schoolbook" w:hAnsi="Century Schoolbook" w:cs="Times New Roman"/>
          <w:i/>
        </w:rPr>
        <w:t>Recommendation boldness</w:t>
      </w:r>
      <w:r w:rsidRPr="00AB75FD">
        <w:rPr>
          <w:rFonts w:ascii="Century Schoolbook" w:hAnsi="Century Schoolbook" w:cs="Times New Roman"/>
        </w:rPr>
        <w:t xml:space="preserve"> is negative and significant</w:t>
      </w:r>
      <w:r w:rsidR="009D1212">
        <w:rPr>
          <w:rFonts w:ascii="Century Schoolbook" w:hAnsi="Century Schoolbook" w:cs="Times New Roman"/>
        </w:rPr>
        <w:t xml:space="preserve"> </w:t>
      </w:r>
      <w:r w:rsidRPr="00AB75FD">
        <w:rPr>
          <w:rFonts w:ascii="Century Schoolbook" w:hAnsi="Century Schoolbook" w:cs="Times New Roman"/>
        </w:rPr>
        <w:t xml:space="preserve">at the 5 percent level. </w:t>
      </w:r>
      <w:r w:rsidR="009D1212">
        <w:rPr>
          <w:rFonts w:ascii="Century Schoolbook" w:hAnsi="Century Schoolbook" w:cs="Times New Roman"/>
        </w:rPr>
        <w:t xml:space="preserve">Overall, these findings lead to two important insights on </w:t>
      </w:r>
      <w:r w:rsidRPr="00AB75FD">
        <w:rPr>
          <w:rFonts w:ascii="Century Schoolbook" w:hAnsi="Century Schoolbook" w:cs="Times New Roman"/>
        </w:rPr>
        <w:t xml:space="preserve">the type of recommendations that </w:t>
      </w:r>
      <w:r w:rsidR="009D1212">
        <w:rPr>
          <w:rFonts w:ascii="Century Schoolbook" w:hAnsi="Century Schoolbook" w:cs="Times New Roman"/>
        </w:rPr>
        <w:t xml:space="preserve">less frequent updaters issue; they are </w:t>
      </w:r>
      <w:r w:rsidRPr="00AB75FD">
        <w:rPr>
          <w:rFonts w:ascii="Century Schoolbook" w:hAnsi="Century Schoolbook" w:cs="Times New Roman"/>
        </w:rPr>
        <w:t>timelier</w:t>
      </w:r>
      <w:r w:rsidR="009D1212">
        <w:rPr>
          <w:rFonts w:ascii="Century Schoolbook" w:hAnsi="Century Schoolbook" w:cs="Times New Roman"/>
        </w:rPr>
        <w:t xml:space="preserve"> </w:t>
      </w:r>
      <w:r w:rsidRPr="00AB75FD">
        <w:rPr>
          <w:rFonts w:ascii="Century Schoolbook" w:hAnsi="Century Schoolbook" w:cs="Times New Roman"/>
        </w:rPr>
        <w:t>and less likely to herd.</w:t>
      </w:r>
    </w:p>
    <w:p w14:paraId="65FA4689" w14:textId="68587A5A" w:rsidR="00E1496F" w:rsidRDefault="00B87454" w:rsidP="00A00DFF">
      <w:pPr>
        <w:spacing w:line="480" w:lineRule="auto"/>
        <w:ind w:firstLine="284"/>
        <w:jc w:val="both"/>
        <w:rPr>
          <w:rFonts w:ascii="Century Schoolbook" w:hAnsi="Century Schoolbook" w:cs="Times New Roman"/>
        </w:rPr>
      </w:pPr>
      <w:r>
        <w:rPr>
          <w:rFonts w:ascii="Century Schoolbook" w:hAnsi="Century Schoolbook" w:cs="Times New Roman"/>
        </w:rPr>
        <w:t>W</w:t>
      </w:r>
      <w:r w:rsidR="00582994">
        <w:rPr>
          <w:rFonts w:ascii="Century Schoolbook" w:hAnsi="Century Schoolbook" w:cs="Times New Roman"/>
        </w:rPr>
        <w:t>e find t</w:t>
      </w:r>
      <w:r w:rsidR="00582994" w:rsidRPr="00B15EB0">
        <w:rPr>
          <w:rFonts w:ascii="Century Schoolbook" w:hAnsi="Century Schoolbook" w:cs="Times New Roman"/>
        </w:rPr>
        <w:t>he number of forecasts per quarter</w:t>
      </w:r>
      <w:r w:rsidR="00321B6E">
        <w:rPr>
          <w:rFonts w:ascii="Century Schoolbook" w:hAnsi="Century Schoolbook" w:cs="Times New Roman"/>
        </w:rPr>
        <w:t xml:space="preserve">, </w:t>
      </w:r>
      <w:r w:rsidR="00321B6E">
        <w:rPr>
          <w:rFonts w:ascii="Century Schoolbook" w:hAnsi="Century Schoolbook" w:cs="Times New Roman"/>
          <w:i/>
        </w:rPr>
        <w:t>Forecast frequency</w:t>
      </w:r>
      <w:r w:rsidR="00321B6E">
        <w:rPr>
          <w:rFonts w:ascii="Century Schoolbook" w:hAnsi="Century Schoolbook" w:cs="Times New Roman"/>
        </w:rPr>
        <w:t xml:space="preserve">, </w:t>
      </w:r>
      <w:r w:rsidR="00582994">
        <w:rPr>
          <w:rFonts w:ascii="Century Schoolbook" w:hAnsi="Century Schoolbook" w:cs="Times New Roman"/>
        </w:rPr>
        <w:t>to be</w:t>
      </w:r>
      <w:r w:rsidR="00582994" w:rsidRPr="00B15EB0">
        <w:rPr>
          <w:rFonts w:ascii="Century Schoolbook" w:hAnsi="Century Schoolbook" w:cs="Times New Roman"/>
        </w:rPr>
        <w:t xml:space="preserve"> negatively associated with the </w:t>
      </w:r>
      <w:r w:rsidR="00582994">
        <w:rPr>
          <w:rFonts w:ascii="Century Schoolbook" w:hAnsi="Century Schoolbook" w:cs="Times New Roman"/>
        </w:rPr>
        <w:t xml:space="preserve">probability of being classified as </w:t>
      </w:r>
      <w:r w:rsidR="00321B6E">
        <w:rPr>
          <w:rFonts w:ascii="Century Schoolbook" w:hAnsi="Century Schoolbook" w:cs="Times New Roman"/>
        </w:rPr>
        <w:t>a fast</w:t>
      </w:r>
      <w:r w:rsidR="00582994">
        <w:rPr>
          <w:rFonts w:ascii="Century Schoolbook" w:hAnsi="Century Schoolbook" w:cs="Times New Roman"/>
        </w:rPr>
        <w:t xml:space="preserve">-turnover analyst. </w:t>
      </w:r>
      <w:r w:rsidR="00321B6E">
        <w:rPr>
          <w:rFonts w:ascii="Century Schoolbook" w:hAnsi="Century Schoolbook" w:cs="Times New Roman"/>
        </w:rPr>
        <w:t xml:space="preserve">Thus, </w:t>
      </w:r>
      <w:r w:rsidR="001154EF">
        <w:rPr>
          <w:rFonts w:ascii="Century Schoolbook" w:hAnsi="Century Schoolbook" w:cs="Times New Roman"/>
        </w:rPr>
        <w:t>even though</w:t>
      </w:r>
      <w:r w:rsidR="00321B6E">
        <w:rPr>
          <w:rFonts w:ascii="Century Schoolbook" w:hAnsi="Century Schoolbook" w:cs="Times New Roman"/>
        </w:rPr>
        <w:t xml:space="preserve"> fast-turnover analysts make more frequent recommendation changes, they tend to revise their forecasts less frequently. </w:t>
      </w:r>
      <w:r w:rsidR="001154EF">
        <w:rPr>
          <w:rFonts w:ascii="Century Schoolbook" w:hAnsi="Century Schoolbook" w:cs="Times New Roman"/>
        </w:rPr>
        <w:t>This finding</w:t>
      </w:r>
      <w:r w:rsidR="00582994">
        <w:rPr>
          <w:rFonts w:ascii="Century Schoolbook" w:hAnsi="Century Schoolbook" w:cs="Times New Roman"/>
        </w:rPr>
        <w:t xml:space="preserve"> suggests </w:t>
      </w:r>
      <w:r w:rsidR="007A7189">
        <w:rPr>
          <w:rFonts w:ascii="Century Schoolbook" w:hAnsi="Century Schoolbook" w:cs="Times New Roman"/>
        </w:rPr>
        <w:t xml:space="preserve">that the decision-making of </w:t>
      </w:r>
      <w:r w:rsidR="001154EF">
        <w:rPr>
          <w:rFonts w:ascii="Century Schoolbook" w:hAnsi="Century Schoolbook" w:cs="Times New Roman"/>
        </w:rPr>
        <w:t>slow- and fast-turnover analysts are inherently different.</w:t>
      </w:r>
      <w:r w:rsidR="00582994">
        <w:rPr>
          <w:rFonts w:ascii="Century Schoolbook" w:hAnsi="Century Schoolbook" w:cs="Times New Roman"/>
        </w:rPr>
        <w:t xml:space="preserve"> </w:t>
      </w:r>
      <w:r w:rsidR="007A7189">
        <w:rPr>
          <w:rFonts w:ascii="Century Schoolbook" w:hAnsi="Century Schoolbook" w:cs="Times New Roman"/>
        </w:rPr>
        <w:t>An interpretation that one can make from these results is that slower-revising</w:t>
      </w:r>
      <w:r w:rsidR="007D4B54">
        <w:rPr>
          <w:rFonts w:ascii="Century Schoolbook" w:hAnsi="Century Schoolbook" w:cs="Times New Roman"/>
        </w:rPr>
        <w:t xml:space="preserve"> analysts</w:t>
      </w:r>
      <w:r w:rsidR="007A7189">
        <w:rPr>
          <w:rFonts w:ascii="Century Schoolbook" w:hAnsi="Century Schoolbook" w:cs="Times New Roman"/>
        </w:rPr>
        <w:t xml:space="preserve"> are </w:t>
      </w:r>
      <w:r w:rsidR="007D4B54">
        <w:rPr>
          <w:rFonts w:ascii="Century Schoolbook" w:hAnsi="Century Schoolbook" w:cs="Times New Roman"/>
        </w:rPr>
        <w:t xml:space="preserve">more </w:t>
      </w:r>
      <w:r w:rsidR="007A7189">
        <w:rPr>
          <w:rFonts w:ascii="Century Schoolbook" w:hAnsi="Century Schoolbook" w:cs="Times New Roman"/>
        </w:rPr>
        <w:t>reluctant to revise their recommendations despite being more active at updating their stock valuation-to-price ratio (</w:t>
      </w:r>
      <w:r w:rsidR="007A7189" w:rsidRPr="007A7189">
        <w:rPr>
          <w:rFonts w:ascii="Century Schoolbook" w:hAnsi="Century Schoolbook" w:cs="Times New Roman"/>
          <w:i/>
        </w:rPr>
        <w:t>V/P</w:t>
      </w:r>
      <w:r w:rsidR="007A7189">
        <w:rPr>
          <w:rFonts w:ascii="Century Schoolbook" w:hAnsi="Century Schoolbook" w:cs="Times New Roman"/>
        </w:rPr>
        <w:t>), on which they base their decisions. This</w:t>
      </w:r>
      <w:r w:rsidR="00E27390">
        <w:rPr>
          <w:rFonts w:ascii="Century Schoolbook" w:hAnsi="Century Schoolbook" w:cs="Times New Roman"/>
        </w:rPr>
        <w:t xml:space="preserve"> is</w:t>
      </w:r>
      <w:r w:rsidR="007A7189">
        <w:rPr>
          <w:rFonts w:ascii="Century Schoolbook" w:hAnsi="Century Schoolbook" w:cs="Times New Roman"/>
        </w:rPr>
        <w:t>, perhaps, due to the difference in thresholds that slow- vs. fast-</w:t>
      </w:r>
      <w:r w:rsidR="007A7189">
        <w:rPr>
          <w:rFonts w:ascii="Century Schoolbook" w:hAnsi="Century Schoolbook" w:cs="Times New Roman"/>
        </w:rPr>
        <w:lastRenderedPageBreak/>
        <w:t xml:space="preserve">turnover analysts require their stock valuation-to-price ratio to exceed (or fall below) </w:t>
      </w:r>
      <w:r w:rsidR="00E27390">
        <w:rPr>
          <w:rFonts w:ascii="Century Schoolbook" w:hAnsi="Century Schoolbook" w:cs="Times New Roman"/>
        </w:rPr>
        <w:t xml:space="preserve">before a new recommendation is </w:t>
      </w:r>
      <w:r w:rsidR="00E27390" w:rsidRPr="00D86431">
        <w:rPr>
          <w:rFonts w:ascii="Century Schoolbook" w:hAnsi="Century Schoolbook" w:cs="Times New Roman"/>
        </w:rPr>
        <w:t xml:space="preserve">warranted. </w:t>
      </w:r>
    </w:p>
    <w:p w14:paraId="75837546" w14:textId="33AA5CA4" w:rsidR="00026367" w:rsidRDefault="00B87454" w:rsidP="00A00DFF">
      <w:pPr>
        <w:spacing w:line="480" w:lineRule="auto"/>
        <w:ind w:firstLine="284"/>
        <w:jc w:val="both"/>
        <w:rPr>
          <w:rFonts w:ascii="Century Schoolbook" w:eastAsia="Times New Roman" w:hAnsi="Century Schoolbook" w:cs="Times New Roman"/>
          <w:color w:val="000000"/>
          <w:shd w:val="clear" w:color="auto" w:fill="FFFFFF" w:themeFill="background1"/>
          <w:lang w:val="en-CA" w:eastAsia="en-CA"/>
        </w:rPr>
      </w:pPr>
      <w:r>
        <w:rPr>
          <w:rFonts w:ascii="Century Schoolbook" w:eastAsia="Times New Roman" w:hAnsi="Century Schoolbook" w:cs="Times New Roman"/>
          <w:color w:val="000000"/>
          <w:shd w:val="clear" w:color="auto" w:fill="FFFFFF" w:themeFill="background1"/>
          <w:lang w:val="en-CA" w:eastAsia="en-CA"/>
        </w:rPr>
        <w:t>Finally</w:t>
      </w:r>
      <w:r w:rsidR="003E5676">
        <w:rPr>
          <w:rFonts w:ascii="Century Schoolbook" w:eastAsia="Times New Roman" w:hAnsi="Century Schoolbook" w:cs="Times New Roman"/>
          <w:color w:val="000000"/>
          <w:shd w:val="clear" w:color="auto" w:fill="FFFFFF" w:themeFill="background1"/>
          <w:lang w:val="en-CA" w:eastAsia="en-CA"/>
        </w:rPr>
        <w:t xml:space="preserve">, </w:t>
      </w:r>
      <w:r>
        <w:rPr>
          <w:rFonts w:ascii="Century Schoolbook" w:eastAsia="Times New Roman" w:hAnsi="Century Schoolbook" w:cs="Times New Roman"/>
          <w:color w:val="000000"/>
          <w:shd w:val="clear" w:color="auto" w:fill="FFFFFF" w:themeFill="background1"/>
          <w:lang w:val="en-CA" w:eastAsia="en-CA"/>
        </w:rPr>
        <w:t>c</w:t>
      </w:r>
      <w:r w:rsidR="00D86431" w:rsidRPr="00026367">
        <w:rPr>
          <w:rFonts w:ascii="Century Schoolbook" w:eastAsia="Times New Roman" w:hAnsi="Century Schoolbook" w:cs="Times New Roman"/>
          <w:color w:val="000000"/>
          <w:shd w:val="clear" w:color="auto" w:fill="FFFFFF" w:themeFill="background1"/>
          <w:lang w:val="en-CA" w:eastAsia="en-CA"/>
        </w:rPr>
        <w:t>ontrol</w:t>
      </w:r>
      <w:r w:rsidR="002A399A">
        <w:rPr>
          <w:rFonts w:ascii="Century Schoolbook" w:eastAsia="Times New Roman" w:hAnsi="Century Schoolbook" w:cs="Times New Roman"/>
          <w:color w:val="000000"/>
          <w:shd w:val="clear" w:color="auto" w:fill="FFFFFF" w:themeFill="background1"/>
          <w:lang w:val="en-CA" w:eastAsia="en-CA"/>
        </w:rPr>
        <w:t xml:space="preserve">ling for all </w:t>
      </w:r>
      <w:r w:rsidR="0091477C">
        <w:rPr>
          <w:rFonts w:ascii="Century Schoolbook" w:eastAsia="Times New Roman" w:hAnsi="Century Schoolbook" w:cs="Times New Roman"/>
          <w:color w:val="000000"/>
          <w:shd w:val="clear" w:color="auto" w:fill="FFFFFF" w:themeFill="background1"/>
          <w:lang w:val="en-CA" w:eastAsia="en-CA"/>
        </w:rPr>
        <w:t>other characteristics</w:t>
      </w:r>
      <w:r w:rsidR="002A399A">
        <w:rPr>
          <w:rFonts w:ascii="Century Schoolbook" w:eastAsia="Times New Roman" w:hAnsi="Century Schoolbook" w:cs="Times New Roman"/>
          <w:color w:val="000000"/>
          <w:shd w:val="clear" w:color="auto" w:fill="FFFFFF" w:themeFill="background1"/>
          <w:lang w:val="en-CA" w:eastAsia="en-CA"/>
        </w:rPr>
        <w:t xml:space="preserve">, we </w:t>
      </w:r>
      <w:r w:rsidR="00D86431" w:rsidRPr="00026367">
        <w:rPr>
          <w:rFonts w:ascii="Century Schoolbook" w:eastAsia="Times New Roman" w:hAnsi="Century Schoolbook" w:cs="Times New Roman"/>
          <w:color w:val="000000"/>
          <w:shd w:val="clear" w:color="auto" w:fill="FFFFFF" w:themeFill="background1"/>
          <w:lang w:val="en-CA" w:eastAsia="en-CA"/>
        </w:rPr>
        <w:t xml:space="preserve">find </w:t>
      </w:r>
      <w:r w:rsidR="00D86431" w:rsidRPr="00026367">
        <w:rPr>
          <w:rFonts w:ascii="Century Schoolbook" w:eastAsia="Times New Roman" w:hAnsi="Century Schoolbook" w:cs="Times New Roman"/>
          <w:i/>
          <w:color w:val="000000"/>
          <w:shd w:val="clear" w:color="auto" w:fill="FFFFFF" w:themeFill="background1"/>
          <w:lang w:val="en-CA" w:eastAsia="en-CA"/>
        </w:rPr>
        <w:t>Breadth</w:t>
      </w:r>
      <w:r w:rsidR="00D86431" w:rsidRPr="00026367">
        <w:rPr>
          <w:rFonts w:ascii="Century Schoolbook" w:eastAsia="Times New Roman" w:hAnsi="Century Schoolbook" w:cs="Times New Roman"/>
          <w:color w:val="000000"/>
          <w:shd w:val="clear" w:color="auto" w:fill="FFFFFF" w:themeFill="background1"/>
          <w:lang w:val="en-CA" w:eastAsia="en-CA"/>
        </w:rPr>
        <w:t xml:space="preserve"> </w:t>
      </w:r>
      <w:r w:rsidR="00D61D20" w:rsidRPr="00026367">
        <w:rPr>
          <w:rFonts w:ascii="Century Schoolbook" w:eastAsia="Times New Roman" w:hAnsi="Century Schoolbook" w:cs="Times New Roman"/>
          <w:color w:val="000000"/>
          <w:shd w:val="clear" w:color="auto" w:fill="FFFFFF" w:themeFill="background1"/>
          <w:lang w:val="en-CA" w:eastAsia="en-CA"/>
        </w:rPr>
        <w:t>—</w:t>
      </w:r>
      <w:r w:rsidR="00D86431" w:rsidRPr="00026367">
        <w:rPr>
          <w:rFonts w:ascii="Century Schoolbook" w:eastAsia="Times New Roman" w:hAnsi="Century Schoolbook" w:cs="Times New Roman"/>
          <w:color w:val="000000"/>
          <w:shd w:val="clear" w:color="auto" w:fill="FFFFFF" w:themeFill="background1"/>
          <w:lang w:val="en-CA" w:eastAsia="en-CA"/>
        </w:rPr>
        <w:t>the number of stocks covered</w:t>
      </w:r>
      <w:r w:rsidR="00D61D20" w:rsidRPr="00026367">
        <w:rPr>
          <w:rFonts w:ascii="Century Schoolbook" w:eastAsia="Times New Roman" w:hAnsi="Century Schoolbook" w:cs="Times New Roman"/>
          <w:color w:val="000000"/>
          <w:shd w:val="clear" w:color="auto" w:fill="FFFFFF" w:themeFill="background1"/>
          <w:lang w:val="en-CA" w:eastAsia="en-CA"/>
        </w:rPr>
        <w:t>–</w:t>
      </w:r>
      <w:r w:rsidR="00D86431" w:rsidRPr="00026367">
        <w:rPr>
          <w:rFonts w:ascii="Century Schoolbook" w:eastAsia="Times New Roman" w:hAnsi="Century Schoolbook" w:cs="Times New Roman"/>
          <w:color w:val="000000"/>
          <w:shd w:val="clear" w:color="auto" w:fill="FFFFFF" w:themeFill="background1"/>
          <w:lang w:val="en-CA" w:eastAsia="en-CA"/>
        </w:rPr>
        <w:t xml:space="preserve">to be negatively associated with </w:t>
      </w:r>
      <w:r w:rsidR="00D61D20" w:rsidRPr="00026367">
        <w:rPr>
          <w:rFonts w:ascii="Century Schoolbook" w:eastAsia="Times New Roman" w:hAnsi="Century Schoolbook" w:cs="Times New Roman"/>
          <w:color w:val="000000"/>
          <w:shd w:val="clear" w:color="auto" w:fill="FFFFFF" w:themeFill="background1"/>
          <w:lang w:val="en-CA" w:eastAsia="en-CA"/>
        </w:rPr>
        <w:t>slow-turnover analyst</w:t>
      </w:r>
      <w:r w:rsidR="00D449EE">
        <w:rPr>
          <w:rFonts w:ascii="Century Schoolbook" w:eastAsia="Times New Roman" w:hAnsi="Century Schoolbook" w:cs="Times New Roman"/>
          <w:color w:val="000000"/>
          <w:shd w:val="clear" w:color="auto" w:fill="FFFFFF" w:themeFill="background1"/>
          <w:lang w:val="en-CA" w:eastAsia="en-CA"/>
        </w:rPr>
        <w:t>s</w:t>
      </w:r>
      <w:r w:rsidR="00D86431" w:rsidRPr="00026367">
        <w:rPr>
          <w:rFonts w:ascii="Century Schoolbook" w:eastAsia="Times New Roman" w:hAnsi="Century Schoolbook" w:cs="Times New Roman"/>
          <w:color w:val="000000"/>
          <w:shd w:val="clear" w:color="auto" w:fill="FFFFFF" w:themeFill="background1"/>
          <w:lang w:val="en-CA" w:eastAsia="en-CA"/>
        </w:rPr>
        <w:t xml:space="preserve"> </w:t>
      </w:r>
      <w:r w:rsidR="00D61D20" w:rsidRPr="00026367">
        <w:rPr>
          <w:rFonts w:ascii="Century Schoolbook" w:eastAsia="Times New Roman" w:hAnsi="Century Schoolbook" w:cs="Times New Roman"/>
          <w:color w:val="000000"/>
          <w:shd w:val="clear" w:color="auto" w:fill="FFFFFF" w:themeFill="background1"/>
          <w:lang w:val="en-CA" w:eastAsia="en-CA"/>
        </w:rPr>
        <w:t>but</w:t>
      </w:r>
      <w:r w:rsidR="00D86431" w:rsidRPr="00026367">
        <w:rPr>
          <w:rFonts w:ascii="Century Schoolbook" w:eastAsia="Times New Roman" w:hAnsi="Century Schoolbook" w:cs="Times New Roman"/>
          <w:color w:val="000000"/>
          <w:shd w:val="clear" w:color="auto" w:fill="FFFFFF" w:themeFill="background1"/>
          <w:lang w:val="en-CA" w:eastAsia="en-CA"/>
        </w:rPr>
        <w:t xml:space="preserve"> positively correlated </w:t>
      </w:r>
      <w:r w:rsidR="00D61D20" w:rsidRPr="00026367">
        <w:rPr>
          <w:rFonts w:ascii="Century Schoolbook" w:eastAsia="Times New Roman" w:hAnsi="Century Schoolbook" w:cs="Times New Roman"/>
          <w:color w:val="000000"/>
          <w:shd w:val="clear" w:color="auto" w:fill="FFFFFF" w:themeFill="background1"/>
          <w:lang w:val="en-CA" w:eastAsia="en-CA"/>
        </w:rPr>
        <w:t xml:space="preserve">with </w:t>
      </w:r>
      <w:r w:rsidR="00D449EE">
        <w:rPr>
          <w:rFonts w:ascii="Century Schoolbook" w:eastAsia="Times New Roman" w:hAnsi="Century Schoolbook" w:cs="Times New Roman"/>
          <w:color w:val="000000"/>
          <w:shd w:val="clear" w:color="auto" w:fill="FFFFFF" w:themeFill="background1"/>
          <w:lang w:val="en-CA" w:eastAsia="en-CA"/>
        </w:rPr>
        <w:t>fast</w:t>
      </w:r>
      <w:r w:rsidR="00D61D20" w:rsidRPr="00026367">
        <w:rPr>
          <w:rFonts w:ascii="Century Schoolbook" w:eastAsia="Times New Roman" w:hAnsi="Century Schoolbook" w:cs="Times New Roman"/>
          <w:color w:val="000000"/>
          <w:shd w:val="clear" w:color="auto" w:fill="FFFFFF" w:themeFill="background1"/>
          <w:lang w:val="en-CA" w:eastAsia="en-CA"/>
        </w:rPr>
        <w:t>-turnover analyst</w:t>
      </w:r>
      <w:r w:rsidR="00D86431" w:rsidRPr="00026367">
        <w:rPr>
          <w:rFonts w:ascii="Century Schoolbook" w:eastAsia="Times New Roman" w:hAnsi="Century Schoolbook" w:cs="Times New Roman"/>
          <w:color w:val="000000"/>
          <w:shd w:val="clear" w:color="auto" w:fill="FFFFFF" w:themeFill="background1"/>
          <w:lang w:val="en-CA" w:eastAsia="en-CA"/>
        </w:rPr>
        <w:t xml:space="preserve">. However, </w:t>
      </w:r>
      <w:r w:rsidR="00D61D20" w:rsidRPr="00026367">
        <w:rPr>
          <w:rFonts w:ascii="Century Schoolbook" w:eastAsia="Times New Roman" w:hAnsi="Century Schoolbook" w:cs="Times New Roman"/>
          <w:color w:val="000000"/>
          <w:shd w:val="clear" w:color="auto" w:fill="FFFFFF" w:themeFill="background1"/>
          <w:lang w:val="en-CA" w:eastAsia="en-CA"/>
        </w:rPr>
        <w:t>in the univariate analysis</w:t>
      </w:r>
      <w:r>
        <w:rPr>
          <w:rFonts w:ascii="Century Schoolbook" w:eastAsia="Times New Roman" w:hAnsi="Century Schoolbook" w:cs="Times New Roman"/>
          <w:color w:val="000000"/>
          <w:shd w:val="clear" w:color="auto" w:fill="FFFFFF" w:themeFill="background1"/>
          <w:lang w:val="en-CA" w:eastAsia="en-CA"/>
        </w:rPr>
        <w:t xml:space="preserve"> (</w:t>
      </w:r>
      <w:proofErr w:type="spellStart"/>
      <w:r>
        <w:rPr>
          <w:rFonts w:ascii="Century Schoolbook" w:eastAsia="Times New Roman" w:hAnsi="Century Schoolbook" w:cs="Times New Roman"/>
          <w:color w:val="000000"/>
          <w:shd w:val="clear" w:color="auto" w:fill="FFFFFF" w:themeFill="background1"/>
          <w:lang w:val="en-CA" w:eastAsia="en-CA"/>
        </w:rPr>
        <w:t>untabulated</w:t>
      </w:r>
      <w:proofErr w:type="spellEnd"/>
      <w:r>
        <w:rPr>
          <w:rFonts w:ascii="Century Schoolbook" w:eastAsia="Times New Roman" w:hAnsi="Century Schoolbook" w:cs="Times New Roman"/>
          <w:color w:val="000000"/>
          <w:shd w:val="clear" w:color="auto" w:fill="FFFFFF" w:themeFill="background1"/>
          <w:lang w:val="en-CA" w:eastAsia="en-CA"/>
        </w:rPr>
        <w:t>)</w:t>
      </w:r>
      <w:r w:rsidR="00D61D20" w:rsidRPr="00026367">
        <w:rPr>
          <w:rFonts w:ascii="Century Schoolbook" w:eastAsia="Times New Roman" w:hAnsi="Century Schoolbook" w:cs="Times New Roman"/>
          <w:color w:val="000000"/>
          <w:shd w:val="clear" w:color="auto" w:fill="FFFFFF" w:themeFill="background1"/>
          <w:lang w:val="en-CA" w:eastAsia="en-CA"/>
        </w:rPr>
        <w:t>, we find that slow</w:t>
      </w:r>
      <w:r w:rsidR="00D86431" w:rsidRPr="00026367">
        <w:rPr>
          <w:rFonts w:ascii="Century Schoolbook" w:eastAsia="Times New Roman" w:hAnsi="Century Schoolbook" w:cs="Times New Roman"/>
          <w:i/>
          <w:color w:val="000000"/>
          <w:shd w:val="clear" w:color="auto" w:fill="FFFFFF" w:themeFill="background1"/>
          <w:lang w:val="en-CA" w:eastAsia="en-CA"/>
        </w:rPr>
        <w:t>-</w:t>
      </w:r>
      <w:r w:rsidR="00D86431" w:rsidRPr="00026367">
        <w:rPr>
          <w:rFonts w:ascii="Century Schoolbook" w:eastAsia="Times New Roman" w:hAnsi="Century Schoolbook" w:cs="Times New Roman"/>
          <w:color w:val="000000"/>
          <w:shd w:val="clear" w:color="auto" w:fill="FFFFFF" w:themeFill="background1"/>
          <w:lang w:val="en-CA" w:eastAsia="en-CA"/>
        </w:rPr>
        <w:t>turnover analysts cover more stocks</w:t>
      </w:r>
      <w:r w:rsidR="00D61D20" w:rsidRPr="00026367">
        <w:rPr>
          <w:rFonts w:ascii="Century Schoolbook" w:eastAsia="Times New Roman" w:hAnsi="Century Schoolbook" w:cs="Times New Roman"/>
          <w:color w:val="000000"/>
          <w:shd w:val="clear" w:color="auto" w:fill="FFFFFF" w:themeFill="background1"/>
          <w:lang w:val="en-CA" w:eastAsia="en-CA"/>
        </w:rPr>
        <w:t xml:space="preserve"> than fast-turnover analysts do</w:t>
      </w:r>
      <w:r w:rsidR="00D86431" w:rsidRPr="00026367">
        <w:rPr>
          <w:rFonts w:ascii="Century Schoolbook" w:eastAsia="Times New Roman" w:hAnsi="Century Schoolbook" w:cs="Times New Roman"/>
          <w:color w:val="000000"/>
          <w:shd w:val="clear" w:color="auto" w:fill="FFFFFF" w:themeFill="background1"/>
          <w:lang w:val="en-CA" w:eastAsia="en-CA"/>
        </w:rPr>
        <w:t>, although the difference is economically</w:t>
      </w:r>
      <w:r w:rsidR="00D61D20" w:rsidRPr="00026367">
        <w:rPr>
          <w:rFonts w:ascii="Century Schoolbook" w:eastAsia="Times New Roman" w:hAnsi="Century Schoolbook" w:cs="Times New Roman"/>
          <w:color w:val="000000"/>
          <w:shd w:val="clear" w:color="auto" w:fill="FFFFFF" w:themeFill="background1"/>
          <w:lang w:val="en-CA" w:eastAsia="en-CA"/>
        </w:rPr>
        <w:t xml:space="preserve"> small</w:t>
      </w:r>
      <w:r w:rsidR="00026367">
        <w:rPr>
          <w:rFonts w:ascii="Century Schoolbook" w:eastAsia="Times New Roman" w:hAnsi="Century Schoolbook" w:cs="Times New Roman"/>
          <w:color w:val="000000"/>
          <w:shd w:val="clear" w:color="auto" w:fill="FFFFFF" w:themeFill="background1"/>
          <w:lang w:val="en-CA" w:eastAsia="en-CA"/>
        </w:rPr>
        <w:t xml:space="preserve">. </w:t>
      </w:r>
    </w:p>
    <w:p w14:paraId="4FD5568B" w14:textId="7D16FA0B" w:rsidR="0009677C" w:rsidRPr="00D33D99" w:rsidRDefault="009A134A" w:rsidP="00A00DFF">
      <w:pPr>
        <w:pStyle w:val="ListParagraph"/>
        <w:numPr>
          <w:ilvl w:val="0"/>
          <w:numId w:val="3"/>
        </w:numPr>
        <w:spacing w:line="480" w:lineRule="auto"/>
        <w:rPr>
          <w:rFonts w:ascii="Century Schoolbook" w:hAnsi="Century Schoolbook" w:cs="Times New Roman"/>
          <w:b/>
        </w:rPr>
      </w:pPr>
      <w:r w:rsidRPr="00D33D99">
        <w:rPr>
          <w:rFonts w:ascii="Century Schoolbook" w:hAnsi="Century Schoolbook" w:cs="Times New Roman"/>
          <w:b/>
        </w:rPr>
        <w:t xml:space="preserve">Investment </w:t>
      </w:r>
      <w:r w:rsidR="0009677C" w:rsidRPr="00D33D99">
        <w:rPr>
          <w:rFonts w:ascii="Century Schoolbook" w:hAnsi="Century Schoolbook" w:cs="Times New Roman"/>
          <w:b/>
        </w:rPr>
        <w:t>v</w:t>
      </w:r>
      <w:r w:rsidRPr="00D33D99">
        <w:rPr>
          <w:rFonts w:ascii="Century Schoolbook" w:hAnsi="Century Schoolbook" w:cs="Times New Roman"/>
          <w:b/>
        </w:rPr>
        <w:t>alue</w:t>
      </w:r>
      <w:r w:rsidR="00724B14" w:rsidRPr="00D33D99">
        <w:rPr>
          <w:rFonts w:ascii="Century Schoolbook" w:hAnsi="Century Schoolbook" w:cs="Times New Roman"/>
          <w:b/>
        </w:rPr>
        <w:t xml:space="preserve"> implications</w:t>
      </w:r>
      <w:r w:rsidR="00E10081" w:rsidRPr="00D33D99">
        <w:rPr>
          <w:rFonts w:ascii="Century Schoolbook" w:hAnsi="Century Schoolbook" w:cs="Times New Roman"/>
          <w:b/>
        </w:rPr>
        <w:t xml:space="preserve"> </w:t>
      </w:r>
    </w:p>
    <w:p w14:paraId="5CBCEA88" w14:textId="77777777" w:rsidR="0009677C" w:rsidRPr="00D33D99" w:rsidRDefault="0009677C" w:rsidP="00A00DFF">
      <w:pPr>
        <w:pStyle w:val="ListParagraph"/>
        <w:numPr>
          <w:ilvl w:val="1"/>
          <w:numId w:val="3"/>
        </w:numPr>
        <w:spacing w:line="480" w:lineRule="auto"/>
        <w:ind w:left="360"/>
        <w:jc w:val="both"/>
        <w:rPr>
          <w:rFonts w:ascii="Century Schoolbook" w:hAnsi="Century Schoolbook" w:cs="Times New Roman"/>
          <w:b/>
          <w:i/>
        </w:rPr>
      </w:pPr>
      <w:r w:rsidRPr="00D33D99">
        <w:rPr>
          <w:rFonts w:ascii="Century Schoolbook" w:hAnsi="Century Schoolbook" w:cs="Times New Roman"/>
          <w:b/>
          <w:i/>
        </w:rPr>
        <w:t xml:space="preserve">  </w:t>
      </w:r>
      <w:r w:rsidR="00E354EB" w:rsidRPr="00D33D99">
        <w:rPr>
          <w:rFonts w:ascii="Century Schoolbook" w:hAnsi="Century Schoolbook" w:cs="Times New Roman"/>
          <w:b/>
          <w:i/>
        </w:rPr>
        <w:t>Stock price reaction to recommendation revision</w:t>
      </w:r>
    </w:p>
    <w:p w14:paraId="24718B1D" w14:textId="36906386" w:rsidR="00E354EB" w:rsidRPr="00AB75FD" w:rsidRDefault="001D2085" w:rsidP="00E81AEC">
      <w:pPr>
        <w:spacing w:line="480" w:lineRule="auto"/>
        <w:ind w:firstLine="360"/>
        <w:jc w:val="both"/>
        <w:rPr>
          <w:rFonts w:ascii="Century Schoolbook" w:hAnsi="Century Schoolbook" w:cs="Times New Roman"/>
        </w:rPr>
      </w:pPr>
      <w:r w:rsidRPr="00AB75FD">
        <w:rPr>
          <w:rFonts w:ascii="Century Schoolbook" w:hAnsi="Century Schoolbook" w:cs="Times New Roman"/>
        </w:rPr>
        <w:t>Our objective is to quantify the difference in immediate market reactions to recommendation changes made by slow</w:t>
      </w:r>
      <w:r w:rsidR="003944C8">
        <w:rPr>
          <w:rFonts w:ascii="Century Schoolbook" w:hAnsi="Century Schoolbook" w:cs="Times New Roman"/>
        </w:rPr>
        <w:t>-</w:t>
      </w:r>
      <w:r w:rsidRPr="00AB75FD">
        <w:rPr>
          <w:rFonts w:ascii="Century Schoolbook" w:hAnsi="Century Schoolbook" w:cs="Times New Roman"/>
        </w:rPr>
        <w:t xml:space="preserve"> versus fast</w:t>
      </w:r>
      <w:r w:rsidR="003944C8">
        <w:rPr>
          <w:rFonts w:ascii="Century Schoolbook" w:hAnsi="Century Schoolbook" w:cs="Times New Roman"/>
        </w:rPr>
        <w:t>-</w:t>
      </w:r>
      <w:r w:rsidRPr="00AB75FD">
        <w:rPr>
          <w:rFonts w:ascii="Century Schoolbook" w:hAnsi="Century Schoolbook" w:cs="Times New Roman"/>
        </w:rPr>
        <w:t xml:space="preserve">turnover analysts after controlling for various factors. </w:t>
      </w:r>
      <w:r w:rsidR="00B54289" w:rsidRPr="00AB75FD">
        <w:rPr>
          <w:rFonts w:ascii="Century Schoolbook" w:hAnsi="Century Schoolbook" w:cs="Times New Roman"/>
        </w:rPr>
        <w:t>We estimate the following regression model:</w:t>
      </w:r>
    </w:p>
    <w:tbl>
      <w:tblPr>
        <w:tblStyle w:val="TableGrid"/>
        <w:tblW w:w="9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768"/>
        <w:gridCol w:w="515"/>
      </w:tblGrid>
      <w:tr w:rsidR="007D19E3" w:rsidRPr="00B35E43" w14:paraId="72916669" w14:textId="77777777" w:rsidTr="00A47527">
        <w:trPr>
          <w:trHeight w:val="502"/>
        </w:trPr>
        <w:tc>
          <w:tcPr>
            <w:tcW w:w="0" w:type="auto"/>
          </w:tcPr>
          <w:p w14:paraId="3FF49AB3" w14:textId="77777777" w:rsidR="007D19E3" w:rsidRPr="00B35E43" w:rsidRDefault="007D19E3" w:rsidP="00A00DFF">
            <w:pPr>
              <w:spacing w:line="480" w:lineRule="auto"/>
              <w:jc w:val="right"/>
              <w:rPr>
                <w:rFonts w:ascii="Century Schoolbook" w:eastAsia="Calibri" w:hAnsi="Century Schoolbook"/>
                <w:sz w:val="22"/>
              </w:rPr>
            </w:pPr>
          </w:p>
        </w:tc>
        <w:tc>
          <w:tcPr>
            <w:tcW w:w="0" w:type="auto"/>
          </w:tcPr>
          <w:p w14:paraId="51122F89" w14:textId="77777777" w:rsidR="00A06EF5" w:rsidRPr="00A06EF5" w:rsidRDefault="007D19E3" w:rsidP="00A00DFF">
            <w:pPr>
              <w:spacing w:line="480" w:lineRule="auto"/>
              <w:jc w:val="center"/>
              <w:rPr>
                <w:rFonts w:ascii="Century Schoolbook" w:eastAsia="Calibri" w:hAnsi="Century Schoolbook"/>
                <w:sz w:val="22"/>
              </w:rPr>
            </w:pPr>
            <m:oMath>
              <m:r>
                <w:rPr>
                  <w:rFonts w:ascii="Cambria Math" w:hAnsi="Cambria Math"/>
                  <w:sz w:val="22"/>
                </w:rPr>
                <m:t>BHAR</m:t>
              </m:r>
              <m:sSub>
                <m:sSubPr>
                  <m:ctrlPr>
                    <w:rPr>
                      <w:rFonts w:ascii="Cambria Math" w:hAnsi="Cambria Math"/>
                      <w:i/>
                      <w:sz w:val="22"/>
                    </w:rPr>
                  </m:ctrlPr>
                </m:sSubPr>
                <m:e>
                  <m:d>
                    <m:dPr>
                      <m:begChr m:val="["/>
                      <m:endChr m:val="]"/>
                      <m:ctrlPr>
                        <w:rPr>
                          <w:rFonts w:ascii="Cambria Math" w:hAnsi="Cambria Math"/>
                          <w:i/>
                          <w:sz w:val="22"/>
                        </w:rPr>
                      </m:ctrlPr>
                    </m:dPr>
                    <m:e>
                      <m:r>
                        <w:rPr>
                          <w:rFonts w:ascii="Cambria Math" w:hAnsi="Cambria Math"/>
                          <w:sz w:val="22"/>
                        </w:rPr>
                        <m:t>-1;+1</m:t>
                      </m:r>
                    </m:e>
                  </m:d>
                </m:e>
                <m:sub>
                  <m:r>
                    <w:rPr>
                      <w:rFonts w:ascii="Cambria Math" w:hAnsi="Cambria Math"/>
                      <w:sz w:val="22"/>
                    </w:rPr>
                    <m:t>s,i,t</m:t>
                  </m:r>
                </m:sub>
              </m:sSub>
              <m:r>
                <w:rPr>
                  <w:rFonts w:ascii="Cambria Math" w:hAnsi="Cambria Math"/>
                  <w:sz w:val="22"/>
                </w:rPr>
                <m:t xml:space="preserve">=Slow  </m:t>
              </m:r>
              <m:sSub>
                <m:sSubPr>
                  <m:ctrlPr>
                    <w:rPr>
                      <w:rFonts w:ascii="Cambria Math" w:hAnsi="Cambria Math"/>
                      <w:i/>
                      <w:sz w:val="22"/>
                    </w:rPr>
                  </m:ctrlPr>
                </m:sSubPr>
                <m:e>
                  <m:r>
                    <w:rPr>
                      <w:rFonts w:ascii="Cambria Math" w:hAnsi="Cambria Math"/>
                      <w:sz w:val="22"/>
                    </w:rPr>
                    <m:t>analyst</m:t>
                  </m:r>
                </m:e>
                <m:sub>
                  <m:r>
                    <w:rPr>
                      <w:rFonts w:ascii="Cambria Math" w:hAnsi="Cambria Math"/>
                      <w:sz w:val="22"/>
                    </w:rPr>
                    <m:t>i</m:t>
                  </m:r>
                </m:sub>
              </m:sSub>
              <m:r>
                <w:rPr>
                  <w:rFonts w:ascii="Cambria Math" w:hAnsi="Cambria Math"/>
                  <w:sz w:val="22"/>
                </w:rPr>
                <m:t>+βAnalyst Control</m:t>
              </m:r>
              <m:sSub>
                <m:sSubPr>
                  <m:ctrlPr>
                    <w:rPr>
                      <w:rFonts w:ascii="Cambria Math" w:hAnsi="Cambria Math"/>
                      <w:i/>
                      <w:sz w:val="22"/>
                    </w:rPr>
                  </m:ctrlPr>
                </m:sSubPr>
                <m:e>
                  <m:r>
                    <w:rPr>
                      <w:rFonts w:ascii="Cambria Math" w:hAnsi="Cambria Math"/>
                      <w:sz w:val="22"/>
                    </w:rPr>
                    <m:t>s</m:t>
                  </m:r>
                </m:e>
                <m:sub>
                  <m:r>
                    <w:rPr>
                      <w:rFonts w:ascii="Cambria Math" w:hAnsi="Cambria Math"/>
                      <w:sz w:val="22"/>
                    </w:rPr>
                    <m:t>i,t</m:t>
                  </m:r>
                </m:sub>
              </m:sSub>
            </m:oMath>
            <w:r w:rsidR="00A06EF5">
              <w:rPr>
                <w:rFonts w:ascii="Century Schoolbook" w:eastAsia="Calibri" w:hAnsi="Century Schoolbook"/>
                <w:sz w:val="22"/>
              </w:rPr>
              <w:t xml:space="preserve">  </w:t>
            </w:r>
            <m:oMath>
              <m:r>
                <w:rPr>
                  <w:rFonts w:ascii="Cambria Math" w:hAnsi="Cambria Math"/>
                  <w:sz w:val="22"/>
                </w:rPr>
                <m:t>+ γRevision Control</m:t>
              </m:r>
              <m:sSub>
                <m:sSubPr>
                  <m:ctrlPr>
                    <w:rPr>
                      <w:rFonts w:ascii="Cambria Math" w:hAnsi="Cambria Math"/>
                      <w:i/>
                      <w:sz w:val="22"/>
                    </w:rPr>
                  </m:ctrlPr>
                </m:sSubPr>
                <m:e>
                  <m:r>
                    <w:rPr>
                      <w:rFonts w:ascii="Cambria Math" w:hAnsi="Cambria Math"/>
                      <w:sz w:val="22"/>
                    </w:rPr>
                    <m:t>s</m:t>
                  </m:r>
                </m:e>
                <m:sub>
                  <m:r>
                    <w:rPr>
                      <w:rFonts w:ascii="Cambria Math" w:hAnsi="Cambria Math"/>
                      <w:sz w:val="22"/>
                    </w:rPr>
                    <m:t>s,t</m:t>
                  </m:r>
                </m:sub>
              </m:sSub>
            </m:oMath>
          </w:p>
          <w:p w14:paraId="25DFA2AE" w14:textId="11A3B98E" w:rsidR="00884893" w:rsidRPr="00B35E43" w:rsidRDefault="007D19E3" w:rsidP="00A00DFF">
            <w:pPr>
              <w:spacing w:line="480" w:lineRule="auto"/>
              <w:jc w:val="center"/>
              <w:rPr>
                <w:rFonts w:ascii="Century Schoolbook" w:eastAsia="Calibri" w:hAnsi="Century Schoolbook"/>
                <w:i/>
                <w:sz w:val="22"/>
              </w:rPr>
            </w:pPr>
            <m:oMathPara>
              <m:oMath>
                <m:r>
                  <w:rPr>
                    <w:rFonts w:ascii="Cambria Math" w:hAnsi="Cambria Math"/>
                    <w:sz w:val="22"/>
                  </w:rPr>
                  <m:t>+ δStock Control</m:t>
                </m:r>
                <m:sSub>
                  <m:sSubPr>
                    <m:ctrlPr>
                      <w:rPr>
                        <w:rFonts w:ascii="Cambria Math" w:hAnsi="Cambria Math"/>
                        <w:i/>
                        <w:sz w:val="22"/>
                      </w:rPr>
                    </m:ctrlPr>
                  </m:sSubPr>
                  <m:e>
                    <m:r>
                      <w:rPr>
                        <w:rFonts w:ascii="Cambria Math" w:hAnsi="Cambria Math"/>
                        <w:sz w:val="22"/>
                      </w:rPr>
                      <m:t>s</m:t>
                    </m:r>
                  </m:e>
                  <m:sub>
                    <m:r>
                      <w:rPr>
                        <w:rFonts w:ascii="Cambria Math" w:hAnsi="Cambria Math"/>
                        <w:sz w:val="22"/>
                      </w:rPr>
                      <m:t>s,t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s,i,t</m:t>
                    </m:r>
                  </m:sub>
                </m:sSub>
                <m:r>
                  <w:rPr>
                    <w:rFonts w:ascii="Cambria Math" w:eastAsiaTheme="minorEastAsia" w:hAnsi="Cambria Math"/>
                    <w:sz w:val="22"/>
                  </w:rPr>
                  <m:t>,</m:t>
                </m:r>
              </m:oMath>
            </m:oMathPara>
          </w:p>
        </w:tc>
        <w:tc>
          <w:tcPr>
            <w:tcW w:w="0" w:type="auto"/>
          </w:tcPr>
          <w:p w14:paraId="0F70B9B7" w14:textId="715E0DE6" w:rsidR="007D19E3" w:rsidRPr="00B35E43" w:rsidRDefault="002D570B" w:rsidP="00A00DFF">
            <w:pPr>
              <w:spacing w:line="480" w:lineRule="auto"/>
              <w:jc w:val="right"/>
              <w:rPr>
                <w:rFonts w:ascii="Century Schoolbook" w:eastAsia="Calibri" w:hAnsi="Century Schoolbook"/>
                <w:sz w:val="22"/>
              </w:rPr>
            </w:pPr>
            <w:r>
              <w:rPr>
                <w:rFonts w:ascii="Century Schoolbook" w:eastAsia="Calibri" w:hAnsi="Century Schoolbook"/>
                <w:sz w:val="22"/>
              </w:rPr>
              <w:t>(2</w:t>
            </w:r>
            <w:r w:rsidR="007D19E3" w:rsidRPr="00B35E43">
              <w:rPr>
                <w:rFonts w:ascii="Century Schoolbook" w:eastAsia="Calibri" w:hAnsi="Century Schoolbook"/>
                <w:sz w:val="22"/>
              </w:rPr>
              <w:t>)</w:t>
            </w:r>
          </w:p>
        </w:tc>
      </w:tr>
    </w:tbl>
    <w:p w14:paraId="70D61A47" w14:textId="65BE5930" w:rsidR="00AE03ED" w:rsidRPr="00AB75FD" w:rsidRDefault="001D2085" w:rsidP="00A00DFF">
      <w:pPr>
        <w:autoSpaceDE w:val="0"/>
        <w:autoSpaceDN w:val="0"/>
        <w:adjustRightInd w:val="0"/>
        <w:spacing w:after="0" w:line="480" w:lineRule="auto"/>
        <w:jc w:val="both"/>
        <w:rPr>
          <w:rFonts w:ascii="Century Schoolbook" w:eastAsia="Times New Roman" w:hAnsi="Century Schoolbook" w:cs="Times New Roman"/>
          <w:lang w:eastAsia="fr-FR"/>
        </w:rPr>
      </w:pPr>
      <w:r w:rsidRPr="00AB75FD">
        <w:rPr>
          <w:rFonts w:ascii="Century Schoolbook" w:eastAsiaTheme="minorEastAsia" w:hAnsi="Century Schoolbook" w:cs="Times New Roman"/>
        </w:rPr>
        <w:t>where</w:t>
      </w:r>
      <w:r w:rsidR="005225E7">
        <w:rPr>
          <w:rFonts w:ascii="Century Schoolbook" w:eastAsiaTheme="minorEastAsia" w:hAnsi="Century Schoolbook" w:cs="Times New Roman"/>
        </w:rPr>
        <w:t xml:space="preserve"> </w:t>
      </w:r>
      <m:oMath>
        <m:r>
          <w:rPr>
            <w:rFonts w:ascii="Cambria Math" w:hAnsi="Cambria Math" w:cs="Times New Roman"/>
          </w:rPr>
          <m:t>BHAR</m:t>
        </m:r>
        <m:sSub>
          <m:sSubPr>
            <m:ctrlPr>
              <w:rPr>
                <w:rFonts w:ascii="Cambria Math" w:hAnsi="Cambria Math" w:cs="Times New Roman"/>
                <w:i/>
              </w:rPr>
            </m:ctrlPr>
          </m:sSubPr>
          <m:e>
            <m:d>
              <m:dPr>
                <m:begChr m:val="["/>
                <m:endChr m:val="]"/>
                <m:ctrlPr>
                  <w:rPr>
                    <w:rFonts w:ascii="Cambria Math" w:hAnsi="Cambria Math" w:cs="Times New Roman"/>
                    <w:i/>
                  </w:rPr>
                </m:ctrlPr>
              </m:dPr>
              <m:e>
                <m:r>
                  <w:rPr>
                    <w:rFonts w:ascii="Cambria Math" w:hAnsi="Cambria Math" w:cs="Times New Roman"/>
                  </w:rPr>
                  <m:t>-1;+1</m:t>
                </m:r>
              </m:e>
            </m:d>
          </m:e>
          <m:sub>
            <m:r>
              <w:rPr>
                <w:rFonts w:ascii="Cambria Math" w:hAnsi="Cambria Math" w:cs="Times New Roman"/>
              </w:rPr>
              <m:t>s,i,t</m:t>
            </m:r>
          </m:sub>
        </m:sSub>
      </m:oMath>
      <w:r w:rsidRPr="00AB75FD">
        <w:rPr>
          <w:rFonts w:ascii="Century Schoolbook" w:eastAsiaTheme="minorEastAsia" w:hAnsi="Century Schoolbook" w:cs="Times New Roman"/>
        </w:rPr>
        <w:t xml:space="preserve"> </w:t>
      </w:r>
      <w:r w:rsidR="00FE6291">
        <w:rPr>
          <w:rFonts w:ascii="Century Schoolbook" w:eastAsiaTheme="minorEastAsia" w:hAnsi="Century Schoolbook" w:cs="Times New Roman"/>
        </w:rPr>
        <w:t xml:space="preserve">is the buy-and-hold abnormal return </w:t>
      </w:r>
      <w:r w:rsidR="00E81AEC" w:rsidRPr="00AB75FD">
        <w:rPr>
          <w:rFonts w:ascii="Century Schoolbook" w:eastAsia="Times New Roman" w:hAnsi="Century Schoolbook" w:cs="Times New Roman"/>
          <w:lang w:eastAsia="fr-FR"/>
        </w:rPr>
        <w:t xml:space="preserve">(BHAR) </w:t>
      </w:r>
      <w:r w:rsidR="00FE6291">
        <w:rPr>
          <w:rFonts w:ascii="Century Schoolbook" w:eastAsiaTheme="minorEastAsia" w:hAnsi="Century Schoolbook" w:cs="Times New Roman"/>
        </w:rPr>
        <w:t xml:space="preserve">centered on the </w:t>
      </w:r>
      <w:r w:rsidR="00E354EB" w:rsidRPr="00AB75FD">
        <w:rPr>
          <w:rFonts w:ascii="Century Schoolbook" w:hAnsi="Century Schoolbook" w:cs="Times New Roman"/>
        </w:rPr>
        <w:t xml:space="preserve">recommendation revision made by analyst </w:t>
      </w:r>
      <w:proofErr w:type="spellStart"/>
      <w:r w:rsidR="00E354EB" w:rsidRPr="00AB75FD">
        <w:rPr>
          <w:rFonts w:ascii="Century Schoolbook" w:hAnsi="Century Schoolbook" w:cs="Times New Roman"/>
          <w:i/>
        </w:rPr>
        <w:t>i</w:t>
      </w:r>
      <w:proofErr w:type="spellEnd"/>
      <w:r w:rsidR="00E354EB" w:rsidRPr="00AB75FD">
        <w:rPr>
          <w:rFonts w:ascii="Century Schoolbook" w:hAnsi="Century Schoolbook" w:cs="Times New Roman"/>
          <w:i/>
        </w:rPr>
        <w:t xml:space="preserve"> </w:t>
      </w:r>
      <w:r w:rsidR="00E354EB" w:rsidRPr="00AB75FD">
        <w:rPr>
          <w:rFonts w:ascii="Century Schoolbook" w:hAnsi="Century Schoolbook" w:cs="Times New Roman"/>
        </w:rPr>
        <w:t xml:space="preserve">on stock </w:t>
      </w:r>
      <w:r w:rsidR="00E354EB" w:rsidRPr="00AB75FD">
        <w:rPr>
          <w:rFonts w:ascii="Century Schoolbook" w:hAnsi="Century Schoolbook" w:cs="Times New Roman"/>
          <w:i/>
        </w:rPr>
        <w:t xml:space="preserve">s </w:t>
      </w:r>
      <w:r w:rsidR="00E354EB" w:rsidRPr="00AB75FD">
        <w:rPr>
          <w:rFonts w:ascii="Century Schoolbook" w:hAnsi="Century Schoolbook" w:cs="Times New Roman"/>
        </w:rPr>
        <w:t xml:space="preserve">at time </w:t>
      </w:r>
      <w:r w:rsidR="00E354EB" w:rsidRPr="00AB75FD">
        <w:rPr>
          <w:rFonts w:ascii="Century Schoolbook" w:hAnsi="Century Schoolbook" w:cs="Times New Roman"/>
          <w:i/>
        </w:rPr>
        <w:t>t</w:t>
      </w:r>
      <w:r w:rsidR="00E354EB" w:rsidRPr="00AB75FD">
        <w:rPr>
          <w:rFonts w:ascii="Century Schoolbook" w:hAnsi="Century Schoolbook" w:cs="Times New Roman"/>
        </w:rPr>
        <w:t>.</w:t>
      </w:r>
      <w:r w:rsidR="00997914" w:rsidRPr="00AB75FD">
        <w:rPr>
          <w:rStyle w:val="FootnoteReference"/>
          <w:rFonts w:ascii="Century Schoolbook" w:hAnsi="Century Schoolbook" w:cs="Times New Roman"/>
        </w:rPr>
        <w:footnoteReference w:id="17"/>
      </w:r>
      <w:r w:rsidR="00E354EB" w:rsidRPr="00AB75FD">
        <w:rPr>
          <w:rFonts w:ascii="Century Schoolbook" w:hAnsi="Century Schoolbook" w:cs="Times New Roman"/>
        </w:rPr>
        <w:t xml:space="preserve"> </w:t>
      </w:r>
      <w:r w:rsidR="00AE03ED">
        <w:rPr>
          <w:rFonts w:ascii="Century Schoolbook" w:eastAsia="Times New Roman" w:hAnsi="Century Schoolbook" w:cs="Times New Roman"/>
          <w:lang w:eastAsia="fr-FR"/>
        </w:rPr>
        <w:t>The</w:t>
      </w:r>
      <w:r w:rsidR="00AE03ED" w:rsidRPr="00AB75FD">
        <w:rPr>
          <w:rFonts w:ascii="Century Schoolbook" w:eastAsia="Times New Roman" w:hAnsi="Century Schoolbook" w:cs="Times New Roman"/>
          <w:lang w:eastAsia="fr-FR"/>
        </w:rPr>
        <w:t xml:space="preserve"> </w:t>
      </w:r>
      <w:r w:rsidR="00E81AEC">
        <w:rPr>
          <w:rFonts w:ascii="Century Schoolbook" w:eastAsia="Times New Roman" w:hAnsi="Century Schoolbook" w:cs="Times New Roman"/>
          <w:lang w:eastAsia="fr-FR"/>
        </w:rPr>
        <w:t>BHAR</w:t>
      </w:r>
      <w:r w:rsidR="00AE03ED" w:rsidRPr="00AB75FD">
        <w:rPr>
          <w:rFonts w:ascii="Century Schoolbook" w:eastAsia="Times New Roman" w:hAnsi="Century Schoolbook" w:cs="Times New Roman"/>
          <w:lang w:eastAsia="fr-FR"/>
        </w:rPr>
        <w:t xml:space="preserve"> from </w:t>
      </w:r>
      <w:r w:rsidR="00AE03ED">
        <w:rPr>
          <w:rFonts w:ascii="Century Schoolbook" w:eastAsia="Times New Roman" w:hAnsi="Century Schoolbook" w:cs="Times New Roman"/>
          <w:lang w:eastAsia="fr-FR"/>
        </w:rPr>
        <w:t>days</w:t>
      </w:r>
      <w:r w:rsidR="00AE03ED" w:rsidRPr="00AB75FD">
        <w:rPr>
          <w:rFonts w:ascii="Century Schoolbook" w:eastAsia="Times New Roman" w:hAnsi="Century Schoolbook" w:cs="Times New Roman"/>
          <w:lang w:eastAsia="fr-FR"/>
        </w:rPr>
        <w:t xml:space="preserve"> </w:t>
      </w:r>
      <m:oMath>
        <m:r>
          <w:rPr>
            <w:rFonts w:ascii="Cambria Math" w:eastAsia="Times New Roman" w:hAnsi="Cambria Math" w:cs="Times New Roman"/>
            <w:lang w:eastAsia="fr-FR"/>
          </w:rPr>
          <m:t>t</m:t>
        </m:r>
        <m:r>
          <w:rPr>
            <w:rFonts w:ascii="Cambria Math" w:hAnsi="Cambria Math" w:cs="Times New Roman"/>
          </w:rPr>
          <m:t>-1</m:t>
        </m:r>
      </m:oMath>
      <w:r w:rsidR="00AE03ED">
        <w:rPr>
          <w:rFonts w:ascii="Century Schoolbook" w:eastAsia="Times New Roman" w:hAnsi="Century Schoolbook" w:cs="Times New Roman"/>
          <w:lang w:eastAsia="fr-FR"/>
        </w:rPr>
        <w:t xml:space="preserve"> to day</w:t>
      </w:r>
      <w:r w:rsidR="00AE03ED" w:rsidRPr="00AB75FD">
        <w:rPr>
          <w:rFonts w:ascii="Century Schoolbook" w:eastAsia="Times New Roman" w:hAnsi="Century Schoolbook" w:cs="Times New Roman"/>
          <w:lang w:eastAsia="fr-FR"/>
        </w:rPr>
        <w:t xml:space="preserve"> </w:t>
      </w:r>
      <m:oMath>
        <m:r>
          <w:rPr>
            <w:rFonts w:ascii="Cambria Math" w:eastAsia="Times New Roman" w:hAnsi="Cambria Math" w:cs="Times New Roman"/>
            <w:lang w:eastAsia="fr-FR"/>
          </w:rPr>
          <m:t>t</m:t>
        </m:r>
        <m:r>
          <w:rPr>
            <w:rFonts w:ascii="Cambria Math" w:hAnsi="Cambria Math" w:cs="Times New Roman"/>
          </w:rPr>
          <m:t xml:space="preserve">+1 </m:t>
        </m:r>
      </m:oMath>
      <w:r w:rsidR="00AE03ED">
        <w:rPr>
          <w:rFonts w:ascii="Century Schoolbook" w:eastAsia="Times New Roman" w:hAnsi="Century Schoolbook" w:cs="Times New Roman"/>
        </w:rPr>
        <w:t xml:space="preserve">relative to the recommendation date </w:t>
      </w:r>
      <w:r w:rsidR="00AE03ED" w:rsidRPr="00AE03ED">
        <w:rPr>
          <w:rFonts w:ascii="Century Schoolbook" w:eastAsia="Times New Roman" w:hAnsi="Century Schoolbook" w:cs="Times New Roman"/>
          <w:i/>
        </w:rPr>
        <w:t>t</w:t>
      </w:r>
      <w:r w:rsidR="00AE03ED">
        <w:rPr>
          <w:rFonts w:ascii="Century Schoolbook" w:eastAsia="Times New Roman" w:hAnsi="Century Schoolbook" w:cs="Times New Roman"/>
        </w:rPr>
        <w:t xml:space="preserve"> is calculated </w:t>
      </w:r>
      <w:r w:rsidR="00AE03ED" w:rsidRPr="00AB75FD">
        <w:rPr>
          <w:rFonts w:ascii="Century Schoolbook" w:eastAsia="Times New Roman" w:hAnsi="Century Schoolbook" w:cs="Times New Roman"/>
          <w:lang w:eastAsia="fr-FR"/>
        </w:rPr>
        <w:t>as follows:</w:t>
      </w:r>
    </w:p>
    <w:p w14:paraId="60BB0FA0" w14:textId="77777777" w:rsidR="00AE03ED" w:rsidRPr="00AB75FD" w:rsidRDefault="00AE03ED" w:rsidP="00A00DFF">
      <w:pPr>
        <w:pStyle w:val="ListParagraph"/>
        <w:autoSpaceDE w:val="0"/>
        <w:autoSpaceDN w:val="0"/>
        <w:adjustRightInd w:val="0"/>
        <w:spacing w:after="0" w:line="480" w:lineRule="auto"/>
        <w:ind w:left="360"/>
        <w:jc w:val="both"/>
        <w:rPr>
          <w:rFonts w:ascii="Century Schoolbook" w:eastAsia="Times New Roman" w:hAnsi="Century Schoolbook" w:cs="Times New Roman"/>
          <w:lang w:eastAsia="fr-FR"/>
        </w:rPr>
      </w:pPr>
      <m:oMathPara>
        <m:oMath>
          <m:r>
            <w:rPr>
              <w:rFonts w:ascii="Cambria Math" w:eastAsia="Times New Roman" w:hAnsi="Cambria Math" w:cs="Times New Roman"/>
              <w:lang w:eastAsia="fr-FR"/>
            </w:rPr>
            <m:t>BHAR[</m:t>
          </m:r>
          <m:r>
            <w:rPr>
              <w:rFonts w:ascii="Cambria Math" w:hAnsi="Cambria Math"/>
            </w:rPr>
            <m:t>-1</m:t>
          </m:r>
          <m:r>
            <w:rPr>
              <w:rFonts w:ascii="Cambria Math" w:eastAsia="Times New Roman" w:hAnsi="Cambria Math" w:cs="Times New Roman"/>
              <w:lang w:eastAsia="fr-FR"/>
            </w:rPr>
            <m:t>,+1]=</m:t>
          </m:r>
          <m:sSubSup>
            <m:sSubSupPr>
              <m:ctrlPr>
                <w:rPr>
                  <w:rFonts w:ascii="Cambria Math" w:eastAsia="Times New Roman" w:hAnsi="Cambria Math" w:cs="Times New Roman"/>
                  <w:i/>
                  <w:lang w:eastAsia="fr-FR"/>
                </w:rPr>
              </m:ctrlPr>
            </m:sSubSupPr>
            <m:e>
              <m:r>
                <w:rPr>
                  <w:rFonts w:ascii="Cambria Math" w:eastAsia="Times New Roman" w:hAnsi="Cambria Math" w:cs="Times New Roman"/>
                  <w:lang w:eastAsia="fr-FR"/>
                </w:rPr>
                <m:t>∏</m:t>
              </m:r>
            </m:e>
            <m:sub>
              <m:r>
                <w:rPr>
                  <w:rFonts w:ascii="Cambria Math" w:eastAsia="Times New Roman" w:hAnsi="Cambria Math" w:cs="Times New Roman"/>
                  <w:lang w:eastAsia="fr-FR"/>
                </w:rPr>
                <m:t>τ=t-1</m:t>
              </m:r>
            </m:sub>
            <m:sup>
              <m:r>
                <w:rPr>
                  <w:rFonts w:ascii="Cambria Math" w:eastAsia="Times New Roman" w:hAnsi="Cambria Math" w:cs="Times New Roman"/>
                  <w:lang w:eastAsia="fr-FR"/>
                </w:rPr>
                <m:t>t+1</m:t>
              </m:r>
            </m:sup>
          </m:sSubSup>
          <m:r>
            <m:rPr>
              <m:sty m:val="p"/>
            </m:rPr>
            <w:rPr>
              <w:rFonts w:ascii="Cambria Math" w:eastAsia="Times New Roman" w:hAnsi="Cambria Math" w:cs="Times New Roman"/>
              <w:lang w:eastAsia="fr-FR"/>
            </w:rPr>
            <m:t>(1+</m:t>
          </m:r>
          <m:sSub>
            <m:sSubPr>
              <m:ctrlPr>
                <w:rPr>
                  <w:rFonts w:ascii="Cambria Math" w:eastAsia="Times New Roman" w:hAnsi="Cambria Math" w:cs="Times New Roman"/>
                  <w:lang w:eastAsia="fr-FR"/>
                </w:rPr>
              </m:ctrlPr>
            </m:sSubPr>
            <m:e>
              <m:r>
                <w:rPr>
                  <w:rFonts w:ascii="Cambria Math" w:eastAsia="Times New Roman" w:hAnsi="Cambria Math" w:cs="Times New Roman"/>
                  <w:lang w:eastAsia="fr-FR"/>
                </w:rPr>
                <m:t>R</m:t>
              </m:r>
            </m:e>
            <m:sub>
              <m:r>
                <m:rPr>
                  <m:sty m:val="p"/>
                </m:rPr>
                <w:rPr>
                  <w:rFonts w:ascii="Cambria Math" w:eastAsia="Times New Roman" w:hAnsi="Cambria Math" w:cs="Times New Roman"/>
                  <w:lang w:eastAsia="fr-FR"/>
                </w:rPr>
                <m:t>s,</m:t>
              </m:r>
              <m:r>
                <w:rPr>
                  <w:rFonts w:ascii="Cambria Math" w:eastAsia="Times New Roman" w:hAnsi="Cambria Math" w:cs="Times New Roman"/>
                  <w:lang w:eastAsia="fr-FR"/>
                </w:rPr>
                <m:t xml:space="preserve"> τ</m:t>
              </m:r>
            </m:sub>
          </m:sSub>
          <m:r>
            <w:rPr>
              <w:rFonts w:ascii="Cambria Math" w:eastAsia="Times New Roman" w:hAnsi="Cambria Math" w:cs="Times New Roman"/>
              <w:lang w:eastAsia="fr-FR"/>
            </w:rPr>
            <m:t>)-</m:t>
          </m:r>
          <m:sSubSup>
            <m:sSubSupPr>
              <m:ctrlPr>
                <w:rPr>
                  <w:rFonts w:ascii="Cambria Math" w:eastAsia="Times New Roman" w:hAnsi="Cambria Math" w:cs="Times New Roman"/>
                  <w:i/>
                  <w:lang w:eastAsia="fr-FR"/>
                </w:rPr>
              </m:ctrlPr>
            </m:sSubSupPr>
            <m:e>
              <m:r>
                <w:rPr>
                  <w:rFonts w:ascii="Cambria Math" w:eastAsia="Times New Roman" w:hAnsi="Cambria Math" w:cs="Times New Roman"/>
                  <w:lang w:eastAsia="fr-FR"/>
                </w:rPr>
                <m:t>∏</m:t>
              </m:r>
            </m:e>
            <m:sub>
              <m:r>
                <w:rPr>
                  <w:rFonts w:ascii="Cambria Math" w:eastAsia="Times New Roman" w:hAnsi="Cambria Math" w:cs="Times New Roman"/>
                  <w:lang w:eastAsia="fr-FR"/>
                </w:rPr>
                <m:t>τ=t-1</m:t>
              </m:r>
            </m:sub>
            <m:sup>
              <m:r>
                <w:rPr>
                  <w:rFonts w:ascii="Cambria Math" w:eastAsia="Times New Roman" w:hAnsi="Cambria Math" w:cs="Times New Roman"/>
                  <w:lang w:eastAsia="fr-FR"/>
                </w:rPr>
                <m:t>t+1</m:t>
              </m:r>
            </m:sup>
          </m:sSubSup>
          <m:r>
            <m:rPr>
              <m:sty m:val="p"/>
            </m:rPr>
            <w:rPr>
              <w:rFonts w:ascii="Cambria Math" w:eastAsia="Times New Roman" w:hAnsi="Cambria Math" w:cs="Times New Roman"/>
              <w:lang w:eastAsia="fr-FR"/>
            </w:rPr>
            <m:t>(1+</m:t>
          </m:r>
          <m:sSub>
            <m:sSubPr>
              <m:ctrlPr>
                <w:rPr>
                  <w:rFonts w:ascii="Cambria Math" w:eastAsia="Times New Roman" w:hAnsi="Cambria Math" w:cs="Times New Roman"/>
                  <w:lang w:eastAsia="fr-FR"/>
                </w:rPr>
              </m:ctrlPr>
            </m:sSubPr>
            <m:e>
              <m:r>
                <w:rPr>
                  <w:rFonts w:ascii="Cambria Math" w:eastAsia="Times New Roman" w:hAnsi="Cambria Math" w:cs="Times New Roman"/>
                  <w:lang w:eastAsia="fr-FR"/>
                </w:rPr>
                <m:t>R</m:t>
              </m:r>
            </m:e>
            <m:sub>
              <m:r>
                <m:rPr>
                  <m:sty m:val="p"/>
                </m:rPr>
                <w:rPr>
                  <w:rFonts w:ascii="Cambria Math" w:eastAsia="Times New Roman" w:hAnsi="Cambria Math" w:cs="Times New Roman"/>
                  <w:lang w:eastAsia="fr-FR"/>
                </w:rPr>
                <m:t>DGTW,</m:t>
              </m:r>
              <m:r>
                <w:rPr>
                  <w:rFonts w:ascii="Cambria Math" w:eastAsia="Times New Roman" w:hAnsi="Cambria Math" w:cs="Times New Roman"/>
                  <w:lang w:eastAsia="fr-FR"/>
                </w:rPr>
                <m:t xml:space="preserve"> τ</m:t>
              </m:r>
            </m:sub>
          </m:sSub>
          <m:r>
            <w:rPr>
              <w:rFonts w:ascii="Cambria Math" w:eastAsia="Times New Roman" w:hAnsi="Cambria Math" w:cs="Times New Roman"/>
              <w:lang w:eastAsia="fr-FR"/>
            </w:rPr>
            <m:t>),</m:t>
          </m:r>
        </m:oMath>
      </m:oMathPara>
    </w:p>
    <w:p w14:paraId="1C70D504" w14:textId="77777777" w:rsidR="00242D5D" w:rsidRDefault="00AE03ED" w:rsidP="00A00DFF">
      <w:pPr>
        <w:autoSpaceDE w:val="0"/>
        <w:autoSpaceDN w:val="0"/>
        <w:adjustRightInd w:val="0"/>
        <w:spacing w:after="0" w:line="480" w:lineRule="auto"/>
        <w:jc w:val="both"/>
        <w:rPr>
          <w:rFonts w:ascii="Century Schoolbook" w:hAnsi="Century Schoolbook" w:cs="Times New Roman"/>
        </w:rPr>
      </w:pPr>
      <w:r w:rsidRPr="00AB75FD">
        <w:rPr>
          <w:rFonts w:ascii="Century Schoolbook" w:eastAsia="Times New Roman" w:hAnsi="Century Schoolbook" w:cs="Times New Roman"/>
          <w:lang w:eastAsia="fr-FR"/>
        </w:rPr>
        <w:t>where</w:t>
      </w:r>
      <m:oMath>
        <m:sSub>
          <m:sSubPr>
            <m:ctrlPr>
              <w:rPr>
                <w:rFonts w:ascii="Cambria Math" w:eastAsia="Times New Roman" w:hAnsi="Cambria Math" w:cs="Times New Roman"/>
                <w:lang w:eastAsia="fr-FR"/>
              </w:rPr>
            </m:ctrlPr>
          </m:sSubPr>
          <m:e>
            <m:r>
              <w:rPr>
                <w:rFonts w:ascii="Cambria Math" w:eastAsia="Times New Roman" w:hAnsi="Cambria Math" w:cs="Times New Roman"/>
                <w:lang w:eastAsia="fr-FR"/>
              </w:rPr>
              <m:t xml:space="preserve"> R</m:t>
            </m:r>
          </m:e>
          <m:sub>
            <m:r>
              <m:rPr>
                <m:sty m:val="p"/>
              </m:rPr>
              <w:rPr>
                <w:rFonts w:ascii="Cambria Math" w:eastAsia="Times New Roman" w:hAnsi="Cambria Math" w:cs="Times New Roman"/>
                <w:lang w:eastAsia="fr-FR"/>
              </w:rPr>
              <m:t xml:space="preserve">s, </m:t>
            </m:r>
            <m:r>
              <m:rPr>
                <m:sty m:val="p"/>
              </m:rPr>
              <w:rPr>
                <w:rFonts w:ascii="Cambria Math" w:eastAsia="Times New Roman" w:hAnsi="Cambria Math" w:cs="Times New Roman" w:hint="eastAsia"/>
                <w:lang w:eastAsia="fr-FR"/>
              </w:rPr>
              <m:t>τ</m:t>
            </m:r>
          </m:sub>
        </m:sSub>
      </m:oMath>
      <w:r w:rsidRPr="00AB75FD">
        <w:rPr>
          <w:rFonts w:ascii="Century Schoolbook" w:eastAsia="Times New Roman" w:hAnsi="Century Schoolbook" w:cs="Times New Roman"/>
          <w:lang w:eastAsia="fr-FR"/>
        </w:rPr>
        <w:t xml:space="preserve"> is the raw return on stock </w:t>
      </w:r>
      <w:proofErr w:type="spellStart"/>
      <w:r>
        <w:rPr>
          <w:rFonts w:ascii="Century Schoolbook" w:eastAsia="Times New Roman" w:hAnsi="Century Schoolbook" w:cs="Times New Roman"/>
          <w:i/>
          <w:lang w:eastAsia="fr-FR"/>
        </w:rPr>
        <w:t>s</w:t>
      </w:r>
      <w:r w:rsidRPr="00AB75FD">
        <w:rPr>
          <w:rFonts w:ascii="Century Schoolbook" w:eastAsia="Times New Roman" w:hAnsi="Century Schoolbook" w:cs="Times New Roman"/>
          <w:i/>
          <w:lang w:eastAsia="fr-FR"/>
        </w:rPr>
        <w:t xml:space="preserve"> </w:t>
      </w:r>
      <w:r w:rsidRPr="00AB75FD">
        <w:rPr>
          <w:rFonts w:ascii="Century Schoolbook" w:eastAsia="Times New Roman" w:hAnsi="Century Schoolbook" w:cs="Times New Roman"/>
          <w:lang w:eastAsia="fr-FR"/>
        </w:rPr>
        <w:t>on</w:t>
      </w:r>
      <w:proofErr w:type="spellEnd"/>
      <w:r w:rsidRPr="00AB75FD">
        <w:rPr>
          <w:rFonts w:ascii="Century Schoolbook" w:eastAsia="Times New Roman" w:hAnsi="Century Schoolbook" w:cs="Times New Roman"/>
          <w:lang w:eastAsia="fr-FR"/>
        </w:rPr>
        <w:t xml:space="preserve"> day </w:t>
      </w:r>
      <m:oMath>
        <m:r>
          <w:rPr>
            <w:rFonts w:ascii="Cambria Math" w:eastAsia="Times New Roman" w:hAnsi="Cambria Math" w:cs="Times New Roman"/>
            <w:lang w:eastAsia="fr-FR"/>
          </w:rPr>
          <m:t>τ</m:t>
        </m:r>
      </m:oMath>
      <w:r w:rsidRPr="00AB75FD">
        <w:rPr>
          <w:rFonts w:ascii="Century Schoolbook" w:eastAsia="Times New Roman" w:hAnsi="Century Schoolbook" w:cs="Times New Roman"/>
          <w:lang w:eastAsia="fr-FR"/>
        </w:rPr>
        <w:t xml:space="preserve">, and  </w:t>
      </w:r>
      <m:oMath>
        <m:sSub>
          <m:sSubPr>
            <m:ctrlPr>
              <w:rPr>
                <w:rFonts w:ascii="Cambria Math" w:eastAsia="Times New Roman" w:hAnsi="Cambria Math" w:cs="Times New Roman"/>
                <w:lang w:eastAsia="fr-FR"/>
              </w:rPr>
            </m:ctrlPr>
          </m:sSubPr>
          <m:e>
            <m:r>
              <w:rPr>
                <w:rFonts w:ascii="Cambria Math" w:eastAsia="Times New Roman" w:hAnsi="Cambria Math" w:cs="Times New Roman"/>
                <w:lang w:eastAsia="fr-FR"/>
              </w:rPr>
              <m:t>R</m:t>
            </m:r>
          </m:e>
          <m:sub>
            <m:r>
              <m:rPr>
                <m:sty m:val="p"/>
              </m:rPr>
              <w:rPr>
                <w:rFonts w:ascii="Cambria Math" w:eastAsia="Times New Roman" w:hAnsi="Cambria Math" w:cs="Times New Roman"/>
                <w:lang w:eastAsia="fr-FR"/>
              </w:rPr>
              <m:t>DGTW,</m:t>
            </m:r>
            <m:r>
              <w:rPr>
                <w:rFonts w:ascii="Cambria Math" w:eastAsia="Times New Roman" w:hAnsi="Cambria Math" w:cs="Times New Roman"/>
                <w:lang w:eastAsia="fr-FR"/>
              </w:rPr>
              <m:t xml:space="preserve"> τ</m:t>
            </m:r>
          </m:sub>
        </m:sSub>
      </m:oMath>
      <w:r w:rsidRPr="00AB75FD">
        <w:rPr>
          <w:rFonts w:ascii="Century Schoolbook" w:eastAsia="Times New Roman" w:hAnsi="Century Schoolbook" w:cs="Times New Roman"/>
          <w:lang w:eastAsia="fr-FR"/>
        </w:rPr>
        <w:t xml:space="preserve"> is the return of a benchmark portfolio with the same size, book</w:t>
      </w:r>
      <w:r w:rsidRPr="00AB75FD">
        <w:rPr>
          <w:rFonts w:ascii="Century Schoolbook" w:hAnsi="Century Schoolbook" w:cs="Times New Roman"/>
        </w:rPr>
        <w:t>-</w:t>
      </w:r>
      <w:r w:rsidRPr="00AB75FD">
        <w:rPr>
          <w:rFonts w:ascii="Century Schoolbook" w:eastAsia="Times New Roman" w:hAnsi="Century Schoolbook" w:cs="Times New Roman"/>
          <w:lang w:eastAsia="fr-FR"/>
        </w:rPr>
        <w:t>to</w:t>
      </w:r>
      <w:r w:rsidRPr="00AB75FD">
        <w:rPr>
          <w:rFonts w:ascii="Century Schoolbook" w:hAnsi="Century Schoolbook" w:cs="Times New Roman"/>
        </w:rPr>
        <w:t>-</w:t>
      </w:r>
      <w:r w:rsidRPr="00AB75FD">
        <w:rPr>
          <w:rFonts w:ascii="Century Schoolbook" w:eastAsia="Times New Roman" w:hAnsi="Century Schoolbook" w:cs="Times New Roman"/>
          <w:lang w:eastAsia="fr-FR"/>
        </w:rPr>
        <w:t xml:space="preserve">market (B/M), and momentum characteristics as the stock defined following </w:t>
      </w:r>
      <w:r>
        <w:rPr>
          <w:rFonts w:ascii="Century Schoolbook" w:hAnsi="Century Schoolbook" w:cs="Times New Roman"/>
        </w:rPr>
        <w:t xml:space="preserve">Daniel, </w:t>
      </w:r>
      <w:proofErr w:type="spellStart"/>
      <w:r>
        <w:rPr>
          <w:rFonts w:ascii="Century Schoolbook" w:hAnsi="Century Schoolbook" w:cs="Times New Roman"/>
        </w:rPr>
        <w:t>Grinblatt</w:t>
      </w:r>
      <w:proofErr w:type="spellEnd"/>
      <w:r>
        <w:rPr>
          <w:rFonts w:ascii="Century Schoolbook" w:hAnsi="Century Schoolbook" w:cs="Times New Roman"/>
        </w:rPr>
        <w:t>, Titman</w:t>
      </w:r>
      <w:r w:rsidRPr="00AB75FD">
        <w:rPr>
          <w:rFonts w:ascii="Century Schoolbook" w:hAnsi="Century Schoolbook" w:cs="Times New Roman"/>
        </w:rPr>
        <w:t xml:space="preserve">, and </w:t>
      </w:r>
      <w:proofErr w:type="spellStart"/>
      <w:r w:rsidR="00242D5D">
        <w:rPr>
          <w:rFonts w:ascii="Century Schoolbook" w:hAnsi="Century Schoolbook" w:cs="Times New Roman"/>
        </w:rPr>
        <w:t>Wermers</w:t>
      </w:r>
      <w:proofErr w:type="spellEnd"/>
      <w:r w:rsidR="00242D5D">
        <w:rPr>
          <w:rFonts w:ascii="Century Schoolbook" w:hAnsi="Century Schoolbook" w:cs="Times New Roman"/>
        </w:rPr>
        <w:t xml:space="preserve"> (1997), DGTW hereafter.</w:t>
      </w:r>
    </w:p>
    <w:p w14:paraId="211E9D7C" w14:textId="1B13FA1A" w:rsidR="00E354EB" w:rsidRPr="00AB75FD" w:rsidRDefault="00AE03ED" w:rsidP="00FA6007">
      <w:pPr>
        <w:spacing w:line="480" w:lineRule="auto"/>
        <w:ind w:firstLine="284"/>
        <w:jc w:val="both"/>
        <w:rPr>
          <w:rFonts w:ascii="Century Schoolbook" w:hAnsi="Century Schoolbook" w:cs="Times New Roman"/>
        </w:rPr>
      </w:pPr>
      <w:r>
        <w:rPr>
          <w:rFonts w:ascii="Century Schoolbook" w:hAnsi="Century Schoolbook" w:cs="Times New Roman"/>
        </w:rPr>
        <w:lastRenderedPageBreak/>
        <w:t>Table 5 reports the results.</w:t>
      </w:r>
      <w:r w:rsidR="00242D5D">
        <w:rPr>
          <w:rFonts w:ascii="Century Schoolbook" w:hAnsi="Century Schoolbook" w:cs="Times New Roman"/>
        </w:rPr>
        <w:t xml:space="preserve"> </w:t>
      </w:r>
      <w:r w:rsidR="00CE0114">
        <w:rPr>
          <w:rFonts w:ascii="Century Schoolbook" w:hAnsi="Century Schoolbook" w:cs="Times New Roman"/>
        </w:rPr>
        <w:t>F</w:t>
      </w:r>
      <w:r>
        <w:rPr>
          <w:rFonts w:ascii="Century Schoolbook" w:hAnsi="Century Schoolbook" w:cs="Times New Roman"/>
        </w:rPr>
        <w:t>or th</w:t>
      </w:r>
      <w:r w:rsidR="00242D5D">
        <w:rPr>
          <w:rFonts w:ascii="Century Schoolbook" w:hAnsi="Century Schoolbook" w:cs="Times New Roman"/>
        </w:rPr>
        <w:t>is</w:t>
      </w:r>
      <w:r w:rsidR="00CE0114">
        <w:rPr>
          <w:rFonts w:ascii="Century Schoolbook" w:hAnsi="Century Schoolbook" w:cs="Times New Roman"/>
        </w:rPr>
        <w:t xml:space="preserve"> analysis, we include only recommendation changes that are </w:t>
      </w:r>
      <w:r w:rsidR="00176E8D">
        <w:rPr>
          <w:rFonts w:ascii="Century Schoolbook" w:hAnsi="Century Schoolbook" w:cs="Times New Roman"/>
        </w:rPr>
        <w:t>made</w:t>
      </w:r>
      <w:r w:rsidR="00CE0114">
        <w:rPr>
          <w:rFonts w:ascii="Century Schoolbook" w:hAnsi="Century Schoolbook" w:cs="Times New Roman"/>
        </w:rPr>
        <w:t xml:space="preserve"> by slow- and fast-turnover analysts. Our variable of interest here is</w:t>
      </w:r>
      <w:r w:rsidR="001D2085" w:rsidRPr="00AB75FD">
        <w:rPr>
          <w:rFonts w:ascii="Century Schoolbook" w:hAnsi="Century Schoolbook" w:cs="Times New Roman"/>
        </w:rPr>
        <w:t xml:space="preserve"> </w:t>
      </w:r>
      <m:oMath>
        <m:r>
          <w:rPr>
            <w:rFonts w:ascii="Cambria Math" w:hAnsi="Cambria Math" w:cs="Times New Roman"/>
          </w:rPr>
          <m:t xml:space="preserve">Slow </m:t>
        </m:r>
        <m:sSub>
          <m:sSubPr>
            <m:ctrlPr>
              <w:rPr>
                <w:rFonts w:ascii="Cambria Math" w:hAnsi="Cambria Math" w:cs="Times New Roman"/>
                <w:i/>
              </w:rPr>
            </m:ctrlPr>
          </m:sSubPr>
          <m:e>
            <m:r>
              <w:rPr>
                <w:rFonts w:ascii="Cambria Math" w:hAnsi="Cambria Math" w:cs="Times New Roman"/>
              </w:rPr>
              <m:t>Analyst</m:t>
            </m:r>
          </m:e>
          <m:sub>
            <m:r>
              <w:rPr>
                <w:rFonts w:ascii="Cambria Math" w:hAnsi="Cambria Math" w:cs="Times New Roman"/>
              </w:rPr>
              <m:t>i</m:t>
            </m:r>
          </m:sub>
        </m:sSub>
      </m:oMath>
      <w:r w:rsidR="00E354EB" w:rsidRPr="00AB75FD">
        <w:rPr>
          <w:rFonts w:ascii="Century Schoolbook" w:hAnsi="Century Schoolbook" w:cs="Times New Roman"/>
        </w:rPr>
        <w:t xml:space="preserve">, </w:t>
      </w:r>
      <w:r w:rsidR="00CE0114">
        <w:rPr>
          <w:rFonts w:ascii="Century Schoolbook" w:hAnsi="Century Schoolbook" w:cs="Times New Roman"/>
        </w:rPr>
        <w:t xml:space="preserve">which </w:t>
      </w:r>
      <w:r w:rsidR="00E354EB" w:rsidRPr="00AB75FD">
        <w:rPr>
          <w:rFonts w:ascii="Century Schoolbook" w:hAnsi="Century Schoolbook" w:cs="Times New Roman"/>
        </w:rPr>
        <w:t>is a</w:t>
      </w:r>
      <w:r w:rsidR="001D2085" w:rsidRPr="00AB75FD">
        <w:rPr>
          <w:rFonts w:ascii="Century Schoolbook" w:hAnsi="Century Schoolbook" w:cs="Times New Roman"/>
        </w:rPr>
        <w:t>n indicator</w:t>
      </w:r>
      <w:r w:rsidR="00E354EB" w:rsidRPr="00AB75FD">
        <w:rPr>
          <w:rFonts w:ascii="Century Schoolbook" w:hAnsi="Century Schoolbook" w:cs="Times New Roman"/>
        </w:rPr>
        <w:t xml:space="preserve"> variable equal to </w:t>
      </w:r>
      <w:r w:rsidR="00F64506">
        <w:rPr>
          <w:rFonts w:ascii="Century Schoolbook" w:hAnsi="Century Schoolbook" w:cs="Times New Roman"/>
        </w:rPr>
        <w:t xml:space="preserve">1 </w:t>
      </w:r>
      <w:r w:rsidR="00E354EB" w:rsidRPr="00AB75FD">
        <w:rPr>
          <w:rFonts w:ascii="Century Schoolbook" w:hAnsi="Century Schoolbook" w:cs="Times New Roman"/>
        </w:rPr>
        <w:t>if</w:t>
      </w:r>
      <w:r w:rsidR="00F64506">
        <w:rPr>
          <w:rFonts w:ascii="Century Schoolbook" w:hAnsi="Century Schoolbook" w:cs="Times New Roman"/>
        </w:rPr>
        <w:t xml:space="preserve"> analyst </w:t>
      </w:r>
      <w:proofErr w:type="spellStart"/>
      <w:r w:rsidR="00E354EB" w:rsidRPr="00AB75FD">
        <w:rPr>
          <w:rFonts w:ascii="Century Schoolbook" w:hAnsi="Century Schoolbook" w:cs="Times New Roman"/>
          <w:i/>
        </w:rPr>
        <w:t>i</w:t>
      </w:r>
      <w:proofErr w:type="spellEnd"/>
      <w:r w:rsidR="00E354EB" w:rsidRPr="00AB75FD">
        <w:rPr>
          <w:rFonts w:ascii="Century Schoolbook" w:hAnsi="Century Schoolbook" w:cs="Times New Roman"/>
          <w:i/>
        </w:rPr>
        <w:t xml:space="preserve"> </w:t>
      </w:r>
      <w:r w:rsidR="00F64506" w:rsidRPr="00F64506">
        <w:rPr>
          <w:rFonts w:ascii="Century Schoolbook" w:hAnsi="Century Schoolbook" w:cs="Times New Roman"/>
        </w:rPr>
        <w:t xml:space="preserve">is </w:t>
      </w:r>
      <w:r w:rsidR="00F64506">
        <w:rPr>
          <w:rFonts w:ascii="Century Schoolbook" w:hAnsi="Century Schoolbook" w:cs="Times New Roman"/>
        </w:rPr>
        <w:t>a</w:t>
      </w:r>
      <w:r w:rsidR="001D2085" w:rsidRPr="00AB75FD">
        <w:rPr>
          <w:rFonts w:ascii="Century Schoolbook" w:hAnsi="Century Schoolbook" w:cs="Times New Roman"/>
        </w:rPr>
        <w:t xml:space="preserve"> slow</w:t>
      </w:r>
      <w:r w:rsidR="00FB5A2D">
        <w:rPr>
          <w:rFonts w:ascii="Century Schoolbook" w:hAnsi="Century Schoolbook" w:cs="Times New Roman"/>
        </w:rPr>
        <w:t>-</w:t>
      </w:r>
      <w:r w:rsidR="001D2085" w:rsidRPr="00AB75FD">
        <w:rPr>
          <w:rFonts w:ascii="Century Schoolbook" w:hAnsi="Century Schoolbook" w:cs="Times New Roman"/>
        </w:rPr>
        <w:t>turnover</w:t>
      </w:r>
      <w:r w:rsidR="00F64506">
        <w:rPr>
          <w:rFonts w:ascii="Century Schoolbook" w:hAnsi="Century Schoolbook" w:cs="Times New Roman"/>
        </w:rPr>
        <w:t xml:space="preserve"> type, and 0 if he</w:t>
      </w:r>
      <w:r w:rsidR="00CE0114">
        <w:rPr>
          <w:rFonts w:ascii="Century Schoolbook" w:hAnsi="Century Schoolbook" w:cs="Times New Roman"/>
        </w:rPr>
        <w:t xml:space="preserve"> </w:t>
      </w:r>
      <w:r w:rsidR="002C79F5">
        <w:rPr>
          <w:rFonts w:ascii="Century Schoolbook" w:hAnsi="Century Schoolbook" w:cs="Times New Roman"/>
        </w:rPr>
        <w:t xml:space="preserve">is </w:t>
      </w:r>
      <w:r w:rsidR="00AF0B4D">
        <w:rPr>
          <w:rFonts w:ascii="Century Schoolbook" w:hAnsi="Century Schoolbook" w:cs="Times New Roman"/>
        </w:rPr>
        <w:t>otherwise</w:t>
      </w:r>
      <w:r w:rsidR="00F64506">
        <w:rPr>
          <w:rFonts w:ascii="Century Schoolbook" w:hAnsi="Century Schoolbook" w:cs="Times New Roman"/>
        </w:rPr>
        <w:t xml:space="preserve"> a fast-turnover type.</w:t>
      </w:r>
      <w:r w:rsidR="00E354EB" w:rsidRPr="00AB75FD">
        <w:rPr>
          <w:rFonts w:ascii="Century Schoolbook" w:hAnsi="Century Schoolbook" w:cs="Times New Roman"/>
        </w:rPr>
        <w:t xml:space="preserve"> </w:t>
      </w:r>
      <w:r w:rsidR="00AB75FD">
        <w:rPr>
          <w:rFonts w:ascii="Century Schoolbook" w:hAnsi="Century Schoolbook" w:cs="Times New Roman"/>
        </w:rPr>
        <w:t xml:space="preserve">Therefore, </w:t>
      </w:r>
      <m:oMath>
        <m:sSub>
          <m:sSubPr>
            <m:ctrlPr>
              <w:rPr>
                <w:rFonts w:ascii="Cambria Math" w:hAnsi="Cambria Math" w:cs="Times New Roman"/>
                <w:i/>
              </w:rPr>
            </m:ctrlPr>
          </m:sSubPr>
          <m:e>
            <m:r>
              <w:rPr>
                <w:rFonts w:ascii="Cambria Math" w:hAnsi="Cambria Math" w:cs="Times New Roman"/>
              </w:rPr>
              <m:t>Slow Analyst</m:t>
            </m:r>
          </m:e>
          <m:sub>
            <m:r>
              <w:rPr>
                <w:rFonts w:ascii="Cambria Math" w:hAnsi="Cambria Math" w:cs="Times New Roman"/>
              </w:rPr>
              <m:t>i</m:t>
            </m:r>
          </m:sub>
        </m:sSub>
      </m:oMath>
      <w:r w:rsidR="001D2085" w:rsidRPr="00AB75FD">
        <w:rPr>
          <w:rFonts w:ascii="Century Schoolbook" w:hAnsi="Century Schoolbook" w:cs="Times New Roman"/>
        </w:rPr>
        <w:t xml:space="preserve"> </w:t>
      </w:r>
      <w:r w:rsidR="007E4E1D" w:rsidRPr="00AB75FD">
        <w:rPr>
          <w:rFonts w:ascii="Century Schoolbook" w:hAnsi="Century Schoolbook" w:cs="Times New Roman"/>
        </w:rPr>
        <w:t>measures the difference in market reaction to recommendation changes of slow</w:t>
      </w:r>
      <w:r w:rsidR="00FB5A2D">
        <w:rPr>
          <w:rFonts w:ascii="Century Schoolbook" w:hAnsi="Century Schoolbook" w:cs="Times New Roman"/>
        </w:rPr>
        <w:t>-</w:t>
      </w:r>
      <w:r w:rsidR="007E4E1D" w:rsidRPr="00AB75FD">
        <w:rPr>
          <w:rFonts w:ascii="Century Schoolbook" w:hAnsi="Century Schoolbook" w:cs="Times New Roman"/>
        </w:rPr>
        <w:t xml:space="preserve">turnover analysts relative to </w:t>
      </w:r>
      <w:r w:rsidR="00F63BA4">
        <w:rPr>
          <w:rFonts w:ascii="Century Schoolbook" w:hAnsi="Century Schoolbook" w:cs="Times New Roman"/>
        </w:rPr>
        <w:t xml:space="preserve">those of </w:t>
      </w:r>
      <w:r w:rsidR="00D95899" w:rsidRPr="00AB75FD">
        <w:rPr>
          <w:rFonts w:ascii="Century Schoolbook" w:hAnsi="Century Schoolbook" w:cs="Times New Roman"/>
        </w:rPr>
        <w:t>fast</w:t>
      </w:r>
      <w:r w:rsidR="00FB5A2D">
        <w:rPr>
          <w:rFonts w:ascii="Century Schoolbook" w:hAnsi="Century Schoolbook" w:cs="Times New Roman"/>
        </w:rPr>
        <w:t>-</w:t>
      </w:r>
      <w:r w:rsidR="007E4E1D" w:rsidRPr="00AB75FD">
        <w:rPr>
          <w:rFonts w:ascii="Century Schoolbook" w:hAnsi="Century Schoolbook" w:cs="Times New Roman"/>
        </w:rPr>
        <w:t xml:space="preserve">turnover analysts. </w:t>
      </w:r>
      <w:r w:rsidR="00FA6007" w:rsidRPr="00AB75FD">
        <w:rPr>
          <w:rFonts w:ascii="Century Schoolbook" w:hAnsi="Century Schoolbook" w:cs="Times New Roman"/>
        </w:rPr>
        <w:t xml:space="preserve">We include </w:t>
      </w:r>
      <w:r w:rsidR="00FA6007">
        <w:rPr>
          <w:rFonts w:ascii="Century Schoolbook" w:hAnsi="Century Schoolbook" w:cs="Times New Roman"/>
        </w:rPr>
        <w:t xml:space="preserve">various </w:t>
      </w:r>
      <w:r w:rsidR="00FA6007" w:rsidRPr="00AB75FD">
        <w:rPr>
          <w:rFonts w:ascii="Century Schoolbook" w:hAnsi="Century Schoolbook" w:cs="Times New Roman"/>
        </w:rPr>
        <w:t>characteristics of the stocks on which the recommendations are issued</w:t>
      </w:r>
      <w:r w:rsidR="00FA6007">
        <w:rPr>
          <w:rFonts w:ascii="Century Schoolbook" w:hAnsi="Century Schoolbook" w:cs="Times New Roman"/>
        </w:rPr>
        <w:t>, as well as</w:t>
      </w:r>
      <w:r w:rsidR="00FA6007" w:rsidRPr="00AB75FD">
        <w:rPr>
          <w:rFonts w:ascii="Century Schoolbook" w:hAnsi="Century Schoolbook" w:cs="Times New Roman"/>
        </w:rPr>
        <w:t xml:space="preserve"> analyst-level characteristics (</w:t>
      </w:r>
      <w:r w:rsidR="00FA6007" w:rsidRPr="00AB75FD">
        <w:rPr>
          <w:rFonts w:ascii="Century Schoolbook" w:hAnsi="Century Schoolbook" w:cs="Times New Roman"/>
          <w:i/>
        </w:rPr>
        <w:t>All</w:t>
      </w:r>
      <w:r w:rsidR="00FA6007" w:rsidRPr="00AB75FD">
        <w:rPr>
          <w:rFonts w:ascii="Century Schoolbook" w:hAnsi="Century Schoolbook" w:cs="Times New Roman"/>
        </w:rPr>
        <w:t>–</w:t>
      </w:r>
      <w:r w:rsidR="00FA6007" w:rsidRPr="00AB75FD">
        <w:rPr>
          <w:rFonts w:ascii="Century Schoolbook" w:hAnsi="Century Schoolbook" w:cs="Times New Roman"/>
          <w:i/>
        </w:rPr>
        <w:t>star, Male, and Breadth)</w:t>
      </w:r>
      <w:r w:rsidR="00FA6007">
        <w:rPr>
          <w:rFonts w:ascii="Century Schoolbook" w:hAnsi="Century Schoolbook" w:cs="Times New Roman"/>
        </w:rPr>
        <w:t xml:space="preserve">. </w:t>
      </w:r>
      <w:r w:rsidR="00E43409" w:rsidRPr="00AB75FD">
        <w:rPr>
          <w:rFonts w:ascii="Century Schoolbook" w:hAnsi="Century Schoolbook" w:cs="Times New Roman"/>
        </w:rPr>
        <w:t xml:space="preserve">We </w:t>
      </w:r>
      <w:r w:rsidR="00FA6007">
        <w:rPr>
          <w:rFonts w:ascii="Century Schoolbook" w:hAnsi="Century Schoolbook" w:cs="Times New Roman"/>
        </w:rPr>
        <w:t xml:space="preserve">also </w:t>
      </w:r>
      <w:r w:rsidR="00E43409" w:rsidRPr="00AB75FD">
        <w:rPr>
          <w:rFonts w:ascii="Century Schoolbook" w:hAnsi="Century Schoolbook" w:cs="Times New Roman"/>
        </w:rPr>
        <w:t xml:space="preserve">include </w:t>
      </w:r>
      <w:r w:rsidR="00FA6007">
        <w:rPr>
          <w:rFonts w:ascii="Century Schoolbook" w:hAnsi="Century Schoolbook" w:cs="Times New Roman"/>
        </w:rPr>
        <w:t xml:space="preserve">firm </w:t>
      </w:r>
      <w:r w:rsidR="00E43409" w:rsidRPr="00AB75FD">
        <w:rPr>
          <w:rFonts w:ascii="Century Schoolbook" w:hAnsi="Century Schoolbook" w:cs="Times New Roman"/>
        </w:rPr>
        <w:t>brokerage, industry and year-</w:t>
      </w:r>
      <w:r w:rsidR="00750C5F" w:rsidRPr="00AB75FD">
        <w:rPr>
          <w:rFonts w:ascii="Century Schoolbook" w:hAnsi="Century Schoolbook" w:cs="Times New Roman"/>
        </w:rPr>
        <w:t xml:space="preserve">fixed effects in the regression, and cluster standard errors at the firm level. </w:t>
      </w:r>
    </w:p>
    <w:p w14:paraId="6A78D245" w14:textId="1F1C0C06" w:rsidR="00EA78B2" w:rsidRPr="00AB75FD" w:rsidRDefault="007E4E1D" w:rsidP="00FA6007">
      <w:pPr>
        <w:spacing w:line="480" w:lineRule="auto"/>
        <w:ind w:firstLine="284"/>
        <w:jc w:val="both"/>
        <w:rPr>
          <w:rFonts w:ascii="Century Schoolbook" w:hAnsi="Century Schoolbook" w:cs="Times New Roman"/>
        </w:rPr>
      </w:pPr>
      <w:r w:rsidRPr="00AB75FD">
        <w:rPr>
          <w:rFonts w:ascii="Century Schoolbook" w:hAnsi="Century Schoolbook" w:cs="Times New Roman"/>
        </w:rPr>
        <w:t>Column 1</w:t>
      </w:r>
      <w:r w:rsidR="00E354EB" w:rsidRPr="00AB75FD">
        <w:rPr>
          <w:rFonts w:ascii="Century Schoolbook" w:hAnsi="Century Schoolbook" w:cs="Times New Roman"/>
        </w:rPr>
        <w:t xml:space="preserve"> </w:t>
      </w:r>
      <w:r w:rsidRPr="00AB75FD">
        <w:rPr>
          <w:rFonts w:ascii="Century Schoolbook" w:hAnsi="Century Schoolbook" w:cs="Times New Roman"/>
        </w:rPr>
        <w:t xml:space="preserve">of </w:t>
      </w:r>
      <w:r w:rsidRPr="0099597C">
        <w:rPr>
          <w:rFonts w:ascii="Century Schoolbook" w:hAnsi="Century Schoolbook" w:cs="Times New Roman"/>
        </w:rPr>
        <w:t xml:space="preserve">Table </w:t>
      </w:r>
      <w:r w:rsidR="0056798D" w:rsidRPr="0099597C">
        <w:rPr>
          <w:rFonts w:ascii="Century Schoolbook" w:hAnsi="Century Schoolbook" w:cs="Times New Roman"/>
        </w:rPr>
        <w:t>5</w:t>
      </w:r>
      <w:r w:rsidR="00E354EB" w:rsidRPr="00AB75FD">
        <w:rPr>
          <w:rFonts w:ascii="Century Schoolbook" w:hAnsi="Century Schoolbook" w:cs="Times New Roman"/>
        </w:rPr>
        <w:t xml:space="preserve"> presents </w:t>
      </w:r>
      <w:r w:rsidRPr="00AB75FD">
        <w:rPr>
          <w:rFonts w:ascii="Century Schoolbook" w:hAnsi="Century Schoolbook" w:cs="Times New Roman"/>
        </w:rPr>
        <w:t>results</w:t>
      </w:r>
      <w:r w:rsidR="00E354EB" w:rsidRPr="00AB75FD">
        <w:rPr>
          <w:rFonts w:ascii="Century Schoolbook" w:hAnsi="Century Schoolbook" w:cs="Times New Roman"/>
        </w:rPr>
        <w:t xml:space="preserve"> for upgrade recommendations. </w:t>
      </w:r>
      <w:r w:rsidRPr="00AB75FD">
        <w:rPr>
          <w:rFonts w:ascii="Century Schoolbook" w:hAnsi="Century Schoolbook" w:cs="Times New Roman"/>
        </w:rPr>
        <w:t>We find that, on average, an upgrade made by a slow</w:t>
      </w:r>
      <w:r w:rsidR="000C3361">
        <w:rPr>
          <w:rFonts w:ascii="Century Schoolbook" w:hAnsi="Century Schoolbook" w:cs="Times New Roman"/>
        </w:rPr>
        <w:t>-</w:t>
      </w:r>
      <w:r w:rsidRPr="00AB75FD">
        <w:rPr>
          <w:rFonts w:ascii="Century Schoolbook" w:hAnsi="Century Schoolbook" w:cs="Times New Roman"/>
        </w:rPr>
        <w:t>turnover analyst generates</w:t>
      </w:r>
      <w:r w:rsidR="00A1756A">
        <w:rPr>
          <w:rFonts w:ascii="Century Schoolbook" w:hAnsi="Century Schoolbook" w:cs="Times New Roman"/>
        </w:rPr>
        <w:t xml:space="preserve"> a</w:t>
      </w:r>
      <w:r w:rsidRPr="00AB75FD">
        <w:rPr>
          <w:rFonts w:ascii="Century Schoolbook" w:hAnsi="Century Schoolbook" w:cs="Times New Roman"/>
        </w:rPr>
        <w:t xml:space="preserve"> </w:t>
      </w:r>
      <w:r w:rsidR="009A4BD2">
        <w:rPr>
          <w:rFonts w:ascii="Century Schoolbook" w:hAnsi="Century Schoolbook" w:cs="Times New Roman"/>
        </w:rPr>
        <w:t>45</w:t>
      </w:r>
      <w:r w:rsidRPr="00AB75FD">
        <w:rPr>
          <w:rFonts w:ascii="Century Schoolbook" w:hAnsi="Century Schoolbook" w:cs="Times New Roman"/>
        </w:rPr>
        <w:t xml:space="preserve"> basis points higher immediate market reaction than </w:t>
      </w:r>
      <w:r w:rsidR="009A4BD2">
        <w:rPr>
          <w:rFonts w:ascii="Century Schoolbook" w:hAnsi="Century Schoolbook" w:cs="Times New Roman"/>
        </w:rPr>
        <w:t>that of</w:t>
      </w:r>
      <w:r w:rsidRPr="00AB75FD">
        <w:rPr>
          <w:rFonts w:ascii="Century Schoolbook" w:hAnsi="Century Schoolbook" w:cs="Times New Roman"/>
        </w:rPr>
        <w:t xml:space="preserve"> a fast</w:t>
      </w:r>
      <w:r w:rsidR="000C3361">
        <w:rPr>
          <w:rFonts w:ascii="Century Schoolbook" w:hAnsi="Century Schoolbook" w:cs="Times New Roman"/>
        </w:rPr>
        <w:t>-</w:t>
      </w:r>
      <w:r w:rsidRPr="00AB75FD">
        <w:rPr>
          <w:rFonts w:ascii="Century Schoolbook" w:hAnsi="Century Schoolbook" w:cs="Times New Roman"/>
        </w:rPr>
        <w:t xml:space="preserve">turnover analyst. Column 2 presents results for downgrade recommendations. Similarly, we find the market </w:t>
      </w:r>
      <w:r w:rsidR="00D24325" w:rsidRPr="00AB75FD">
        <w:rPr>
          <w:rFonts w:ascii="Century Schoolbook" w:hAnsi="Century Schoolbook" w:cs="Times New Roman"/>
        </w:rPr>
        <w:t xml:space="preserve">reacts significantly </w:t>
      </w:r>
      <w:r w:rsidR="0056056F">
        <w:rPr>
          <w:rFonts w:ascii="Century Schoolbook" w:hAnsi="Century Schoolbook" w:cs="Times New Roman"/>
        </w:rPr>
        <w:t>more</w:t>
      </w:r>
      <w:r w:rsidR="0056056F" w:rsidRPr="00AB75FD">
        <w:rPr>
          <w:rFonts w:ascii="Century Schoolbook" w:hAnsi="Century Schoolbook" w:cs="Times New Roman"/>
        </w:rPr>
        <w:t xml:space="preserve"> </w:t>
      </w:r>
      <w:r w:rsidRPr="00AB75FD">
        <w:rPr>
          <w:rFonts w:ascii="Century Schoolbook" w:hAnsi="Century Schoolbook" w:cs="Times New Roman"/>
        </w:rPr>
        <w:t xml:space="preserve">to a recommendation downgrade </w:t>
      </w:r>
      <w:r w:rsidR="00D24325" w:rsidRPr="00AB75FD">
        <w:rPr>
          <w:rFonts w:ascii="Century Schoolbook" w:hAnsi="Century Schoolbook" w:cs="Times New Roman"/>
        </w:rPr>
        <w:t>made</w:t>
      </w:r>
      <w:r w:rsidRPr="00AB75FD">
        <w:rPr>
          <w:rFonts w:ascii="Century Schoolbook" w:hAnsi="Century Schoolbook" w:cs="Times New Roman"/>
        </w:rPr>
        <w:t xml:space="preserve"> by a </w:t>
      </w:r>
      <w:r w:rsidR="0056056F">
        <w:rPr>
          <w:rFonts w:ascii="Century Schoolbook" w:hAnsi="Century Schoolbook" w:cs="Times New Roman"/>
        </w:rPr>
        <w:t>slow</w:t>
      </w:r>
      <w:r w:rsidR="000C3361">
        <w:rPr>
          <w:rFonts w:ascii="Century Schoolbook" w:hAnsi="Century Schoolbook" w:cs="Times New Roman"/>
        </w:rPr>
        <w:t>-</w:t>
      </w:r>
      <w:r w:rsidRPr="00AB75FD">
        <w:rPr>
          <w:rFonts w:ascii="Century Schoolbook" w:hAnsi="Century Schoolbook" w:cs="Times New Roman"/>
        </w:rPr>
        <w:t>r</w:t>
      </w:r>
      <w:r w:rsidR="00D24325" w:rsidRPr="00AB75FD">
        <w:rPr>
          <w:rFonts w:ascii="Century Schoolbook" w:hAnsi="Century Schoolbook" w:cs="Times New Roman"/>
        </w:rPr>
        <w:t xml:space="preserve">ecommendation revising analyst; the difference in magnitude is about </w:t>
      </w:r>
      <w:r w:rsidR="00F956C2" w:rsidRPr="00AB75FD">
        <w:rPr>
          <w:rFonts w:ascii="Century Schoolbook" w:hAnsi="Century Schoolbook" w:cs="Times New Roman"/>
        </w:rPr>
        <w:t>76</w:t>
      </w:r>
      <w:r w:rsidR="00D24325" w:rsidRPr="00AB75FD">
        <w:rPr>
          <w:rFonts w:ascii="Century Schoolbook" w:hAnsi="Century Schoolbook" w:cs="Times New Roman"/>
        </w:rPr>
        <w:t xml:space="preserve"> basis points.</w:t>
      </w:r>
      <w:r w:rsidR="00F956C2" w:rsidRPr="00AB75FD">
        <w:rPr>
          <w:rFonts w:ascii="Century Schoolbook" w:hAnsi="Century Schoolbook" w:cs="Times New Roman"/>
        </w:rPr>
        <w:t xml:space="preserve"> </w:t>
      </w:r>
    </w:p>
    <w:p w14:paraId="38A28804" w14:textId="6BFC6D71" w:rsidR="001F1CB3" w:rsidRPr="00AB75FD" w:rsidRDefault="00023602" w:rsidP="00A00DFF">
      <w:pPr>
        <w:spacing w:line="480" w:lineRule="auto"/>
        <w:ind w:firstLine="284"/>
        <w:jc w:val="both"/>
        <w:rPr>
          <w:rFonts w:ascii="Century Schoolbook" w:hAnsi="Century Schoolbook" w:cs="Times New Roman"/>
        </w:rPr>
      </w:pPr>
      <w:r w:rsidRPr="00AB75FD">
        <w:rPr>
          <w:rFonts w:ascii="Century Schoolbook" w:hAnsi="Century Schoolbook" w:cs="Times New Roman"/>
        </w:rPr>
        <w:t xml:space="preserve">Interestingly, we find that </w:t>
      </w:r>
      <w:r w:rsidR="001F1CB3" w:rsidRPr="00AB75FD">
        <w:rPr>
          <w:rFonts w:ascii="Century Schoolbook" w:hAnsi="Century Schoolbook" w:cs="Times New Roman"/>
          <w:i/>
        </w:rPr>
        <w:t>General Experience</w:t>
      </w:r>
      <w:r w:rsidR="001F1CB3" w:rsidRPr="00AB75FD">
        <w:rPr>
          <w:rFonts w:ascii="Century Schoolbook" w:hAnsi="Century Schoolbook" w:cs="Times New Roman"/>
        </w:rPr>
        <w:t xml:space="preserve"> positively affects market reaction to downgrades</w:t>
      </w:r>
      <w:r w:rsidR="0056056F">
        <w:rPr>
          <w:rFonts w:ascii="Century Schoolbook" w:hAnsi="Century Schoolbook" w:cs="Times New Roman"/>
        </w:rPr>
        <w:t xml:space="preserve"> and that the coefficient on upgrades is not significant</w:t>
      </w:r>
      <w:r w:rsidR="001F1CB3" w:rsidRPr="00AB75FD">
        <w:rPr>
          <w:rFonts w:ascii="Century Schoolbook" w:hAnsi="Century Schoolbook" w:cs="Times New Roman"/>
        </w:rPr>
        <w:t>. Therefore, all else equal, we find that the market does not react more strongly to recommendation changes of more experienced analysts.</w:t>
      </w:r>
      <w:r w:rsidR="00D131CD">
        <w:rPr>
          <w:rFonts w:ascii="Century Schoolbook" w:hAnsi="Century Schoolbook" w:cs="Times New Roman"/>
        </w:rPr>
        <w:t xml:space="preserve"> </w:t>
      </w:r>
      <w:r w:rsidR="001F1CB3" w:rsidRPr="00AB75FD">
        <w:rPr>
          <w:rFonts w:ascii="Century Schoolbook" w:hAnsi="Century Schoolbook" w:cs="Times New Roman"/>
        </w:rPr>
        <w:t xml:space="preserve">Among </w:t>
      </w:r>
      <w:r w:rsidR="001F4E18" w:rsidRPr="00AB75FD">
        <w:rPr>
          <w:rFonts w:ascii="Century Schoolbook" w:hAnsi="Century Schoolbook" w:cs="Times New Roman"/>
        </w:rPr>
        <w:t>various</w:t>
      </w:r>
      <w:r w:rsidR="001F1CB3" w:rsidRPr="00AB75FD">
        <w:rPr>
          <w:rFonts w:ascii="Century Schoolbook" w:hAnsi="Century Schoolbook" w:cs="Times New Roman"/>
        </w:rPr>
        <w:t xml:space="preserve"> analyst </w:t>
      </w:r>
      <w:r w:rsidR="00D131CD" w:rsidRPr="00AB75FD">
        <w:rPr>
          <w:rFonts w:ascii="Century Schoolbook" w:hAnsi="Century Schoolbook" w:cs="Times New Roman"/>
        </w:rPr>
        <w:t>characteristics</w:t>
      </w:r>
      <w:r w:rsidR="00D131CD">
        <w:rPr>
          <w:rFonts w:ascii="Century Schoolbook" w:hAnsi="Century Schoolbook" w:cs="Times New Roman"/>
        </w:rPr>
        <w:t>,</w:t>
      </w:r>
      <w:r w:rsidR="001F1CB3" w:rsidRPr="00AB75FD">
        <w:rPr>
          <w:rFonts w:ascii="Century Schoolbook" w:hAnsi="Century Schoolbook" w:cs="Times New Roman"/>
        </w:rPr>
        <w:t xml:space="preserve"> we find </w:t>
      </w:r>
      <w:r w:rsidR="001F4E18" w:rsidRPr="00AB75FD">
        <w:rPr>
          <w:rFonts w:ascii="Century Schoolbook" w:hAnsi="Century Schoolbook" w:cs="Times New Roman"/>
        </w:rPr>
        <w:t>that an analyst</w:t>
      </w:r>
      <w:r w:rsidR="001F1CB3" w:rsidRPr="00AB75FD">
        <w:rPr>
          <w:rFonts w:ascii="Century Schoolbook" w:hAnsi="Century Schoolbook" w:cs="Times New Roman"/>
        </w:rPr>
        <w:t>’</w:t>
      </w:r>
      <w:r w:rsidR="001F4E18" w:rsidRPr="00AB75FD">
        <w:rPr>
          <w:rFonts w:ascii="Century Schoolbook" w:hAnsi="Century Schoolbook" w:cs="Times New Roman"/>
        </w:rPr>
        <w:t>s</w:t>
      </w:r>
      <w:r w:rsidR="001F1CB3" w:rsidRPr="00AB75FD">
        <w:rPr>
          <w:rFonts w:ascii="Century Schoolbook" w:hAnsi="Century Schoolbook" w:cs="Times New Roman"/>
        </w:rPr>
        <w:t xml:space="preserve"> earnings f</w:t>
      </w:r>
      <w:r w:rsidR="001F4E18" w:rsidRPr="00AB75FD">
        <w:rPr>
          <w:rFonts w:ascii="Century Schoolbook" w:hAnsi="Century Schoolbook" w:cs="Times New Roman"/>
        </w:rPr>
        <w:t>orecast</w:t>
      </w:r>
      <w:r w:rsidR="001F1CB3" w:rsidRPr="00AB75FD">
        <w:rPr>
          <w:rFonts w:ascii="Century Schoolbook" w:hAnsi="Century Schoolbook" w:cs="Times New Roman"/>
        </w:rPr>
        <w:t xml:space="preserve"> precision </w:t>
      </w:r>
      <w:r w:rsidR="001F4E18" w:rsidRPr="00AB75FD">
        <w:rPr>
          <w:rFonts w:ascii="Century Schoolbook" w:hAnsi="Century Schoolbook" w:cs="Times New Roman"/>
        </w:rPr>
        <w:t>predicts the immediate price impact of his recommendation changes. This is seen from the statistically significant estimate on</w:t>
      </w:r>
      <w:r w:rsidR="001F1CB3" w:rsidRPr="00AB75FD">
        <w:rPr>
          <w:rFonts w:ascii="Century Schoolbook" w:hAnsi="Century Schoolbook" w:cs="Times New Roman"/>
        </w:rPr>
        <w:t xml:space="preserve"> </w:t>
      </w:r>
      <w:r w:rsidR="001F1CB3" w:rsidRPr="00AB75FD">
        <w:rPr>
          <w:rFonts w:ascii="Century Schoolbook" w:eastAsia="Times New Roman" w:hAnsi="Century Schoolbook" w:cs="Times New Roman"/>
          <w:i/>
          <w:color w:val="000000"/>
          <w:lang w:eastAsia="en-CA"/>
        </w:rPr>
        <w:t>High EPS precision</w:t>
      </w:r>
      <w:r w:rsidR="001F1CB3" w:rsidRPr="00AB75FD">
        <w:rPr>
          <w:rFonts w:ascii="Century Schoolbook" w:hAnsi="Century Schoolbook" w:cs="Times New Roman"/>
        </w:rPr>
        <w:t xml:space="preserve"> for both upgrades and downgrades. </w:t>
      </w:r>
      <w:r w:rsidR="001F1CB3" w:rsidRPr="00AE6EA3">
        <w:rPr>
          <w:rFonts w:ascii="Century Schoolbook" w:hAnsi="Century Schoolbook" w:cs="Times New Roman"/>
        </w:rPr>
        <w:t xml:space="preserve">Consistent </w:t>
      </w:r>
      <w:r w:rsidR="003848E8" w:rsidRPr="00AE6EA3">
        <w:rPr>
          <w:rFonts w:ascii="Century Schoolbook" w:hAnsi="Century Schoolbook" w:cs="Times New Roman"/>
        </w:rPr>
        <w:t xml:space="preserve">with prior literature </w:t>
      </w:r>
      <w:r w:rsidR="00AE5906" w:rsidRPr="00AE6EA3">
        <w:rPr>
          <w:rFonts w:ascii="Century Schoolbook" w:hAnsi="Century Schoolbook" w:cs="Times-Roman"/>
        </w:rPr>
        <w:t>(e.g., Jackson, 2005</w:t>
      </w:r>
      <w:r w:rsidR="00AE6EA3">
        <w:rPr>
          <w:rFonts w:ascii="Century Schoolbook" w:hAnsi="Century Schoolbook" w:cs="Times-Roman"/>
        </w:rPr>
        <w:t>;</w:t>
      </w:r>
      <w:r w:rsidR="00AE6EA3" w:rsidRPr="00AE6EA3">
        <w:rPr>
          <w:rFonts w:ascii="Century Schoolbook" w:hAnsi="Century Schoolbook" w:cs="Times-Roman"/>
        </w:rPr>
        <w:t xml:space="preserve"> </w:t>
      </w:r>
      <w:proofErr w:type="spellStart"/>
      <w:r w:rsidR="00AE6EA3" w:rsidRPr="00AE6EA3">
        <w:rPr>
          <w:rFonts w:ascii="Century Schoolbook" w:hAnsi="Century Schoolbook" w:cs="Times-Roman"/>
        </w:rPr>
        <w:t>Loh</w:t>
      </w:r>
      <w:proofErr w:type="spellEnd"/>
      <w:r w:rsidR="00AE6EA3" w:rsidRPr="00AE6EA3">
        <w:rPr>
          <w:rFonts w:ascii="Century Schoolbook" w:hAnsi="Century Schoolbook" w:cs="Times-Roman"/>
        </w:rPr>
        <w:t xml:space="preserve"> and </w:t>
      </w:r>
      <w:proofErr w:type="spellStart"/>
      <w:r w:rsidR="00AE6EA3" w:rsidRPr="00AE6EA3">
        <w:rPr>
          <w:rFonts w:ascii="Century Schoolbook" w:hAnsi="Century Schoolbook" w:cs="Times-Roman"/>
        </w:rPr>
        <w:t>Mian</w:t>
      </w:r>
      <w:proofErr w:type="spellEnd"/>
      <w:r w:rsidR="00AE6EA3" w:rsidRPr="00AE6EA3">
        <w:rPr>
          <w:rFonts w:ascii="Century Schoolbook" w:hAnsi="Century Schoolbook" w:cs="Times-Roman"/>
        </w:rPr>
        <w:t>, 2006</w:t>
      </w:r>
      <w:r w:rsidR="00123163" w:rsidRPr="00AE6EA3">
        <w:rPr>
          <w:rFonts w:ascii="Century Schoolbook" w:hAnsi="Century Schoolbook" w:cs="Times-Roman"/>
        </w:rPr>
        <w:t>)</w:t>
      </w:r>
      <w:r w:rsidR="003848E8" w:rsidRPr="00AE6EA3">
        <w:rPr>
          <w:rFonts w:ascii="Century Schoolbook" w:hAnsi="Century Schoolbook" w:cs="Times New Roman"/>
        </w:rPr>
        <w:t xml:space="preserve">, </w:t>
      </w:r>
      <w:r w:rsidR="001F4E18" w:rsidRPr="00AE6EA3">
        <w:rPr>
          <w:rFonts w:ascii="Century Schoolbook" w:hAnsi="Century Schoolbook" w:cs="Times New Roman"/>
        </w:rPr>
        <w:t xml:space="preserve">we find that analysts </w:t>
      </w:r>
      <w:r w:rsidR="002D620C" w:rsidRPr="00AE6EA3">
        <w:rPr>
          <w:rFonts w:ascii="Century Schoolbook" w:hAnsi="Century Schoolbook" w:cs="Times New Roman"/>
        </w:rPr>
        <w:t>who</w:t>
      </w:r>
      <w:r w:rsidR="001F4E18" w:rsidRPr="00AE6EA3">
        <w:rPr>
          <w:rFonts w:ascii="Century Schoolbook" w:hAnsi="Century Schoolbook" w:cs="Times New Roman"/>
        </w:rPr>
        <w:t xml:space="preserve"> previously issue</w:t>
      </w:r>
      <w:r w:rsidR="002D620C" w:rsidRPr="00AE6EA3">
        <w:rPr>
          <w:rFonts w:ascii="Century Schoolbook" w:hAnsi="Century Schoolbook" w:cs="Times New Roman"/>
        </w:rPr>
        <w:t>d</w:t>
      </w:r>
      <w:r w:rsidR="001F4E18" w:rsidRPr="00AE6EA3">
        <w:rPr>
          <w:rFonts w:ascii="Century Schoolbook" w:hAnsi="Century Schoolbook" w:cs="Times New Roman"/>
        </w:rPr>
        <w:t xml:space="preserve"> more precise earnings forecasts </w:t>
      </w:r>
      <w:r w:rsidR="003848E8" w:rsidRPr="00AE6EA3">
        <w:rPr>
          <w:rFonts w:ascii="Century Schoolbook" w:hAnsi="Century Schoolbook" w:cs="Times New Roman"/>
        </w:rPr>
        <w:t>have greater ability to move prices</w:t>
      </w:r>
      <w:r w:rsidR="002D620C" w:rsidRPr="00AE6EA3">
        <w:rPr>
          <w:rFonts w:ascii="Century Schoolbook" w:hAnsi="Century Schoolbook" w:cs="Times New Roman"/>
        </w:rPr>
        <w:t xml:space="preserve">. </w:t>
      </w:r>
      <w:r w:rsidR="004E4BB5" w:rsidRPr="00AE6EA3">
        <w:rPr>
          <w:rFonts w:ascii="Century Schoolbook" w:hAnsi="Century Schoolbook" w:cs="Times New Roman"/>
        </w:rPr>
        <w:t xml:space="preserve">Nevertheless, </w:t>
      </w:r>
      <w:r w:rsidR="00D131CD" w:rsidRPr="00AB75FD">
        <w:rPr>
          <w:rFonts w:ascii="Century Schoolbook" w:eastAsia="Times New Roman" w:hAnsi="Century Schoolbook" w:cs="Times New Roman"/>
          <w:i/>
          <w:color w:val="000000"/>
          <w:lang w:eastAsia="en-CA"/>
        </w:rPr>
        <w:t>High EPS precision</w:t>
      </w:r>
      <w:r w:rsidR="00D131CD" w:rsidRPr="00AB75FD">
        <w:rPr>
          <w:rFonts w:ascii="Century Schoolbook" w:hAnsi="Century Schoolbook" w:cs="Times New Roman"/>
        </w:rPr>
        <w:t xml:space="preserve"> </w:t>
      </w:r>
      <w:r w:rsidR="00DC7F9D" w:rsidRPr="00AE6EA3">
        <w:rPr>
          <w:rFonts w:ascii="Century Schoolbook" w:hAnsi="Century Schoolbook" w:cs="Times New Roman"/>
        </w:rPr>
        <w:t xml:space="preserve">does not erode </w:t>
      </w:r>
      <w:r w:rsidR="004E4BB5" w:rsidRPr="00AE6EA3">
        <w:rPr>
          <w:rFonts w:ascii="Century Schoolbook" w:hAnsi="Century Schoolbook" w:cs="Times New Roman"/>
        </w:rPr>
        <w:t>the strong predictability of the recommendation speed-style.</w:t>
      </w:r>
      <w:r w:rsidR="004E4BB5" w:rsidRPr="00AB75FD">
        <w:rPr>
          <w:rFonts w:ascii="Century Schoolbook" w:hAnsi="Century Schoolbook" w:cs="Times New Roman"/>
        </w:rPr>
        <w:t xml:space="preserve"> </w:t>
      </w:r>
      <w:r w:rsidR="001F1CB3" w:rsidRPr="00AB75FD">
        <w:rPr>
          <w:rFonts w:ascii="Century Schoolbook" w:hAnsi="Century Schoolbook" w:cs="Times New Roman"/>
        </w:rPr>
        <w:t xml:space="preserve"> </w:t>
      </w:r>
    </w:p>
    <w:p w14:paraId="1D739EA6" w14:textId="1046F045" w:rsidR="00D52670" w:rsidRDefault="009A4BD2" w:rsidP="005A7D42">
      <w:pPr>
        <w:spacing w:line="480" w:lineRule="auto"/>
        <w:ind w:firstLine="284"/>
        <w:jc w:val="both"/>
        <w:rPr>
          <w:rFonts w:ascii="Century Schoolbook" w:hAnsi="Century Schoolbook" w:cs="Times New Roman"/>
        </w:rPr>
      </w:pPr>
      <w:r>
        <w:rPr>
          <w:rFonts w:ascii="Century Schoolbook" w:hAnsi="Century Schoolbook" w:cs="Times New Roman"/>
        </w:rPr>
        <w:lastRenderedPageBreak/>
        <w:t xml:space="preserve">Additionally, </w:t>
      </w:r>
      <w:r w:rsidR="007E2841">
        <w:rPr>
          <w:rFonts w:ascii="Century Schoolbook" w:hAnsi="Century Schoolbook" w:cs="Times New Roman"/>
        </w:rPr>
        <w:t>we find that</w:t>
      </w:r>
      <w:r w:rsidR="001F1CB3" w:rsidRPr="00AB75FD">
        <w:rPr>
          <w:rFonts w:ascii="Century Schoolbook" w:hAnsi="Century Schoolbook" w:cs="Times New Roman"/>
        </w:rPr>
        <w:t xml:space="preserve"> </w:t>
      </w:r>
      <w:r w:rsidR="009753E9" w:rsidRPr="00AB75FD">
        <w:rPr>
          <w:rFonts w:ascii="Century Schoolbook" w:hAnsi="Century Schoolbook" w:cs="Times New Roman"/>
        </w:rPr>
        <w:t>our main conclusion holds after</w:t>
      </w:r>
      <w:r w:rsidR="00D52670" w:rsidRPr="00AB75FD">
        <w:rPr>
          <w:rFonts w:ascii="Century Schoolbook" w:hAnsi="Century Schoolbook" w:cs="Times New Roman"/>
        </w:rPr>
        <w:t xml:space="preserve"> control</w:t>
      </w:r>
      <w:r w:rsidR="009753E9" w:rsidRPr="00AB75FD">
        <w:rPr>
          <w:rFonts w:ascii="Century Schoolbook" w:hAnsi="Century Schoolbook" w:cs="Times New Roman"/>
        </w:rPr>
        <w:t>ling</w:t>
      </w:r>
      <w:r w:rsidR="00D52670" w:rsidRPr="00AB75FD">
        <w:rPr>
          <w:rFonts w:ascii="Century Schoolbook" w:hAnsi="Century Schoolbook" w:cs="Times New Roman"/>
        </w:rPr>
        <w:t xml:space="preserve"> for characteristics </w:t>
      </w:r>
      <w:r w:rsidR="001F1CB3" w:rsidRPr="00AB75FD">
        <w:rPr>
          <w:rFonts w:ascii="Century Schoolbook" w:hAnsi="Century Schoolbook" w:cs="Times New Roman"/>
        </w:rPr>
        <w:t xml:space="preserve">that are specific to </w:t>
      </w:r>
      <w:r w:rsidR="00D52670" w:rsidRPr="00AB75FD">
        <w:rPr>
          <w:rFonts w:ascii="Century Schoolbook" w:hAnsi="Century Schoolbook" w:cs="Times New Roman"/>
        </w:rPr>
        <w:t>each recommendation revision</w:t>
      </w:r>
      <w:r w:rsidR="00E354EB" w:rsidRPr="00AB75FD">
        <w:rPr>
          <w:rFonts w:ascii="Century Schoolbook" w:hAnsi="Century Schoolbook" w:cs="Times New Roman"/>
        </w:rPr>
        <w:t xml:space="preserve">. </w:t>
      </w:r>
      <w:r w:rsidR="001F1CB3" w:rsidRPr="00AB75FD">
        <w:rPr>
          <w:rFonts w:ascii="Century Schoolbook" w:hAnsi="Century Schoolbook" w:cs="Times New Roman"/>
        </w:rPr>
        <w:t xml:space="preserve">We </w:t>
      </w:r>
      <w:r w:rsidR="00E354EB" w:rsidRPr="00AB75FD">
        <w:rPr>
          <w:rFonts w:ascii="Century Schoolbook" w:hAnsi="Century Schoolbook" w:cs="Times New Roman"/>
        </w:rPr>
        <w:t>include dummies for recommendation revisions that occur one week before (</w:t>
      </w:r>
      <w:r w:rsidR="00781C95">
        <w:rPr>
          <w:rFonts w:ascii="Century Schoolbook" w:hAnsi="Century Schoolbook" w:cs="Times New Roman"/>
          <w:i/>
        </w:rPr>
        <w:t>Pre-earnings</w:t>
      </w:r>
      <w:r w:rsidR="00E354EB" w:rsidRPr="00AB75FD">
        <w:rPr>
          <w:rFonts w:ascii="Century Schoolbook" w:hAnsi="Century Schoolbook" w:cs="Times New Roman"/>
          <w:i/>
        </w:rPr>
        <w:t>)</w:t>
      </w:r>
      <w:r w:rsidR="00E354EB" w:rsidRPr="00AB75FD">
        <w:rPr>
          <w:rFonts w:ascii="Century Schoolbook" w:hAnsi="Century Schoolbook" w:cs="Times New Roman"/>
        </w:rPr>
        <w:t>, one week after (</w:t>
      </w:r>
      <w:r w:rsidR="00781C95">
        <w:rPr>
          <w:rFonts w:ascii="Century Schoolbook" w:hAnsi="Century Schoolbook" w:cs="Times New Roman"/>
          <w:i/>
        </w:rPr>
        <w:t>Earnings-related</w:t>
      </w:r>
      <w:r w:rsidR="00E354EB" w:rsidRPr="00AB75FD">
        <w:rPr>
          <w:rFonts w:ascii="Century Schoolbook" w:hAnsi="Century Schoolbook" w:cs="Times New Roman"/>
        </w:rPr>
        <w:t>), and around the day of an earnings announcement (</w:t>
      </w:r>
      <w:r w:rsidR="00E354EB" w:rsidRPr="00AB75FD">
        <w:rPr>
          <w:rFonts w:ascii="Century Schoolbook" w:hAnsi="Century Schoolbook" w:cs="Times New Roman"/>
          <w:i/>
        </w:rPr>
        <w:t>Concurrent with earnings</w:t>
      </w:r>
      <w:r w:rsidR="00E354EB" w:rsidRPr="00AB75FD">
        <w:rPr>
          <w:rFonts w:ascii="Century Schoolbook" w:hAnsi="Century Schoolbook" w:cs="Times New Roman"/>
        </w:rPr>
        <w:t xml:space="preserve">) because the timing of the recommendation revision </w:t>
      </w:r>
      <w:r w:rsidR="00D52670" w:rsidRPr="00AB75FD">
        <w:rPr>
          <w:rFonts w:ascii="Century Schoolbook" w:hAnsi="Century Schoolbook" w:cs="Times New Roman"/>
        </w:rPr>
        <w:t xml:space="preserve">relative to earnings news </w:t>
      </w:r>
      <w:r w:rsidR="00E354EB" w:rsidRPr="00AB75FD">
        <w:rPr>
          <w:rFonts w:ascii="Century Schoolbook" w:hAnsi="Century Schoolbook" w:cs="Times New Roman"/>
        </w:rPr>
        <w:t>conveys information (</w:t>
      </w:r>
      <w:proofErr w:type="spellStart"/>
      <w:r w:rsidR="00E354EB" w:rsidRPr="00AB75FD">
        <w:rPr>
          <w:rFonts w:ascii="Century Schoolbook" w:hAnsi="Century Schoolbook" w:cs="Times New Roman"/>
        </w:rPr>
        <w:t>Ivko</w:t>
      </w:r>
      <w:r w:rsidR="0009780D" w:rsidRPr="00AB75FD">
        <w:rPr>
          <w:rFonts w:ascii="Century Schoolbook" w:hAnsi="Century Schoolbook" w:cs="Times New Roman"/>
        </w:rPr>
        <w:t>vic</w:t>
      </w:r>
      <w:proofErr w:type="spellEnd"/>
      <w:r w:rsidR="0009780D" w:rsidRPr="00AB75FD">
        <w:rPr>
          <w:rFonts w:ascii="Century Schoolbook" w:hAnsi="Century Schoolbook" w:cs="Times New Roman"/>
        </w:rPr>
        <w:t xml:space="preserve"> and</w:t>
      </w:r>
      <w:r w:rsidR="00AE5906" w:rsidRPr="00AB75FD">
        <w:rPr>
          <w:rFonts w:ascii="Century Schoolbook" w:hAnsi="Century Schoolbook" w:cs="Times New Roman"/>
        </w:rPr>
        <w:t xml:space="preserve"> </w:t>
      </w:r>
      <w:proofErr w:type="spellStart"/>
      <w:r w:rsidR="00AE5906" w:rsidRPr="00AB75FD">
        <w:rPr>
          <w:rFonts w:ascii="Century Schoolbook" w:hAnsi="Century Schoolbook" w:cs="Times New Roman"/>
        </w:rPr>
        <w:t>Jegadeesh</w:t>
      </w:r>
      <w:proofErr w:type="spellEnd"/>
      <w:r w:rsidR="00AE5906" w:rsidRPr="00AB75FD">
        <w:rPr>
          <w:rFonts w:ascii="Century Schoolbook" w:hAnsi="Century Schoolbook" w:cs="Times New Roman"/>
        </w:rPr>
        <w:t xml:space="preserve">, </w:t>
      </w:r>
      <w:r w:rsidR="0009780D" w:rsidRPr="00AB75FD">
        <w:rPr>
          <w:rFonts w:ascii="Century Schoolbook" w:hAnsi="Century Schoolbook" w:cs="Times New Roman"/>
        </w:rPr>
        <w:t>2004). We</w:t>
      </w:r>
      <w:r w:rsidR="00E354EB" w:rsidRPr="00AB75FD">
        <w:rPr>
          <w:rFonts w:ascii="Century Schoolbook" w:hAnsi="Century Schoolbook" w:cs="Times New Roman"/>
        </w:rPr>
        <w:t xml:space="preserve"> include a dummy variable for revisions that herd toward the consensus (</w:t>
      </w:r>
      <w:r w:rsidR="00E354EB" w:rsidRPr="00AB75FD">
        <w:rPr>
          <w:rFonts w:ascii="Century Schoolbook" w:hAnsi="Century Schoolbook" w:cs="Times New Roman"/>
          <w:i/>
        </w:rPr>
        <w:t>Away from consensus</w:t>
      </w:r>
      <w:r w:rsidR="00E354EB" w:rsidRPr="00AB75FD">
        <w:rPr>
          <w:rFonts w:ascii="Century Schoolbook" w:hAnsi="Century Schoolbook" w:cs="Times New Roman"/>
        </w:rPr>
        <w:t xml:space="preserve">) </w:t>
      </w:r>
      <w:r w:rsidR="005A7D42">
        <w:rPr>
          <w:rFonts w:ascii="Century Schoolbook" w:hAnsi="Century Schoolbook" w:cs="Times New Roman"/>
        </w:rPr>
        <w:t xml:space="preserve">ad defined in </w:t>
      </w:r>
      <w:proofErr w:type="spellStart"/>
      <w:r w:rsidR="00AE5906" w:rsidRPr="00AB75FD">
        <w:rPr>
          <w:rFonts w:ascii="Century Schoolbook" w:hAnsi="Century Schoolbook" w:cs="Times New Roman"/>
        </w:rPr>
        <w:t>Jegadeesh</w:t>
      </w:r>
      <w:proofErr w:type="spellEnd"/>
      <w:r w:rsidR="00AE5906" w:rsidRPr="00AB75FD">
        <w:rPr>
          <w:rFonts w:ascii="Century Schoolbook" w:hAnsi="Century Schoolbook" w:cs="Times New Roman"/>
        </w:rPr>
        <w:t xml:space="preserve"> and</w:t>
      </w:r>
      <w:r w:rsidR="005A7D42">
        <w:rPr>
          <w:rFonts w:ascii="Century Schoolbook" w:hAnsi="Century Schoolbook" w:cs="Times New Roman"/>
        </w:rPr>
        <w:t xml:space="preserve"> Kim (</w:t>
      </w:r>
      <w:r w:rsidR="004A1944">
        <w:rPr>
          <w:rFonts w:ascii="Century Schoolbook" w:hAnsi="Century Schoolbook" w:cs="Times New Roman"/>
        </w:rPr>
        <w:t>2010</w:t>
      </w:r>
      <w:r w:rsidR="007B4771" w:rsidRPr="00AB75FD">
        <w:rPr>
          <w:rFonts w:ascii="Century Schoolbook" w:hAnsi="Century Schoolbook" w:cs="Times New Roman"/>
        </w:rPr>
        <w:t xml:space="preserve">). </w:t>
      </w:r>
      <w:r w:rsidR="0009780D" w:rsidRPr="00AB75FD">
        <w:rPr>
          <w:rFonts w:ascii="Century Schoolbook" w:hAnsi="Century Schoolbook" w:cs="Times New Roman"/>
        </w:rPr>
        <w:t xml:space="preserve">We also control for </w:t>
      </w:r>
      <w:r w:rsidR="00D52670" w:rsidRPr="00AB75FD">
        <w:rPr>
          <w:rFonts w:ascii="Century Schoolbook" w:hAnsi="Century Schoolbook" w:cs="Times New Roman"/>
        </w:rPr>
        <w:t>the magnitude of the recommendation change (</w:t>
      </w:r>
      <w:r w:rsidR="00D52670" w:rsidRPr="00AB75FD">
        <w:rPr>
          <w:rFonts w:ascii="Century Schoolbook" w:hAnsi="Century Schoolbook" w:cs="Times New Roman"/>
          <w:i/>
        </w:rPr>
        <w:t># level up/down</w:t>
      </w:r>
      <w:r w:rsidR="00D52670" w:rsidRPr="00AB75FD">
        <w:rPr>
          <w:rFonts w:ascii="Century Schoolbook" w:hAnsi="Century Schoolbook" w:cs="Times New Roman"/>
        </w:rPr>
        <w:t>), and the recommendation level before it is revised (</w:t>
      </w:r>
      <w:r w:rsidR="00D52670" w:rsidRPr="00AB75FD">
        <w:rPr>
          <w:rFonts w:ascii="Century Schoolbook" w:hAnsi="Century Schoolbook" w:cs="Times New Roman"/>
          <w:i/>
        </w:rPr>
        <w:t>Initial level</w:t>
      </w:r>
      <w:r w:rsidR="00D52670" w:rsidRPr="00AB75FD">
        <w:rPr>
          <w:rFonts w:ascii="Century Schoolbook" w:hAnsi="Century Schoolbook" w:cs="Times New Roman"/>
        </w:rPr>
        <w:t>).</w:t>
      </w:r>
      <w:r w:rsidR="006B0EA9" w:rsidRPr="00AB75FD">
        <w:rPr>
          <w:rFonts w:ascii="Century Schoolbook" w:hAnsi="Century Schoolbook" w:cs="Times New Roman"/>
        </w:rPr>
        <w:t xml:space="preserve"> </w:t>
      </w:r>
      <w:r w:rsidR="005A7D42">
        <w:rPr>
          <w:rFonts w:ascii="Century Schoolbook" w:hAnsi="Century Schoolbook" w:cs="Times New Roman"/>
        </w:rPr>
        <w:t xml:space="preserve"> </w:t>
      </w:r>
      <w:r w:rsidR="00D02B03" w:rsidRPr="00AB75FD">
        <w:rPr>
          <w:rFonts w:ascii="Century Schoolbook" w:hAnsi="Century Schoolbook" w:cs="Times New Roman"/>
        </w:rPr>
        <w:t xml:space="preserve">Overall, we find </w:t>
      </w:r>
      <w:r w:rsidR="006B0EA9" w:rsidRPr="00AB75FD">
        <w:rPr>
          <w:rFonts w:ascii="Century Schoolbook" w:hAnsi="Century Schoolbook" w:cs="Times New Roman"/>
        </w:rPr>
        <w:t>the predictive ability of recommendation speed-s</w:t>
      </w:r>
      <w:r w:rsidR="009A2319" w:rsidRPr="00AB75FD">
        <w:rPr>
          <w:rFonts w:ascii="Century Schoolbook" w:hAnsi="Century Schoolbook" w:cs="Times New Roman"/>
        </w:rPr>
        <w:t xml:space="preserve">tyle </w:t>
      </w:r>
      <w:r w:rsidR="006B0EA9" w:rsidRPr="00AB75FD">
        <w:rPr>
          <w:rFonts w:ascii="Century Schoolbook" w:hAnsi="Century Schoolbook" w:cs="Times New Roman"/>
        </w:rPr>
        <w:t xml:space="preserve">is </w:t>
      </w:r>
      <w:r w:rsidR="00D02B03" w:rsidRPr="00AB75FD">
        <w:rPr>
          <w:rFonts w:ascii="Century Schoolbook" w:hAnsi="Century Schoolbook" w:cs="Times New Roman"/>
        </w:rPr>
        <w:t>economically large a</w:t>
      </w:r>
      <w:r w:rsidR="00F21389">
        <w:rPr>
          <w:rFonts w:ascii="Century Schoolbook" w:hAnsi="Century Schoolbook" w:cs="Times New Roman"/>
        </w:rPr>
        <w:t>nd significant, and more i</w:t>
      </w:r>
      <w:r w:rsidR="00D02B03" w:rsidRPr="00AB75FD">
        <w:rPr>
          <w:rFonts w:ascii="Century Schoolbook" w:hAnsi="Century Schoolbook" w:cs="Times New Roman"/>
        </w:rPr>
        <w:t>mportantly, it dominates</w:t>
      </w:r>
      <w:r w:rsidR="006B0EA9" w:rsidRPr="00AB75FD">
        <w:rPr>
          <w:rFonts w:ascii="Century Schoolbook" w:hAnsi="Century Schoolbook" w:cs="Times New Roman"/>
        </w:rPr>
        <w:t xml:space="preserve"> other ex-ante analyst characteristics that have been linked to analysts’</w:t>
      </w:r>
      <w:r w:rsidR="00D02B03" w:rsidRPr="00AB75FD">
        <w:rPr>
          <w:rFonts w:ascii="Century Schoolbook" w:hAnsi="Century Schoolbook" w:cs="Times New Roman"/>
        </w:rPr>
        <w:t xml:space="preserve"> ability to move prices.</w:t>
      </w:r>
      <w:r w:rsidR="00AD13CD" w:rsidRPr="00AB75FD">
        <w:rPr>
          <w:rStyle w:val="FootnoteReference"/>
          <w:rFonts w:ascii="Century Schoolbook" w:hAnsi="Century Schoolbook" w:cs="Times New Roman"/>
        </w:rPr>
        <w:footnoteReference w:id="18"/>
      </w:r>
    </w:p>
    <w:p w14:paraId="4EB1C303" w14:textId="77777777" w:rsidR="002241B4" w:rsidRPr="002241B4" w:rsidRDefault="00E362EA" w:rsidP="0047760B">
      <w:pPr>
        <w:pStyle w:val="ListParagraph"/>
        <w:numPr>
          <w:ilvl w:val="1"/>
          <w:numId w:val="3"/>
        </w:numPr>
        <w:spacing w:line="480" w:lineRule="auto"/>
        <w:ind w:left="360"/>
        <w:jc w:val="both"/>
        <w:rPr>
          <w:rFonts w:ascii="Century Schoolbook" w:hAnsi="Century Schoolbook" w:cs="Times New Roman"/>
        </w:rPr>
      </w:pPr>
      <w:r w:rsidRPr="002241B4">
        <w:rPr>
          <w:rFonts w:ascii="Century Schoolbook" w:hAnsi="Century Schoolbook" w:cs="Times New Roman"/>
          <w:b/>
          <w:i/>
        </w:rPr>
        <w:t xml:space="preserve"> </w:t>
      </w:r>
      <w:r w:rsidR="00417B4E" w:rsidRPr="002241B4">
        <w:rPr>
          <w:rFonts w:ascii="Century Schoolbook" w:hAnsi="Century Schoolbook" w:cs="Times New Roman"/>
          <w:b/>
          <w:i/>
        </w:rPr>
        <w:t>Real</w:t>
      </w:r>
      <w:r w:rsidR="002E3EB2" w:rsidRPr="002241B4">
        <w:rPr>
          <w:rFonts w:ascii="Century Schoolbook" w:hAnsi="Century Schoolbook" w:cs="Times New Roman"/>
          <w:i/>
        </w:rPr>
        <w:t>-</w:t>
      </w:r>
      <w:r w:rsidR="00E354EB" w:rsidRPr="002241B4">
        <w:rPr>
          <w:rFonts w:ascii="Century Schoolbook" w:hAnsi="Century Schoolbook" w:cs="Times New Roman"/>
          <w:b/>
          <w:i/>
        </w:rPr>
        <w:t>calendar</w:t>
      </w:r>
      <w:r w:rsidR="002E3EB2" w:rsidRPr="002241B4">
        <w:rPr>
          <w:rFonts w:ascii="Century Schoolbook" w:hAnsi="Century Schoolbook" w:cs="Times New Roman"/>
          <w:i/>
        </w:rPr>
        <w:t>-</w:t>
      </w:r>
      <w:r w:rsidR="00E354EB" w:rsidRPr="002241B4">
        <w:rPr>
          <w:rFonts w:ascii="Century Schoolbook" w:hAnsi="Century Schoolbook" w:cs="Times New Roman"/>
          <w:b/>
          <w:i/>
        </w:rPr>
        <w:t>time portfolio strategy</w:t>
      </w:r>
    </w:p>
    <w:p w14:paraId="23023943" w14:textId="0B9E305B" w:rsidR="00B649C9" w:rsidRPr="002241B4" w:rsidRDefault="009A4BD2" w:rsidP="002241B4">
      <w:pPr>
        <w:spacing w:line="480" w:lineRule="auto"/>
        <w:ind w:left="-72"/>
        <w:jc w:val="both"/>
        <w:rPr>
          <w:rFonts w:ascii="Century Schoolbook" w:hAnsi="Century Schoolbook" w:cs="Times New Roman"/>
        </w:rPr>
      </w:pPr>
      <w:r w:rsidRPr="002241B4">
        <w:rPr>
          <w:rFonts w:ascii="Century Schoolbook" w:hAnsi="Century Schoolbook" w:cs="Times New Roman"/>
        </w:rPr>
        <w:t>We</w:t>
      </w:r>
      <w:r w:rsidR="00E354EB" w:rsidRPr="002241B4">
        <w:rPr>
          <w:rFonts w:ascii="Century Schoolbook" w:hAnsi="Century Schoolbook" w:cs="Times New Roman"/>
        </w:rPr>
        <w:t xml:space="preserve"> examine </w:t>
      </w:r>
      <w:r w:rsidR="00597816" w:rsidRPr="002241B4">
        <w:rPr>
          <w:rFonts w:ascii="Century Schoolbook" w:hAnsi="Century Schoolbook" w:cs="Times New Roman"/>
        </w:rPr>
        <w:t xml:space="preserve">real-time </w:t>
      </w:r>
      <w:r w:rsidR="00E354EB" w:rsidRPr="002241B4">
        <w:rPr>
          <w:rFonts w:ascii="Century Schoolbook" w:hAnsi="Century Schoolbook" w:cs="Times New Roman"/>
        </w:rPr>
        <w:t xml:space="preserve">investment value </w:t>
      </w:r>
      <w:r w:rsidR="00597816" w:rsidRPr="002241B4">
        <w:rPr>
          <w:rFonts w:ascii="Century Schoolbook" w:hAnsi="Century Schoolbook" w:cs="Times New Roman"/>
        </w:rPr>
        <w:t>of</w:t>
      </w:r>
      <w:r w:rsidR="00E354EB" w:rsidRPr="002241B4">
        <w:rPr>
          <w:rFonts w:ascii="Century Schoolbook" w:hAnsi="Century Schoolbook" w:cs="Times New Roman"/>
        </w:rPr>
        <w:t xml:space="preserve"> recommendation revisions </w:t>
      </w:r>
      <w:r w:rsidR="00597816" w:rsidRPr="002241B4">
        <w:rPr>
          <w:rFonts w:ascii="Century Schoolbook" w:hAnsi="Century Schoolbook" w:cs="Times New Roman"/>
        </w:rPr>
        <w:t>made by fast</w:t>
      </w:r>
      <w:r w:rsidR="0079520A" w:rsidRPr="002241B4">
        <w:rPr>
          <w:rFonts w:ascii="Century Schoolbook" w:hAnsi="Century Schoolbook" w:cs="Times New Roman"/>
        </w:rPr>
        <w:t>-</w:t>
      </w:r>
      <w:r w:rsidR="00597816" w:rsidRPr="002241B4">
        <w:rPr>
          <w:rFonts w:ascii="Century Schoolbook" w:hAnsi="Century Schoolbook" w:cs="Times New Roman"/>
        </w:rPr>
        <w:t xml:space="preserve"> vs. slow</w:t>
      </w:r>
      <w:r w:rsidR="0079520A" w:rsidRPr="002241B4">
        <w:rPr>
          <w:rFonts w:ascii="Century Schoolbook" w:hAnsi="Century Schoolbook" w:cs="Times New Roman"/>
        </w:rPr>
        <w:t>-</w:t>
      </w:r>
      <w:r w:rsidR="00597816" w:rsidRPr="002241B4">
        <w:rPr>
          <w:rFonts w:ascii="Century Schoolbook" w:hAnsi="Century Schoolbook" w:cs="Times New Roman"/>
        </w:rPr>
        <w:t>turnover analysts. We build</w:t>
      </w:r>
      <w:r w:rsidR="00E354EB" w:rsidRPr="002241B4">
        <w:rPr>
          <w:rFonts w:ascii="Century Schoolbook" w:hAnsi="Century Schoolbook" w:cs="Times New Roman"/>
        </w:rPr>
        <w:t xml:space="preserve"> a trading strategy that follows recommendations issued by different analyst turnover groups. Specifically, in the spirit of Barber, </w:t>
      </w:r>
      <w:proofErr w:type="spellStart"/>
      <w:r w:rsidR="00E354EB" w:rsidRPr="002241B4">
        <w:rPr>
          <w:rFonts w:ascii="Century Schoolbook" w:hAnsi="Century Schoolbook" w:cs="Times New Roman"/>
        </w:rPr>
        <w:t>Lehavy</w:t>
      </w:r>
      <w:proofErr w:type="spellEnd"/>
      <w:r w:rsidR="00E354EB" w:rsidRPr="002241B4">
        <w:rPr>
          <w:rFonts w:ascii="Century Schoolbook" w:hAnsi="Century Schoolbook" w:cs="Times New Roman"/>
        </w:rPr>
        <w:t xml:space="preserve"> and </w:t>
      </w:r>
      <w:proofErr w:type="spellStart"/>
      <w:r w:rsidR="00E354EB" w:rsidRPr="002241B4">
        <w:rPr>
          <w:rFonts w:ascii="Century Schoolbook" w:hAnsi="Century Schoolbook" w:cs="Times New Roman"/>
        </w:rPr>
        <w:t>Trueman</w:t>
      </w:r>
      <w:proofErr w:type="spellEnd"/>
      <w:r w:rsidR="00E354EB" w:rsidRPr="002241B4">
        <w:rPr>
          <w:rFonts w:ascii="Century Schoolbook" w:hAnsi="Century Schoolbook" w:cs="Times New Roman"/>
        </w:rPr>
        <w:t xml:space="preserve"> (2007), we design a trading strategy that </w:t>
      </w:r>
      <w:r w:rsidR="009E4EFA" w:rsidRPr="002241B4">
        <w:rPr>
          <w:rFonts w:ascii="Century Schoolbook" w:hAnsi="Century Schoolbook" w:cs="Times New Roman"/>
        </w:rPr>
        <w:t>invests $1 on</w:t>
      </w:r>
      <w:r w:rsidR="00E354EB" w:rsidRPr="002241B4">
        <w:rPr>
          <w:rFonts w:ascii="Century Schoolbook" w:hAnsi="Century Schoolbook" w:cs="Times New Roman"/>
        </w:rPr>
        <w:t xml:space="preserve"> upgraded stocks and sells </w:t>
      </w:r>
      <w:r w:rsidR="009E4EFA" w:rsidRPr="002241B4">
        <w:rPr>
          <w:rFonts w:ascii="Century Schoolbook" w:hAnsi="Century Schoolbook" w:cs="Times New Roman"/>
        </w:rPr>
        <w:t xml:space="preserve">$1 on </w:t>
      </w:r>
      <w:r w:rsidR="00AC7E42" w:rsidRPr="002241B4">
        <w:rPr>
          <w:rFonts w:ascii="Century Schoolbook" w:hAnsi="Century Schoolbook" w:cs="Times New Roman"/>
        </w:rPr>
        <w:t>downgraded stocks.</w:t>
      </w:r>
    </w:p>
    <w:p w14:paraId="275B72E4" w14:textId="5C440E21" w:rsidR="00B649C9" w:rsidRPr="00AB75FD" w:rsidRDefault="00B32203" w:rsidP="00A00DFF">
      <w:pPr>
        <w:spacing w:line="480" w:lineRule="auto"/>
        <w:ind w:firstLine="284"/>
        <w:jc w:val="both"/>
        <w:rPr>
          <w:rFonts w:ascii="Century Schoolbook" w:hAnsi="Century Schoolbook" w:cs="Times New Roman"/>
        </w:rPr>
      </w:pPr>
      <w:r w:rsidRPr="00F27F5B">
        <w:rPr>
          <w:rFonts w:ascii="Century Schoolbook" w:hAnsi="Century Schoolbook"/>
          <w:iCs/>
        </w:rPr>
        <w:t xml:space="preserve">We assume that the </w:t>
      </w:r>
      <w:r w:rsidRPr="00096ABD">
        <w:rPr>
          <w:rFonts w:ascii="Century Schoolbook" w:hAnsi="Century Schoolbook"/>
          <w:iCs/>
        </w:rPr>
        <w:t>stock is transacted at the closing</w:t>
      </w:r>
      <w:r w:rsidR="0079520A" w:rsidRPr="00D40BEA">
        <w:rPr>
          <w:rFonts w:ascii="Century Schoolbook" w:hAnsi="Century Schoolbook" w:cs="Times New Roman"/>
          <w:iCs/>
        </w:rPr>
        <w:t>-</w:t>
      </w:r>
      <w:r w:rsidRPr="004A1944">
        <w:rPr>
          <w:rFonts w:ascii="Century Schoolbook" w:hAnsi="Century Schoolbook"/>
          <w:iCs/>
        </w:rPr>
        <w:t xml:space="preserve">day price </w:t>
      </w:r>
      <w:r w:rsidRPr="003C3E50">
        <w:rPr>
          <w:rFonts w:ascii="Century Schoolbook" w:hAnsi="Century Schoolbook"/>
          <w:i/>
          <w:iCs/>
        </w:rPr>
        <w:t>after</w:t>
      </w:r>
      <w:r w:rsidRPr="00400FF3">
        <w:rPr>
          <w:rFonts w:ascii="Century Schoolbook" w:hAnsi="Century Schoolbook"/>
          <w:iCs/>
        </w:rPr>
        <w:t xml:space="preserve"> the recommendatio</w:t>
      </w:r>
      <w:r w:rsidRPr="00F27F5B">
        <w:rPr>
          <w:rFonts w:ascii="Century Schoolbook" w:hAnsi="Century Schoolbook"/>
          <w:iCs/>
        </w:rPr>
        <w:t xml:space="preserve">n change. </w:t>
      </w:r>
      <w:r w:rsidR="00F37145" w:rsidRPr="00F27F5B">
        <w:rPr>
          <w:rFonts w:ascii="Century Schoolbook" w:hAnsi="Century Schoolbook"/>
          <w:iCs/>
        </w:rPr>
        <w:t xml:space="preserve">This ensures that the strategy is implementable by </w:t>
      </w:r>
      <w:r w:rsidR="000712A5" w:rsidRPr="00F27F5B">
        <w:rPr>
          <w:rFonts w:ascii="Century Schoolbook" w:hAnsi="Century Schoolbook"/>
          <w:i/>
          <w:iCs/>
        </w:rPr>
        <w:t xml:space="preserve">ordinary </w:t>
      </w:r>
      <w:r w:rsidR="00F37145" w:rsidRPr="00F27F5B">
        <w:rPr>
          <w:rFonts w:ascii="Century Schoolbook" w:hAnsi="Century Schoolbook"/>
          <w:i/>
          <w:iCs/>
        </w:rPr>
        <w:t>investors</w:t>
      </w:r>
      <w:r w:rsidR="00F37145" w:rsidRPr="00F27F5B">
        <w:rPr>
          <w:rFonts w:ascii="Century Schoolbook" w:hAnsi="Century Schoolbook"/>
          <w:iCs/>
        </w:rPr>
        <w:t xml:space="preserve"> without private access </w:t>
      </w:r>
      <w:r w:rsidR="00F37145" w:rsidRPr="00A11FC6">
        <w:rPr>
          <w:rFonts w:ascii="Century Schoolbook" w:hAnsi="Century Schoolbook"/>
          <w:iCs/>
        </w:rPr>
        <w:t>to analysts’ recommendation</w:t>
      </w:r>
      <w:r w:rsidR="00785ACA">
        <w:rPr>
          <w:rFonts w:ascii="Century Schoolbook" w:hAnsi="Century Schoolbook"/>
          <w:iCs/>
        </w:rPr>
        <w:t>s</w:t>
      </w:r>
      <w:r w:rsidR="00F37145" w:rsidRPr="00A11FC6">
        <w:rPr>
          <w:rFonts w:ascii="Century Schoolbook" w:hAnsi="Century Schoolbook"/>
          <w:iCs/>
        </w:rPr>
        <w:t xml:space="preserve">, i.e., before </w:t>
      </w:r>
      <w:r w:rsidR="000712A5" w:rsidRPr="00A11FC6">
        <w:rPr>
          <w:rFonts w:ascii="Century Schoolbook" w:hAnsi="Century Schoolbook"/>
          <w:iCs/>
        </w:rPr>
        <w:t xml:space="preserve">recommendation changes </w:t>
      </w:r>
      <w:r w:rsidR="00F37145" w:rsidRPr="00A11FC6">
        <w:rPr>
          <w:rFonts w:ascii="Century Schoolbook" w:hAnsi="Century Schoolbook"/>
          <w:iCs/>
        </w:rPr>
        <w:t>are made public.</w:t>
      </w:r>
      <w:r w:rsidR="000712A5" w:rsidRPr="00A11FC6">
        <w:rPr>
          <w:rFonts w:ascii="Century Schoolbook" w:hAnsi="Century Schoolbook"/>
          <w:iCs/>
        </w:rPr>
        <w:t xml:space="preserve"> </w:t>
      </w:r>
      <w:r w:rsidRPr="00A11FC6">
        <w:rPr>
          <w:rFonts w:ascii="Century Schoolbook" w:hAnsi="Century Schoolbook"/>
          <w:iCs/>
        </w:rPr>
        <w:t xml:space="preserve">We </w:t>
      </w:r>
      <w:r w:rsidR="000712A5" w:rsidRPr="00A11FC6">
        <w:rPr>
          <w:rFonts w:ascii="Century Schoolbook" w:hAnsi="Century Schoolbook"/>
          <w:iCs/>
        </w:rPr>
        <w:t xml:space="preserve">carefully </w:t>
      </w:r>
      <w:r w:rsidRPr="00A11FC6">
        <w:rPr>
          <w:rFonts w:ascii="Century Schoolbook" w:hAnsi="Century Schoolbook"/>
          <w:iCs/>
        </w:rPr>
        <w:t>adjust</w:t>
      </w:r>
      <w:r w:rsidR="00B649C9" w:rsidRPr="00A11FC6">
        <w:rPr>
          <w:rFonts w:ascii="Century Schoolbook" w:hAnsi="Century Schoolbook"/>
          <w:iCs/>
        </w:rPr>
        <w:t xml:space="preserve"> for after</w:t>
      </w:r>
      <w:r w:rsidR="0079520A" w:rsidRPr="00A11FC6">
        <w:rPr>
          <w:rFonts w:ascii="Century Schoolbook" w:hAnsi="Century Schoolbook" w:cs="Times New Roman"/>
          <w:iCs/>
        </w:rPr>
        <w:t>-</w:t>
      </w:r>
      <w:r w:rsidR="00B649C9" w:rsidRPr="00A11FC6">
        <w:rPr>
          <w:rFonts w:ascii="Century Schoolbook" w:hAnsi="Century Schoolbook"/>
          <w:iCs/>
        </w:rPr>
        <w:t>trading</w:t>
      </w:r>
      <w:r w:rsidR="0079520A" w:rsidRPr="00A11FC6">
        <w:rPr>
          <w:rFonts w:ascii="Century Schoolbook" w:hAnsi="Century Schoolbook"/>
          <w:iCs/>
        </w:rPr>
        <w:t>-</w:t>
      </w:r>
      <w:r w:rsidR="00B649C9" w:rsidRPr="00A11FC6">
        <w:rPr>
          <w:rFonts w:ascii="Century Schoolbook" w:hAnsi="Century Schoolbook"/>
          <w:iCs/>
        </w:rPr>
        <w:t>hour recommendation</w:t>
      </w:r>
      <w:r w:rsidR="00B649C9" w:rsidRPr="00F27F5B">
        <w:rPr>
          <w:rFonts w:ascii="Century Schoolbook" w:hAnsi="Century Schoolbook"/>
          <w:iCs/>
        </w:rPr>
        <w:t xml:space="preserve"> releases using </w:t>
      </w:r>
      <w:r w:rsidRPr="00F27F5B">
        <w:rPr>
          <w:rFonts w:ascii="Century Schoolbook" w:hAnsi="Century Schoolbook"/>
          <w:iCs/>
        </w:rPr>
        <w:t xml:space="preserve">their </w:t>
      </w:r>
      <w:r w:rsidR="00B649C9" w:rsidRPr="00A11FC6">
        <w:rPr>
          <w:rFonts w:ascii="Century Schoolbook" w:hAnsi="Century Schoolbook"/>
          <w:iCs/>
        </w:rPr>
        <w:t>timestamp</w:t>
      </w:r>
      <w:r w:rsidRPr="00A11FC6">
        <w:rPr>
          <w:rFonts w:ascii="Century Schoolbook" w:hAnsi="Century Schoolbook"/>
          <w:iCs/>
        </w:rPr>
        <w:t>s</w:t>
      </w:r>
      <w:r w:rsidR="00B649C9" w:rsidRPr="00A11FC6">
        <w:rPr>
          <w:rFonts w:ascii="Century Schoolbook" w:hAnsi="Century Schoolbook"/>
          <w:iCs/>
        </w:rPr>
        <w:t xml:space="preserve"> recorded in t</w:t>
      </w:r>
      <w:r w:rsidR="00B649C9" w:rsidRPr="00A11FC6">
        <w:rPr>
          <w:rFonts w:ascii="Century Schoolbook" w:hAnsi="Century Schoolbook" w:cs="Times New Roman"/>
        </w:rPr>
        <w:t>he I/B/E/S database</w:t>
      </w:r>
      <w:r w:rsidRPr="00A11FC6">
        <w:rPr>
          <w:rFonts w:ascii="Century Schoolbook" w:hAnsi="Century Schoolbook" w:cs="Times New Roman"/>
        </w:rPr>
        <w:t xml:space="preserve">. For instance, </w:t>
      </w:r>
      <w:r w:rsidR="00B32CB3" w:rsidRPr="00A11FC6">
        <w:rPr>
          <w:rFonts w:ascii="Century Schoolbook" w:hAnsi="Century Schoolbook" w:cs="Times New Roman"/>
        </w:rPr>
        <w:t xml:space="preserve">a </w:t>
      </w:r>
      <w:r w:rsidR="00B649C9" w:rsidRPr="00A11FC6">
        <w:rPr>
          <w:rFonts w:ascii="Century Schoolbook" w:hAnsi="Century Schoolbook"/>
          <w:iCs/>
        </w:rPr>
        <w:t xml:space="preserve">recommendation </w:t>
      </w:r>
      <w:r w:rsidRPr="00A11FC6">
        <w:rPr>
          <w:rFonts w:ascii="Century Schoolbook" w:hAnsi="Century Schoolbook"/>
          <w:iCs/>
        </w:rPr>
        <w:t xml:space="preserve">change </w:t>
      </w:r>
      <w:r w:rsidR="00B649C9" w:rsidRPr="00A11FC6">
        <w:rPr>
          <w:rFonts w:ascii="Century Schoolbook" w:hAnsi="Century Schoolbook"/>
          <w:iCs/>
        </w:rPr>
        <w:t xml:space="preserve">recorded after the </w:t>
      </w:r>
      <w:r w:rsidR="00B649C9" w:rsidRPr="00A11FC6">
        <w:rPr>
          <w:rFonts w:ascii="Century Schoolbook" w:hAnsi="Century Schoolbook"/>
          <w:iCs/>
        </w:rPr>
        <w:lastRenderedPageBreak/>
        <w:t xml:space="preserve">market closes </w:t>
      </w:r>
      <w:r w:rsidRPr="00A11FC6">
        <w:rPr>
          <w:rFonts w:ascii="Century Schoolbook" w:hAnsi="Century Schoolbook"/>
          <w:iCs/>
        </w:rPr>
        <w:t xml:space="preserve">on Friday </w:t>
      </w:r>
      <w:r w:rsidR="00B649C9" w:rsidRPr="00A11FC6">
        <w:rPr>
          <w:rFonts w:ascii="Century Schoolbook" w:hAnsi="Century Schoolbook"/>
          <w:iCs/>
        </w:rPr>
        <w:t xml:space="preserve">is pushed to </w:t>
      </w:r>
      <w:r w:rsidRPr="00A11FC6">
        <w:rPr>
          <w:rFonts w:ascii="Century Schoolbook" w:hAnsi="Century Schoolbook"/>
          <w:iCs/>
        </w:rPr>
        <w:t xml:space="preserve">the </w:t>
      </w:r>
      <w:r w:rsidR="00B649C9" w:rsidRPr="00A11FC6">
        <w:rPr>
          <w:rFonts w:ascii="Century Schoolbook" w:hAnsi="Century Schoolbook"/>
          <w:iCs/>
        </w:rPr>
        <w:t>next trading day</w:t>
      </w:r>
      <w:r w:rsidRPr="00A11FC6">
        <w:rPr>
          <w:rFonts w:ascii="Century Schoolbook" w:hAnsi="Century Schoolbook"/>
          <w:iCs/>
        </w:rPr>
        <w:t xml:space="preserve">, </w:t>
      </w:r>
      <w:r w:rsidR="00A11FC6" w:rsidRPr="00A11FC6">
        <w:rPr>
          <w:rFonts w:ascii="Century Schoolbook" w:hAnsi="Century Schoolbook"/>
          <w:iCs/>
        </w:rPr>
        <w:t>and the</w:t>
      </w:r>
      <w:r w:rsidR="00B649C9" w:rsidRPr="00A11FC6">
        <w:rPr>
          <w:rFonts w:ascii="Century Schoolbook" w:hAnsi="Century Schoolbook"/>
          <w:iCs/>
        </w:rPr>
        <w:t xml:space="preserve"> strategy is </w:t>
      </w:r>
      <w:r w:rsidRPr="00A11FC6">
        <w:rPr>
          <w:rFonts w:ascii="Century Schoolbook" w:hAnsi="Century Schoolbook"/>
          <w:iCs/>
        </w:rPr>
        <w:t>to buy/sell the</w:t>
      </w:r>
      <w:r w:rsidR="00B649C9" w:rsidRPr="00A11FC6">
        <w:rPr>
          <w:rFonts w:ascii="Century Schoolbook" w:hAnsi="Century Schoolbook"/>
          <w:iCs/>
        </w:rPr>
        <w:t xml:space="preserve"> stock using the Monday’s closing</w:t>
      </w:r>
      <w:r w:rsidR="0079520A" w:rsidRPr="00A11FC6">
        <w:rPr>
          <w:rFonts w:ascii="Century Schoolbook" w:hAnsi="Century Schoolbook" w:cs="Times New Roman"/>
          <w:iCs/>
        </w:rPr>
        <w:t>-</w:t>
      </w:r>
      <w:r w:rsidR="00B649C9" w:rsidRPr="00A11FC6">
        <w:rPr>
          <w:rFonts w:ascii="Century Schoolbook" w:hAnsi="Century Schoolbook"/>
          <w:iCs/>
        </w:rPr>
        <w:t>day price.</w:t>
      </w:r>
      <w:r w:rsidR="00B649C9" w:rsidRPr="00F27F5B">
        <w:rPr>
          <w:rFonts w:ascii="Century Schoolbook" w:hAnsi="Century Schoolbook"/>
          <w:iCs/>
        </w:rPr>
        <w:t xml:space="preserve">  We also assume that if the recommendation is released in the last </w:t>
      </w:r>
      <w:r w:rsidR="001F53C2" w:rsidRPr="00F27F5B">
        <w:rPr>
          <w:rFonts w:ascii="Century Schoolbook" w:hAnsi="Century Schoolbook"/>
          <w:iCs/>
        </w:rPr>
        <w:t>15 minute</w:t>
      </w:r>
      <w:r w:rsidR="00B649C9" w:rsidRPr="00F27F5B">
        <w:rPr>
          <w:rFonts w:ascii="Century Schoolbook" w:hAnsi="Century Schoolbook"/>
          <w:iCs/>
        </w:rPr>
        <w:t xml:space="preserve"> of the current trading day</w:t>
      </w:r>
      <w:r w:rsidRPr="00F27F5B">
        <w:rPr>
          <w:rFonts w:ascii="Century Schoolbook" w:hAnsi="Century Schoolbook"/>
          <w:iCs/>
        </w:rPr>
        <w:t xml:space="preserve"> (after 3:</w:t>
      </w:r>
      <w:r w:rsidR="001F53C2" w:rsidRPr="00F27F5B">
        <w:rPr>
          <w:rFonts w:ascii="Century Schoolbook" w:hAnsi="Century Schoolbook"/>
          <w:iCs/>
        </w:rPr>
        <w:t>45</w:t>
      </w:r>
      <w:r w:rsidRPr="00F27F5B">
        <w:rPr>
          <w:rFonts w:ascii="Century Schoolbook" w:hAnsi="Century Schoolbook"/>
          <w:iCs/>
        </w:rPr>
        <w:t>pm EST)</w:t>
      </w:r>
      <w:r w:rsidR="00B649C9" w:rsidRPr="00F27F5B">
        <w:rPr>
          <w:rFonts w:ascii="Century Schoolbook" w:hAnsi="Century Schoolbook"/>
          <w:iCs/>
        </w:rPr>
        <w:t>, it is pushed to the next trading day. This is because IBES recommendation timestamps are often delayed</w:t>
      </w:r>
      <w:r w:rsidR="00AE5906" w:rsidRPr="00F27F5B">
        <w:rPr>
          <w:rFonts w:ascii="Century Schoolbook" w:hAnsi="Century Schoolbook"/>
          <w:iCs/>
        </w:rPr>
        <w:t xml:space="preserve"> (Bradley et al., 2014</w:t>
      </w:r>
      <w:r w:rsidRPr="00F27F5B">
        <w:rPr>
          <w:rFonts w:ascii="Century Schoolbook" w:hAnsi="Century Schoolbook"/>
          <w:iCs/>
        </w:rPr>
        <w:t>)</w:t>
      </w:r>
      <w:r w:rsidR="00B649C9" w:rsidRPr="00F27F5B">
        <w:rPr>
          <w:rFonts w:ascii="Century Schoolbook" w:hAnsi="Century Schoolbook"/>
          <w:iCs/>
        </w:rPr>
        <w:t xml:space="preserve">, and such consideration helps make </w:t>
      </w:r>
      <w:r w:rsidRPr="00F27F5B">
        <w:rPr>
          <w:rFonts w:ascii="Century Schoolbook" w:hAnsi="Century Schoolbook"/>
          <w:iCs/>
        </w:rPr>
        <w:t xml:space="preserve">the </w:t>
      </w:r>
      <w:r w:rsidR="00520C52" w:rsidRPr="00F27F5B">
        <w:rPr>
          <w:rFonts w:ascii="Century Schoolbook" w:hAnsi="Century Schoolbook"/>
          <w:iCs/>
        </w:rPr>
        <w:t xml:space="preserve">strategy more implementable for </w:t>
      </w:r>
      <w:r w:rsidR="000074D4" w:rsidRPr="00F27F5B">
        <w:rPr>
          <w:rFonts w:ascii="Century Schoolbook" w:hAnsi="Century Schoolbook"/>
          <w:iCs/>
        </w:rPr>
        <w:t>ordinary investors</w:t>
      </w:r>
      <w:r w:rsidR="00520C52" w:rsidRPr="00F27F5B">
        <w:rPr>
          <w:rFonts w:ascii="Century Schoolbook" w:hAnsi="Century Schoolbook"/>
          <w:iCs/>
        </w:rPr>
        <w:t>.</w:t>
      </w:r>
      <w:r w:rsidR="00B649C9" w:rsidRPr="00F27F5B">
        <w:rPr>
          <w:rFonts w:ascii="Century Schoolbook" w:hAnsi="Century Schoolbook"/>
          <w:iCs/>
        </w:rPr>
        <w:t xml:space="preserve"> </w:t>
      </w:r>
    </w:p>
    <w:p w14:paraId="7396B90D" w14:textId="3D2A67EE" w:rsidR="00E354EB" w:rsidRPr="004F5794" w:rsidRDefault="00E354EB" w:rsidP="00B87454">
      <w:pPr>
        <w:spacing w:line="480" w:lineRule="auto"/>
        <w:ind w:firstLine="284"/>
        <w:jc w:val="both"/>
        <w:rPr>
          <w:rFonts w:ascii="Cambria Math" w:hAnsi="Cambria Math" w:cs="Times New Roman"/>
          <w:oMath/>
        </w:rPr>
      </w:pPr>
      <w:r w:rsidRPr="00AB75FD">
        <w:rPr>
          <w:rFonts w:ascii="Century Schoolbook" w:hAnsi="Century Schoolbook" w:cs="Times New Roman"/>
        </w:rPr>
        <w:t>We create a daily portfolio that invests one dollar in each upgraded stock</w:t>
      </w:r>
      <w:r w:rsidR="000B7E2E" w:rsidRPr="00AB75FD">
        <w:rPr>
          <w:rFonts w:ascii="Century Schoolbook" w:hAnsi="Century Schoolbook" w:cs="Times New Roman"/>
        </w:rPr>
        <w:t xml:space="preserve"> and sells one dollar in each downgraded stock. </w:t>
      </w:r>
      <w:r w:rsidRPr="00B87454">
        <w:rPr>
          <w:rFonts w:ascii="Century Schoolbook" w:hAnsi="Century Schoolbook" w:cs="Times New Roman"/>
        </w:rPr>
        <w:t xml:space="preserve">Once added to the portfolio, </w:t>
      </w:r>
      <w:r w:rsidR="00A47EC0" w:rsidRPr="00B87454">
        <w:rPr>
          <w:rFonts w:ascii="Century Schoolbook" w:hAnsi="Century Schoolbook" w:cs="Times New Roman"/>
        </w:rPr>
        <w:t>the</w:t>
      </w:r>
      <w:r w:rsidRPr="00B87454">
        <w:rPr>
          <w:rFonts w:ascii="Century Schoolbook" w:hAnsi="Century Schoolbook" w:cs="Times New Roman"/>
        </w:rPr>
        <w:t xml:space="preserve"> stock is</w:t>
      </w:r>
      <w:r w:rsidR="00713F2D">
        <w:rPr>
          <w:rFonts w:ascii="Century Schoolbook" w:hAnsi="Century Schoolbook" w:cs="Times New Roman"/>
        </w:rPr>
        <w:t xml:space="preserve"> </w:t>
      </w:r>
      <w:r w:rsidR="00B32CB3" w:rsidRPr="00B87454">
        <w:rPr>
          <w:rFonts w:ascii="Century Schoolbook" w:hAnsi="Century Schoolbook" w:cs="Times New Roman"/>
        </w:rPr>
        <w:t xml:space="preserve">held </w:t>
      </w:r>
      <w:r w:rsidRPr="00B87454">
        <w:rPr>
          <w:rFonts w:ascii="Century Schoolbook" w:hAnsi="Century Schoolbook" w:cs="Times New Roman"/>
        </w:rPr>
        <w:t xml:space="preserve">for </w:t>
      </w:r>
      <w:r w:rsidR="001F53C2" w:rsidRPr="00B87454">
        <w:rPr>
          <w:rFonts w:ascii="Century Schoolbook" w:hAnsi="Century Schoolbook" w:cs="Times New Roman"/>
        </w:rPr>
        <w:t>a fixed number of trading</w:t>
      </w:r>
      <w:r w:rsidR="00DA7845" w:rsidRPr="00B87454">
        <w:rPr>
          <w:rFonts w:ascii="Century Schoolbook" w:hAnsi="Century Schoolbook" w:cs="Times New Roman"/>
        </w:rPr>
        <w:t xml:space="preserve"> days: 30, 60, and 120</w:t>
      </w:r>
      <w:r w:rsidRPr="00B87454">
        <w:rPr>
          <w:rFonts w:ascii="Century Schoolbook" w:hAnsi="Century Schoolbook" w:cs="Times New Roman"/>
        </w:rPr>
        <w:t xml:space="preserve">. Two distinct </w:t>
      </w:r>
      <w:r w:rsidR="00DA7845" w:rsidRPr="00B87454">
        <w:rPr>
          <w:rFonts w:ascii="Century Schoolbook" w:hAnsi="Century Schoolbook" w:cs="Times New Roman"/>
        </w:rPr>
        <w:t xml:space="preserve">long-short </w:t>
      </w:r>
      <w:r w:rsidRPr="00B87454">
        <w:rPr>
          <w:rFonts w:ascii="Century Schoolbook" w:hAnsi="Century Schoolbook" w:cs="Times New Roman"/>
        </w:rPr>
        <w:t xml:space="preserve">portfolios are formed </w:t>
      </w:r>
      <w:r w:rsidR="00DA7845" w:rsidRPr="00B87454">
        <w:rPr>
          <w:rFonts w:ascii="Century Schoolbook" w:hAnsi="Century Schoolbook" w:cs="Times New Roman"/>
        </w:rPr>
        <w:t>separately for the strategy that follows</w:t>
      </w:r>
      <w:r w:rsidRPr="00B87454">
        <w:rPr>
          <w:rFonts w:ascii="Century Schoolbook" w:hAnsi="Century Schoolbook" w:cs="Times New Roman"/>
        </w:rPr>
        <w:t xml:space="preserve"> fast</w:t>
      </w:r>
      <w:r w:rsidR="0079520A" w:rsidRPr="00B87454">
        <w:rPr>
          <w:rFonts w:ascii="Century Schoolbook" w:hAnsi="Century Schoolbook" w:cs="Times New Roman"/>
        </w:rPr>
        <w:t>-</w:t>
      </w:r>
      <w:r w:rsidR="00D22541" w:rsidRPr="00B87454">
        <w:rPr>
          <w:rFonts w:ascii="Century Schoolbook" w:hAnsi="Century Schoolbook" w:cs="Times New Roman"/>
        </w:rPr>
        <w:t>turnover</w:t>
      </w:r>
      <w:r w:rsidR="00925D34" w:rsidRPr="00B87454">
        <w:rPr>
          <w:rFonts w:ascii="Century Schoolbook" w:hAnsi="Century Schoolbook" w:cs="Times New Roman"/>
        </w:rPr>
        <w:t xml:space="preserve"> and </w:t>
      </w:r>
      <w:r w:rsidRPr="00B87454">
        <w:rPr>
          <w:rFonts w:ascii="Century Schoolbook" w:hAnsi="Century Schoolbook" w:cs="Times New Roman"/>
        </w:rPr>
        <w:t>slow</w:t>
      </w:r>
      <w:r w:rsidR="0079520A" w:rsidRPr="00B87454">
        <w:rPr>
          <w:rFonts w:ascii="Century Schoolbook" w:hAnsi="Century Schoolbook" w:cs="Times New Roman"/>
        </w:rPr>
        <w:t>-</w:t>
      </w:r>
      <w:r w:rsidRPr="00B87454">
        <w:rPr>
          <w:rFonts w:ascii="Century Schoolbook" w:hAnsi="Century Schoolbook" w:cs="Times New Roman"/>
        </w:rPr>
        <w:t xml:space="preserve">turnover analysts. </w:t>
      </w:r>
      <w:r w:rsidR="00554CF7">
        <w:rPr>
          <w:rFonts w:ascii="Century Schoolbook" w:hAnsi="Century Schoolbook" w:cs="Times New Roman"/>
        </w:rPr>
        <w:t xml:space="preserve">For each portfolio, we compute the value-weighted portfolio return following Barber, </w:t>
      </w:r>
      <w:proofErr w:type="spellStart"/>
      <w:r w:rsidR="00554CF7">
        <w:rPr>
          <w:rFonts w:ascii="Century Schoolbook" w:hAnsi="Century Schoolbook" w:cs="Times New Roman"/>
        </w:rPr>
        <w:t>Lehavy</w:t>
      </w:r>
      <w:proofErr w:type="spellEnd"/>
      <w:r w:rsidR="00554CF7">
        <w:rPr>
          <w:rFonts w:ascii="Century Schoolbook" w:hAnsi="Century Schoolbook" w:cs="Times New Roman"/>
        </w:rPr>
        <w:t xml:space="preserve"> and </w:t>
      </w:r>
      <w:proofErr w:type="spellStart"/>
      <w:r w:rsidR="00554CF7">
        <w:rPr>
          <w:rFonts w:ascii="Century Schoolbook" w:hAnsi="Century Schoolbook" w:cs="Times New Roman"/>
        </w:rPr>
        <w:t>Trueman</w:t>
      </w:r>
      <w:proofErr w:type="spellEnd"/>
      <w:r w:rsidR="00554CF7">
        <w:rPr>
          <w:rFonts w:ascii="Century Schoolbook" w:hAnsi="Century Schoolbook" w:cs="Times New Roman"/>
        </w:rPr>
        <w:t xml:space="preserve"> (2007). </w:t>
      </w:r>
      <w:r w:rsidRPr="004F5794">
        <w:rPr>
          <w:rFonts w:ascii="Century Schoolbook" w:hAnsi="Century Schoolbook" w:cs="Times New Roman"/>
        </w:rPr>
        <w:t>We calculate the risk</w:t>
      </w:r>
      <w:r w:rsidR="0079520A" w:rsidRPr="004F5794">
        <w:rPr>
          <w:rFonts w:ascii="Century Schoolbook" w:hAnsi="Century Schoolbook" w:cs="Times New Roman"/>
        </w:rPr>
        <w:t>-</w:t>
      </w:r>
      <w:r w:rsidRPr="004F5794">
        <w:rPr>
          <w:rFonts w:ascii="Century Schoolbook" w:hAnsi="Century Schoolbook" w:cs="Times New Roman"/>
        </w:rPr>
        <w:t xml:space="preserve">adjusted returns using </w:t>
      </w:r>
      <w:r w:rsidR="00DA7845" w:rsidRPr="004F5794">
        <w:rPr>
          <w:rFonts w:ascii="Century Schoolbook" w:hAnsi="Century Schoolbook" w:cs="Times New Roman"/>
        </w:rPr>
        <w:t xml:space="preserve">the </w:t>
      </w:r>
      <w:r w:rsidRPr="004F5794">
        <w:rPr>
          <w:rFonts w:ascii="Century Schoolbook" w:hAnsi="Century Schoolbook" w:cs="Times New Roman"/>
        </w:rPr>
        <w:t xml:space="preserve">CAPM, the </w:t>
      </w:r>
      <w:proofErr w:type="spellStart"/>
      <w:r w:rsidRPr="004F5794">
        <w:rPr>
          <w:rFonts w:ascii="Century Schoolbook" w:hAnsi="Century Schoolbook" w:cs="Times New Roman"/>
        </w:rPr>
        <w:t>Fama</w:t>
      </w:r>
      <w:proofErr w:type="spellEnd"/>
      <w:r w:rsidR="0079520A" w:rsidRPr="004F5794">
        <w:rPr>
          <w:rFonts w:ascii="Century Schoolbook" w:hAnsi="Century Schoolbook" w:cs="Times New Roman"/>
        </w:rPr>
        <w:t>-</w:t>
      </w:r>
      <w:r w:rsidRPr="004F5794">
        <w:rPr>
          <w:rFonts w:ascii="Century Schoolbook" w:hAnsi="Century Schoolbook" w:cs="Times New Roman"/>
        </w:rPr>
        <w:t>French three</w:t>
      </w:r>
      <w:r w:rsidR="0079520A" w:rsidRPr="004F5794">
        <w:rPr>
          <w:rFonts w:ascii="Century Schoolbook" w:hAnsi="Century Schoolbook" w:cs="Times New Roman"/>
        </w:rPr>
        <w:t>-</w:t>
      </w:r>
      <w:r w:rsidRPr="004F5794">
        <w:rPr>
          <w:rFonts w:ascii="Century Schoolbook" w:hAnsi="Century Schoolbook" w:cs="Times New Roman"/>
        </w:rPr>
        <w:t>factor model, an</w:t>
      </w:r>
      <w:r w:rsidR="00E42344" w:rsidRPr="004F5794">
        <w:rPr>
          <w:rFonts w:ascii="Century Schoolbook" w:hAnsi="Century Schoolbook" w:cs="Times New Roman"/>
        </w:rPr>
        <w:t>d the Carhart four</w:t>
      </w:r>
      <w:r w:rsidR="0079520A" w:rsidRPr="004F5794">
        <w:rPr>
          <w:rFonts w:ascii="Century Schoolbook" w:hAnsi="Century Schoolbook" w:cs="Times New Roman"/>
        </w:rPr>
        <w:t>-</w:t>
      </w:r>
      <w:r w:rsidR="00E42344" w:rsidRPr="004F5794">
        <w:rPr>
          <w:rFonts w:ascii="Century Schoolbook" w:hAnsi="Century Schoolbook" w:cs="Times New Roman"/>
        </w:rPr>
        <w:t>factor model.</w:t>
      </w:r>
    </w:p>
    <w:p w14:paraId="47969FCE" w14:textId="57A4B99F" w:rsidR="008718DF" w:rsidRDefault="00E354EB" w:rsidP="00A00DFF">
      <w:pPr>
        <w:spacing w:line="480" w:lineRule="auto"/>
        <w:ind w:firstLine="284"/>
        <w:jc w:val="both"/>
        <w:rPr>
          <w:rFonts w:ascii="Century Schoolbook" w:hAnsi="Century Schoolbook" w:cs="Times New Roman"/>
        </w:rPr>
      </w:pPr>
      <w:r w:rsidRPr="00BF559D">
        <w:rPr>
          <w:rFonts w:ascii="Century Schoolbook" w:hAnsi="Century Schoolbook" w:cs="Times New Roman"/>
        </w:rPr>
        <w:t xml:space="preserve">Table </w:t>
      </w:r>
      <w:r w:rsidR="0056798D" w:rsidRPr="00BF559D">
        <w:rPr>
          <w:rFonts w:ascii="Century Schoolbook" w:hAnsi="Century Schoolbook" w:cs="Times New Roman"/>
        </w:rPr>
        <w:t>6</w:t>
      </w:r>
      <w:r w:rsidRPr="00BF559D">
        <w:rPr>
          <w:rFonts w:ascii="Century Schoolbook" w:hAnsi="Century Schoolbook" w:cs="Times New Roman"/>
        </w:rPr>
        <w:t xml:space="preserve"> presents</w:t>
      </w:r>
      <w:r w:rsidRPr="004F5794">
        <w:rPr>
          <w:rFonts w:ascii="Century Schoolbook" w:hAnsi="Century Schoolbook" w:cs="Times New Roman"/>
        </w:rPr>
        <w:t xml:space="preserve"> our results with </w:t>
      </w:r>
      <w:r w:rsidR="00DA7845" w:rsidRPr="004F5794">
        <w:rPr>
          <w:rFonts w:ascii="Century Schoolbook" w:hAnsi="Century Schoolbook" w:cs="Times New Roman"/>
        </w:rPr>
        <w:t>annualized</w:t>
      </w:r>
      <w:r w:rsidRPr="004F5794">
        <w:rPr>
          <w:rFonts w:ascii="Century Schoolbook" w:hAnsi="Century Schoolbook" w:cs="Times New Roman"/>
        </w:rPr>
        <w:t xml:space="preserve"> alphas. For the </w:t>
      </w:r>
      <w:r w:rsidR="000C03AB" w:rsidRPr="004F5794">
        <w:rPr>
          <w:rFonts w:ascii="Century Schoolbook" w:hAnsi="Century Schoolbook" w:cs="Times New Roman"/>
        </w:rPr>
        <w:t>3</w:t>
      </w:r>
      <w:r w:rsidR="00785C36" w:rsidRPr="004F5794">
        <w:rPr>
          <w:rFonts w:ascii="Century Schoolbook" w:hAnsi="Century Schoolbook" w:cs="Times New Roman"/>
        </w:rPr>
        <w:t>0</w:t>
      </w:r>
      <w:r w:rsidR="00DA7845" w:rsidRPr="004F5794">
        <w:rPr>
          <w:rFonts w:ascii="Century Schoolbook" w:hAnsi="Century Schoolbook" w:cs="Times New Roman"/>
        </w:rPr>
        <w:t>-day holding period</w:t>
      </w:r>
      <w:r w:rsidRPr="004F5794">
        <w:rPr>
          <w:rFonts w:ascii="Century Schoolbook" w:hAnsi="Century Schoolbook" w:cs="Times New Roman"/>
        </w:rPr>
        <w:t xml:space="preserve">, the difference in </w:t>
      </w:r>
      <w:r w:rsidR="00DA7845" w:rsidRPr="004F5794">
        <w:rPr>
          <w:rFonts w:ascii="Century Schoolbook" w:hAnsi="Century Schoolbook" w:cs="Times New Roman"/>
        </w:rPr>
        <w:t>alphas</w:t>
      </w:r>
      <w:r w:rsidRPr="004F5794">
        <w:rPr>
          <w:rFonts w:ascii="Century Schoolbook" w:hAnsi="Century Schoolbook" w:cs="Times New Roman"/>
        </w:rPr>
        <w:t xml:space="preserve"> is </w:t>
      </w:r>
      <w:r w:rsidR="003442CE" w:rsidRPr="004F5794">
        <w:rPr>
          <w:rFonts w:ascii="Century Schoolbook" w:hAnsi="Century Schoolbook" w:cs="Times New Roman"/>
        </w:rPr>
        <w:t>between</w:t>
      </w:r>
      <w:r w:rsidRPr="004F5794">
        <w:rPr>
          <w:rFonts w:ascii="Century Schoolbook" w:hAnsi="Century Schoolbook" w:cs="Times New Roman"/>
        </w:rPr>
        <w:t xml:space="preserve"> </w:t>
      </w:r>
      <w:r w:rsidR="000C03AB" w:rsidRPr="004F5794">
        <w:rPr>
          <w:rFonts w:ascii="Century Schoolbook" w:hAnsi="Century Schoolbook" w:cs="Times New Roman"/>
        </w:rPr>
        <w:t>8.5–9.5</w:t>
      </w:r>
      <w:r w:rsidR="00785C36" w:rsidRPr="004F5794">
        <w:rPr>
          <w:rFonts w:ascii="Century Schoolbook" w:hAnsi="Century Schoolbook" w:cs="Times New Roman"/>
        </w:rPr>
        <w:t>%</w:t>
      </w:r>
      <w:r w:rsidRPr="004F5794">
        <w:rPr>
          <w:rFonts w:ascii="Century Schoolbook" w:hAnsi="Century Schoolbook" w:cs="Times New Roman"/>
        </w:rPr>
        <w:t xml:space="preserve"> </w:t>
      </w:r>
      <w:r w:rsidR="00DA7845" w:rsidRPr="004F5794">
        <w:rPr>
          <w:rFonts w:ascii="Century Schoolbook" w:hAnsi="Century Schoolbook" w:cs="Times New Roman"/>
        </w:rPr>
        <w:t>pe</w:t>
      </w:r>
      <w:r w:rsidR="000074D4" w:rsidRPr="004F5794">
        <w:rPr>
          <w:rFonts w:ascii="Century Schoolbook" w:hAnsi="Century Schoolbook" w:cs="Times New Roman"/>
        </w:rPr>
        <w:t xml:space="preserve">r year, and statistically significant at the one percent level. </w:t>
      </w:r>
      <w:r w:rsidRPr="004F5794">
        <w:rPr>
          <w:rFonts w:ascii="Century Schoolbook" w:hAnsi="Century Schoolbook" w:cs="Times New Roman"/>
        </w:rPr>
        <w:t xml:space="preserve">This confirms that </w:t>
      </w:r>
      <w:r w:rsidR="004F6D9A" w:rsidRPr="004F5794">
        <w:rPr>
          <w:rFonts w:ascii="Century Schoolbook" w:hAnsi="Century Schoolbook" w:cs="Times New Roman"/>
        </w:rPr>
        <w:t xml:space="preserve">analysts in </w:t>
      </w:r>
      <w:r w:rsidRPr="004F5794">
        <w:rPr>
          <w:rFonts w:ascii="Century Schoolbook" w:hAnsi="Century Schoolbook" w:cs="Times New Roman"/>
        </w:rPr>
        <w:t>the slow</w:t>
      </w:r>
      <w:r w:rsidR="00563FA6" w:rsidRPr="004F5794">
        <w:rPr>
          <w:rFonts w:ascii="Century Schoolbook" w:hAnsi="Century Schoolbook" w:cs="Times New Roman"/>
        </w:rPr>
        <w:t>-</w:t>
      </w:r>
      <w:r w:rsidRPr="004F5794">
        <w:rPr>
          <w:rFonts w:ascii="Century Schoolbook" w:hAnsi="Century Schoolbook" w:cs="Times New Roman"/>
        </w:rPr>
        <w:t xml:space="preserve">turnover </w:t>
      </w:r>
      <w:r w:rsidR="004F6D9A" w:rsidRPr="004F5794">
        <w:rPr>
          <w:rFonts w:ascii="Century Schoolbook" w:hAnsi="Century Schoolbook" w:cs="Times New Roman"/>
        </w:rPr>
        <w:t>group generate</w:t>
      </w:r>
      <w:r w:rsidRPr="004F5794">
        <w:rPr>
          <w:rFonts w:ascii="Century Schoolbook" w:hAnsi="Century Schoolbook" w:cs="Times New Roman"/>
        </w:rPr>
        <w:t xml:space="preserve"> </w:t>
      </w:r>
      <w:r w:rsidR="004F6D9A" w:rsidRPr="004F5794">
        <w:rPr>
          <w:rFonts w:ascii="Century Schoolbook" w:hAnsi="Century Schoolbook" w:cs="Times New Roman"/>
        </w:rPr>
        <w:t xml:space="preserve">a </w:t>
      </w:r>
      <w:r w:rsidR="00DA7845" w:rsidRPr="004F5794">
        <w:rPr>
          <w:rFonts w:ascii="Century Schoolbook" w:hAnsi="Century Schoolbook" w:cs="Times New Roman"/>
        </w:rPr>
        <w:t xml:space="preserve">greater </w:t>
      </w:r>
      <w:r w:rsidRPr="004F5794">
        <w:rPr>
          <w:rFonts w:ascii="Century Schoolbook" w:hAnsi="Century Schoolbook" w:cs="Times New Roman"/>
        </w:rPr>
        <w:t>investment value in spite of</w:t>
      </w:r>
      <w:r w:rsidR="00DA7845" w:rsidRPr="004F5794">
        <w:rPr>
          <w:rFonts w:ascii="Century Schoolbook" w:hAnsi="Century Schoolbook" w:cs="Times New Roman"/>
        </w:rPr>
        <w:t xml:space="preserve"> issuing fewer recommendations. </w:t>
      </w:r>
      <w:r w:rsidR="000074D4" w:rsidRPr="004F5794">
        <w:rPr>
          <w:rFonts w:ascii="Century Schoolbook" w:hAnsi="Century Schoolbook" w:cs="Times New Roman"/>
        </w:rPr>
        <w:t>The difference in alphas generated from the long</w:t>
      </w:r>
      <w:r w:rsidR="008D0CA0" w:rsidRPr="004F5794">
        <w:rPr>
          <w:rFonts w:ascii="Century Schoolbook" w:hAnsi="Century Schoolbook" w:cs="Times New Roman"/>
        </w:rPr>
        <w:t>-</w:t>
      </w:r>
      <w:r w:rsidR="000074D4" w:rsidRPr="004F5794">
        <w:rPr>
          <w:rFonts w:ascii="Century Schoolbook" w:hAnsi="Century Schoolbook" w:cs="Times New Roman"/>
        </w:rPr>
        <w:t>short trading strategy that follows fast</w:t>
      </w:r>
      <w:r w:rsidR="00563FA6" w:rsidRPr="004F5794">
        <w:rPr>
          <w:rFonts w:ascii="Century Schoolbook" w:hAnsi="Century Schoolbook" w:cs="Times New Roman"/>
        </w:rPr>
        <w:t>-</w:t>
      </w:r>
      <w:r w:rsidR="004F6D9A" w:rsidRPr="004F5794">
        <w:rPr>
          <w:rFonts w:ascii="Century Schoolbook" w:hAnsi="Century Schoolbook" w:cs="Times New Roman"/>
        </w:rPr>
        <w:t>turnover</w:t>
      </w:r>
      <w:r w:rsidR="000074D4" w:rsidRPr="004F5794">
        <w:rPr>
          <w:rFonts w:ascii="Century Schoolbook" w:hAnsi="Century Schoolbook" w:cs="Times New Roman"/>
        </w:rPr>
        <w:t xml:space="preserve"> and the slow</w:t>
      </w:r>
      <w:r w:rsidR="008D0CA0" w:rsidRPr="004F5794">
        <w:rPr>
          <w:rFonts w:ascii="Century Schoolbook" w:hAnsi="Century Schoolbook" w:cs="Times New Roman"/>
        </w:rPr>
        <w:t>-</w:t>
      </w:r>
      <w:r w:rsidR="000074D4" w:rsidRPr="004F5794">
        <w:rPr>
          <w:rFonts w:ascii="Century Schoolbook" w:hAnsi="Century Schoolbook" w:cs="Times New Roman"/>
        </w:rPr>
        <w:t xml:space="preserve">turnover analysts’ recommendations </w:t>
      </w:r>
      <w:r w:rsidR="00785C36" w:rsidRPr="004F5794">
        <w:rPr>
          <w:rFonts w:ascii="Century Schoolbook" w:hAnsi="Century Schoolbook" w:cs="Times New Roman"/>
        </w:rPr>
        <w:t xml:space="preserve">remains stable for 60-trading day holding period, and </w:t>
      </w:r>
      <w:r w:rsidR="000074D4" w:rsidRPr="004F5794">
        <w:rPr>
          <w:rFonts w:ascii="Century Schoolbook" w:hAnsi="Century Schoolbook" w:cs="Times New Roman"/>
        </w:rPr>
        <w:t>decrease</w:t>
      </w:r>
      <w:r w:rsidR="00695308" w:rsidRPr="004F5794">
        <w:rPr>
          <w:rFonts w:ascii="Century Schoolbook" w:hAnsi="Century Schoolbook" w:cs="Times New Roman"/>
        </w:rPr>
        <w:t xml:space="preserve"> to about </w:t>
      </w:r>
      <w:r w:rsidR="001E2E82" w:rsidRPr="004F5794">
        <w:rPr>
          <w:rFonts w:ascii="Century Schoolbook" w:hAnsi="Century Schoolbook" w:cs="Times New Roman"/>
        </w:rPr>
        <w:t xml:space="preserve">5% for the </w:t>
      </w:r>
      <w:r w:rsidR="00ED1208" w:rsidRPr="004F5794">
        <w:rPr>
          <w:rFonts w:ascii="Century Schoolbook" w:hAnsi="Century Schoolbook" w:cs="Times New Roman"/>
        </w:rPr>
        <w:t>120</w:t>
      </w:r>
      <w:r w:rsidR="008D0CA0" w:rsidRPr="004F5794">
        <w:rPr>
          <w:rFonts w:ascii="Century Schoolbook" w:hAnsi="Century Schoolbook" w:cs="Times New Roman"/>
        </w:rPr>
        <w:t>-</w:t>
      </w:r>
      <w:r w:rsidR="001F53C2" w:rsidRPr="004F5794">
        <w:rPr>
          <w:rFonts w:ascii="Century Schoolbook" w:hAnsi="Century Schoolbook" w:cs="Times New Roman"/>
        </w:rPr>
        <w:t>trading</w:t>
      </w:r>
      <w:r w:rsidR="00ED1208" w:rsidRPr="004F5794">
        <w:rPr>
          <w:rFonts w:ascii="Century Schoolbook" w:hAnsi="Century Schoolbook" w:cs="Times New Roman"/>
        </w:rPr>
        <w:t xml:space="preserve"> </w:t>
      </w:r>
      <w:r w:rsidR="000074D4" w:rsidRPr="004F5794">
        <w:rPr>
          <w:rFonts w:ascii="Century Schoolbook" w:hAnsi="Century Schoolbook" w:cs="Times New Roman"/>
        </w:rPr>
        <w:t xml:space="preserve">day holding period. Nevertheless, the </w:t>
      </w:r>
      <w:r w:rsidR="00787AC3" w:rsidRPr="004F5794">
        <w:rPr>
          <w:rFonts w:ascii="Century Schoolbook" w:hAnsi="Century Schoolbook" w:cs="Times New Roman"/>
        </w:rPr>
        <w:t>difference in alphas is</w:t>
      </w:r>
      <w:r w:rsidR="000074D4" w:rsidRPr="004F5794">
        <w:rPr>
          <w:rFonts w:ascii="Century Schoolbook" w:hAnsi="Century Schoolbook" w:cs="Times New Roman"/>
        </w:rPr>
        <w:t xml:space="preserve"> statistically significa</w:t>
      </w:r>
      <w:r w:rsidR="00473B83">
        <w:rPr>
          <w:rFonts w:ascii="Century Schoolbook" w:hAnsi="Century Schoolbook" w:cs="Times New Roman"/>
        </w:rPr>
        <w:t xml:space="preserve">nt at the one percent </w:t>
      </w:r>
      <w:r w:rsidR="00473B83" w:rsidRPr="00BF559D">
        <w:rPr>
          <w:rFonts w:ascii="Century Schoolbook" w:hAnsi="Century Schoolbook" w:cs="Times New Roman"/>
        </w:rPr>
        <w:t>level.</w:t>
      </w:r>
      <w:r w:rsidR="00716B58" w:rsidRPr="00BF559D">
        <w:rPr>
          <w:rFonts w:ascii="Century Schoolbook" w:hAnsi="Century Schoolbook" w:cs="Times New Roman"/>
        </w:rPr>
        <w:t xml:space="preserve"> </w:t>
      </w:r>
      <w:r w:rsidR="00785C36" w:rsidRPr="00BF559D">
        <w:rPr>
          <w:rFonts w:ascii="Century Schoolbook" w:hAnsi="Century Schoolbook" w:cs="Times New Roman"/>
        </w:rPr>
        <w:t>Appendix</w:t>
      </w:r>
      <w:r w:rsidR="00E92E66" w:rsidRPr="00BF559D">
        <w:rPr>
          <w:rFonts w:ascii="Century Schoolbook" w:hAnsi="Century Schoolbook" w:cs="Times New Roman"/>
        </w:rPr>
        <w:t xml:space="preserve"> Table</w:t>
      </w:r>
      <w:r w:rsidR="00473B83" w:rsidRPr="00BF559D">
        <w:rPr>
          <w:rFonts w:ascii="Century Schoolbook" w:hAnsi="Century Schoolbook" w:cs="Times New Roman"/>
        </w:rPr>
        <w:t xml:space="preserve"> A2</w:t>
      </w:r>
      <w:r w:rsidR="00D06636" w:rsidRPr="004F5794">
        <w:rPr>
          <w:rFonts w:ascii="Century Schoolbook" w:hAnsi="Century Schoolbook" w:cs="Times New Roman"/>
        </w:rPr>
        <w:t xml:space="preserve"> provide</w:t>
      </w:r>
      <w:r w:rsidR="00473B83">
        <w:rPr>
          <w:rFonts w:ascii="Century Schoolbook" w:hAnsi="Century Schoolbook" w:cs="Times New Roman"/>
        </w:rPr>
        <w:t>s</w:t>
      </w:r>
      <w:r w:rsidR="001E2E82" w:rsidRPr="004F5794">
        <w:rPr>
          <w:rFonts w:ascii="Century Schoolbook" w:hAnsi="Century Schoolbook" w:cs="Times New Roman"/>
        </w:rPr>
        <w:t xml:space="preserve"> detailed results on the long (“buy”) and short (“sell”) sides</w:t>
      </w:r>
      <w:r w:rsidR="00D06636" w:rsidRPr="004F5794">
        <w:rPr>
          <w:rFonts w:ascii="Century Schoolbook" w:hAnsi="Century Schoolbook" w:cs="Times New Roman"/>
        </w:rPr>
        <w:t xml:space="preserve"> of the</w:t>
      </w:r>
      <w:r w:rsidR="001E2E82" w:rsidRPr="004F5794">
        <w:rPr>
          <w:rFonts w:ascii="Century Schoolbook" w:hAnsi="Century Schoolbook" w:cs="Times New Roman"/>
        </w:rPr>
        <w:t xml:space="preserve"> portfolio strategy</w:t>
      </w:r>
      <w:r w:rsidR="007F758A">
        <w:rPr>
          <w:rFonts w:ascii="Century Schoolbook" w:hAnsi="Century Schoolbook" w:cs="Times New Roman"/>
        </w:rPr>
        <w:t xml:space="preserve"> at the daily level</w:t>
      </w:r>
      <w:r w:rsidR="00473B83">
        <w:rPr>
          <w:rFonts w:ascii="Century Schoolbook" w:hAnsi="Century Schoolbook" w:cs="Times New Roman"/>
        </w:rPr>
        <w:t xml:space="preserve">. </w:t>
      </w:r>
      <w:r w:rsidR="001E2E82" w:rsidRPr="004F5794">
        <w:rPr>
          <w:rFonts w:ascii="Century Schoolbook" w:hAnsi="Century Schoolbook" w:cs="Times New Roman"/>
        </w:rPr>
        <w:t>We</w:t>
      </w:r>
      <w:r w:rsidR="00B340D0" w:rsidRPr="004F5794">
        <w:rPr>
          <w:rFonts w:ascii="Century Schoolbook" w:hAnsi="Century Schoolbook" w:cs="Times New Roman"/>
        </w:rPr>
        <w:t xml:space="preserve"> find that</w:t>
      </w:r>
      <w:r w:rsidR="00530B91" w:rsidRPr="004F5794">
        <w:rPr>
          <w:rFonts w:ascii="Century Schoolbook" w:hAnsi="Century Schoolbook" w:cs="Times New Roman"/>
        </w:rPr>
        <w:t xml:space="preserve"> </w:t>
      </w:r>
      <w:r w:rsidR="00B340D0" w:rsidRPr="004F5794">
        <w:rPr>
          <w:rFonts w:ascii="Century Schoolbook" w:hAnsi="Century Schoolbook" w:cs="Times New Roman"/>
        </w:rPr>
        <w:t xml:space="preserve">the strategy based on slow-turnover analysts dominates on both </w:t>
      </w:r>
      <w:r w:rsidR="001E2E82" w:rsidRPr="004F5794">
        <w:rPr>
          <w:rFonts w:ascii="Century Schoolbook" w:hAnsi="Century Schoolbook" w:cs="Times New Roman"/>
        </w:rPr>
        <w:t xml:space="preserve">long and short </w:t>
      </w:r>
      <w:r w:rsidR="00B340D0" w:rsidRPr="004F5794">
        <w:rPr>
          <w:rFonts w:ascii="Century Schoolbook" w:hAnsi="Century Schoolbook" w:cs="Times New Roman"/>
        </w:rPr>
        <w:t>sides</w:t>
      </w:r>
      <w:r w:rsidR="00721512" w:rsidRPr="004F5794">
        <w:rPr>
          <w:rFonts w:ascii="Century Schoolbook" w:hAnsi="Century Schoolbook" w:cs="Times New Roman"/>
        </w:rPr>
        <w:t xml:space="preserve">, suggesting that the </w:t>
      </w:r>
      <w:r w:rsidR="001E2E82" w:rsidRPr="004F5794">
        <w:rPr>
          <w:rFonts w:ascii="Century Schoolbook" w:hAnsi="Century Schoolbook" w:cs="Times New Roman"/>
        </w:rPr>
        <w:t>superior value of recommendations made by slower-revising analysts is</w:t>
      </w:r>
      <w:r w:rsidR="00721512" w:rsidRPr="004F5794">
        <w:rPr>
          <w:rFonts w:ascii="Century Schoolbook" w:hAnsi="Century Schoolbook" w:cs="Times New Roman"/>
        </w:rPr>
        <w:t xml:space="preserve"> </w:t>
      </w:r>
      <w:r w:rsidR="001E2E82" w:rsidRPr="004F5794">
        <w:rPr>
          <w:rFonts w:ascii="Century Schoolbook" w:hAnsi="Century Schoolbook" w:cs="Times New Roman"/>
        </w:rPr>
        <w:t>not a result of short-sell constraint</w:t>
      </w:r>
      <w:r w:rsidR="00721512" w:rsidRPr="004F5794">
        <w:rPr>
          <w:rFonts w:ascii="Century Schoolbook" w:hAnsi="Century Schoolbook" w:cs="Times New Roman"/>
        </w:rPr>
        <w:t xml:space="preserve">. </w:t>
      </w:r>
      <w:r w:rsidR="00E92E66" w:rsidRPr="004F5794">
        <w:rPr>
          <w:rFonts w:ascii="Century Schoolbook" w:hAnsi="Century Schoolbook" w:cs="Times New Roman"/>
        </w:rPr>
        <w:t xml:space="preserve">In </w:t>
      </w:r>
      <w:r w:rsidR="00E92E66" w:rsidRPr="00BF559D">
        <w:rPr>
          <w:rFonts w:ascii="Century Schoolbook" w:hAnsi="Century Schoolbook" w:cs="Times New Roman"/>
        </w:rPr>
        <w:t xml:space="preserve">the </w:t>
      </w:r>
      <w:r w:rsidR="00716B58" w:rsidRPr="00BF559D">
        <w:rPr>
          <w:rFonts w:ascii="Century Schoolbook" w:hAnsi="Century Schoolbook" w:cs="Times New Roman"/>
        </w:rPr>
        <w:t>Online</w:t>
      </w:r>
      <w:r w:rsidR="00E92E66" w:rsidRPr="00BF559D">
        <w:rPr>
          <w:rFonts w:ascii="Century Schoolbook" w:hAnsi="Century Schoolbook" w:cs="Times New Roman"/>
        </w:rPr>
        <w:t xml:space="preserve"> Appendix Table IA</w:t>
      </w:r>
      <w:r w:rsidR="00072A29" w:rsidRPr="00BF559D">
        <w:rPr>
          <w:rFonts w:ascii="Century Schoolbook" w:hAnsi="Century Schoolbook" w:cs="Times New Roman"/>
        </w:rPr>
        <w:t>3</w:t>
      </w:r>
      <w:r w:rsidR="00E92E66" w:rsidRPr="00BF559D">
        <w:rPr>
          <w:rFonts w:ascii="Century Schoolbook" w:hAnsi="Century Schoolbook" w:cs="Times New Roman"/>
        </w:rPr>
        <w:t>, we</w:t>
      </w:r>
      <w:r w:rsidR="00E92E66" w:rsidRPr="004F5794">
        <w:rPr>
          <w:rFonts w:ascii="Century Schoolbook" w:hAnsi="Century Schoolbook" w:cs="Times New Roman"/>
        </w:rPr>
        <w:t xml:space="preserve"> provide </w:t>
      </w:r>
      <w:r w:rsidR="00716B58" w:rsidRPr="004F5794">
        <w:rPr>
          <w:rFonts w:ascii="Century Schoolbook" w:hAnsi="Century Schoolbook" w:cs="Times New Roman"/>
        </w:rPr>
        <w:lastRenderedPageBreak/>
        <w:t xml:space="preserve">a </w:t>
      </w:r>
      <w:r w:rsidR="00E92E66" w:rsidRPr="004F5794">
        <w:rPr>
          <w:rFonts w:ascii="Century Schoolbook" w:hAnsi="Century Schoolbook" w:cs="Times New Roman"/>
        </w:rPr>
        <w:t xml:space="preserve">comparison of our </w:t>
      </w:r>
      <w:r w:rsidR="001E2E82" w:rsidRPr="004F5794">
        <w:rPr>
          <w:rFonts w:ascii="Century Schoolbook" w:hAnsi="Century Schoolbook" w:cs="Times New Roman"/>
        </w:rPr>
        <w:t>real-calendar time portfolio alphas</w:t>
      </w:r>
      <w:r w:rsidR="00E92E66" w:rsidRPr="004F5794">
        <w:rPr>
          <w:rFonts w:ascii="Century Schoolbook" w:hAnsi="Century Schoolbook" w:cs="Times New Roman"/>
        </w:rPr>
        <w:t xml:space="preserve"> </w:t>
      </w:r>
      <w:r w:rsidR="001E2E82" w:rsidRPr="004F5794">
        <w:rPr>
          <w:rFonts w:ascii="Century Schoolbook" w:hAnsi="Century Schoolbook" w:cs="Times New Roman"/>
        </w:rPr>
        <w:t>against</w:t>
      </w:r>
      <w:r w:rsidR="00E92E66" w:rsidRPr="004F5794">
        <w:rPr>
          <w:rFonts w:ascii="Century Schoolbook" w:hAnsi="Century Schoolbook" w:cs="Times New Roman"/>
        </w:rPr>
        <w:t xml:space="preserve"> prior </w:t>
      </w:r>
      <w:r w:rsidR="001E2E82" w:rsidRPr="004F5794">
        <w:rPr>
          <w:rFonts w:ascii="Century Schoolbook" w:hAnsi="Century Schoolbook" w:cs="Times New Roman"/>
        </w:rPr>
        <w:t xml:space="preserve">studies. Here, </w:t>
      </w:r>
      <w:r w:rsidR="00067F95" w:rsidRPr="004F5794">
        <w:rPr>
          <w:rFonts w:ascii="Century Schoolbook" w:hAnsi="Century Schoolbook" w:cs="Times New Roman"/>
        </w:rPr>
        <w:t>we find that our strategy yields excess returns</w:t>
      </w:r>
      <w:r w:rsidR="007942F6">
        <w:rPr>
          <w:rFonts w:ascii="Century Schoolbook" w:hAnsi="Century Schoolbook" w:cs="Times New Roman"/>
        </w:rPr>
        <w:t xml:space="preserve"> with magnitude </w:t>
      </w:r>
      <w:r w:rsidR="00067F95" w:rsidRPr="004F5794">
        <w:rPr>
          <w:rFonts w:ascii="Century Schoolbook" w:hAnsi="Century Schoolbook" w:cs="Times New Roman"/>
        </w:rPr>
        <w:t xml:space="preserve">that are </w:t>
      </w:r>
      <w:r w:rsidR="007942F6">
        <w:rPr>
          <w:rFonts w:ascii="Century Schoolbook" w:hAnsi="Century Schoolbook" w:cs="Times New Roman"/>
        </w:rPr>
        <w:t>comparable</w:t>
      </w:r>
      <w:r w:rsidR="008F0683" w:rsidRPr="004F5794">
        <w:rPr>
          <w:rFonts w:ascii="Century Schoolbook" w:hAnsi="Century Schoolbook" w:cs="Times New Roman"/>
        </w:rPr>
        <w:t xml:space="preserve"> with </w:t>
      </w:r>
      <w:r w:rsidR="00067F95" w:rsidRPr="004F5794">
        <w:rPr>
          <w:rFonts w:ascii="Century Schoolbook" w:hAnsi="Century Schoolbook" w:cs="Times New Roman"/>
        </w:rPr>
        <w:t xml:space="preserve">those </w:t>
      </w:r>
      <w:r w:rsidR="001E2E82" w:rsidRPr="004F5794">
        <w:rPr>
          <w:rFonts w:ascii="Century Schoolbook" w:hAnsi="Century Schoolbook" w:cs="Times New Roman"/>
        </w:rPr>
        <w:t xml:space="preserve">previously </w:t>
      </w:r>
      <w:r w:rsidR="00067F95" w:rsidRPr="004F5794">
        <w:rPr>
          <w:rFonts w:ascii="Century Schoolbook" w:hAnsi="Century Schoolbook" w:cs="Times New Roman"/>
        </w:rPr>
        <w:t>documented</w:t>
      </w:r>
      <w:r w:rsidR="008F0683" w:rsidRPr="004F5794">
        <w:rPr>
          <w:rFonts w:ascii="Century Schoolbook" w:hAnsi="Century Schoolbook" w:cs="Times New Roman"/>
        </w:rPr>
        <w:t>.</w:t>
      </w:r>
      <w:r w:rsidR="00067F95" w:rsidRPr="004F5794">
        <w:rPr>
          <w:rStyle w:val="FootnoteReference"/>
          <w:rFonts w:ascii="Century Schoolbook" w:hAnsi="Century Schoolbook" w:cs="Times New Roman"/>
        </w:rPr>
        <w:footnoteReference w:id="19"/>
      </w:r>
      <w:r w:rsidR="001A3EFA" w:rsidRPr="004F5794">
        <w:rPr>
          <w:rFonts w:ascii="Century Schoolbook" w:hAnsi="Century Schoolbook" w:cs="Times New Roman"/>
        </w:rPr>
        <w:t xml:space="preserve"> </w:t>
      </w:r>
      <w:r w:rsidR="000074D4" w:rsidRPr="004F5794">
        <w:rPr>
          <w:rFonts w:ascii="Century Schoolbook" w:hAnsi="Century Schoolbook" w:cs="Times New Roman"/>
        </w:rPr>
        <w:t>Overall</w:t>
      </w:r>
      <w:r w:rsidR="00DA7845" w:rsidRPr="004F5794">
        <w:rPr>
          <w:rFonts w:ascii="Century Schoolbook" w:hAnsi="Century Schoolbook" w:cs="Times New Roman"/>
        </w:rPr>
        <w:t xml:space="preserve">, we conclude that </w:t>
      </w:r>
      <w:r w:rsidRPr="004F5794">
        <w:rPr>
          <w:rFonts w:ascii="Century Schoolbook" w:hAnsi="Century Schoolbook" w:cs="Times New Roman"/>
        </w:rPr>
        <w:t>slow</w:t>
      </w:r>
      <w:r w:rsidR="008D0CA0" w:rsidRPr="004F5794">
        <w:rPr>
          <w:rFonts w:ascii="Century Schoolbook" w:hAnsi="Century Schoolbook" w:cs="Times New Roman"/>
        </w:rPr>
        <w:t>-</w:t>
      </w:r>
      <w:r w:rsidRPr="004F5794">
        <w:rPr>
          <w:rFonts w:ascii="Century Schoolbook" w:hAnsi="Century Schoolbook" w:cs="Times New Roman"/>
        </w:rPr>
        <w:t xml:space="preserve">turnover analysts are able to generate </w:t>
      </w:r>
      <w:r w:rsidR="000074D4" w:rsidRPr="004F5794">
        <w:rPr>
          <w:rFonts w:ascii="Century Schoolbook" w:hAnsi="Century Schoolbook" w:cs="Times New Roman"/>
        </w:rPr>
        <w:t xml:space="preserve">investment </w:t>
      </w:r>
      <w:r w:rsidRPr="004F5794">
        <w:rPr>
          <w:rFonts w:ascii="Century Schoolbook" w:hAnsi="Century Schoolbook" w:cs="Times New Roman"/>
        </w:rPr>
        <w:t xml:space="preserve">returns </w:t>
      </w:r>
      <w:r w:rsidR="000074D4" w:rsidRPr="004F5794">
        <w:rPr>
          <w:rFonts w:ascii="Century Schoolbook" w:hAnsi="Century Schoolbook" w:cs="Times New Roman"/>
        </w:rPr>
        <w:t xml:space="preserve">for ordinary investors that are </w:t>
      </w:r>
      <w:r w:rsidRPr="004F5794">
        <w:rPr>
          <w:rFonts w:ascii="Century Schoolbook" w:hAnsi="Century Schoolbook" w:cs="Times New Roman"/>
        </w:rPr>
        <w:t xml:space="preserve">well beyond analysts who </w:t>
      </w:r>
      <w:r w:rsidR="00F46EDF" w:rsidRPr="004F5794">
        <w:rPr>
          <w:rFonts w:ascii="Century Schoolbook" w:hAnsi="Century Schoolbook" w:cs="Times New Roman"/>
        </w:rPr>
        <w:t xml:space="preserve">make more </w:t>
      </w:r>
      <w:r w:rsidR="00B33C82" w:rsidRPr="004F5794">
        <w:rPr>
          <w:rFonts w:ascii="Century Schoolbook" w:hAnsi="Century Schoolbook" w:cs="Times New Roman"/>
        </w:rPr>
        <w:t xml:space="preserve">frequent </w:t>
      </w:r>
      <w:r w:rsidR="00F46EDF" w:rsidRPr="004F5794">
        <w:rPr>
          <w:rFonts w:ascii="Century Schoolbook" w:hAnsi="Century Schoolbook" w:cs="Times New Roman"/>
        </w:rPr>
        <w:t>recommendation revisions.</w:t>
      </w:r>
    </w:p>
    <w:p w14:paraId="3049359D" w14:textId="67C1714D" w:rsidR="00002EC6" w:rsidRPr="004F5794" w:rsidRDefault="00002EC6" w:rsidP="00A00DFF">
      <w:pPr>
        <w:pStyle w:val="ListParagraph"/>
        <w:numPr>
          <w:ilvl w:val="0"/>
          <w:numId w:val="3"/>
        </w:numPr>
        <w:spacing w:line="480" w:lineRule="auto"/>
        <w:rPr>
          <w:rFonts w:ascii="Century Schoolbook" w:eastAsiaTheme="minorEastAsia" w:hAnsi="Century Schoolbook" w:cs="Times New Roman"/>
          <w:b/>
          <w:color w:val="000000"/>
          <w:lang w:eastAsia="ja-JP"/>
        </w:rPr>
      </w:pPr>
      <w:r w:rsidRPr="004F5794">
        <w:rPr>
          <w:rFonts w:ascii="Century Schoolbook" w:eastAsiaTheme="minorEastAsia" w:hAnsi="Century Schoolbook" w:cs="Times New Roman"/>
          <w:b/>
          <w:color w:val="000000"/>
          <w:lang w:eastAsia="ja-JP"/>
        </w:rPr>
        <w:t xml:space="preserve">Understanding </w:t>
      </w:r>
      <w:r w:rsidR="00F23AD1" w:rsidRPr="004F5794">
        <w:rPr>
          <w:rFonts w:ascii="Century Schoolbook" w:eastAsiaTheme="minorEastAsia" w:hAnsi="Century Schoolbook" w:cs="Times New Roman"/>
          <w:b/>
          <w:color w:val="000000"/>
          <w:lang w:eastAsia="ja-JP"/>
        </w:rPr>
        <w:t xml:space="preserve">the </w:t>
      </w:r>
      <w:r w:rsidR="00AA7CD8" w:rsidRPr="004F5794">
        <w:rPr>
          <w:rFonts w:ascii="Century Schoolbook" w:eastAsiaTheme="minorEastAsia" w:hAnsi="Century Schoolbook" w:cs="Times New Roman"/>
          <w:b/>
          <w:color w:val="000000"/>
          <w:lang w:eastAsia="ja-JP"/>
        </w:rPr>
        <w:t>source of differing</w:t>
      </w:r>
      <w:r w:rsidR="001348D4" w:rsidRPr="004F5794">
        <w:rPr>
          <w:rFonts w:ascii="Century Schoolbook" w:eastAsiaTheme="minorEastAsia" w:hAnsi="Century Schoolbook" w:cs="Times New Roman"/>
          <w:b/>
          <w:color w:val="000000"/>
          <w:lang w:eastAsia="ja-JP"/>
        </w:rPr>
        <w:t xml:space="preserve"> </w:t>
      </w:r>
      <w:r w:rsidR="00F23AD1" w:rsidRPr="004F5794">
        <w:rPr>
          <w:rFonts w:ascii="Century Schoolbook" w:eastAsiaTheme="minorEastAsia" w:hAnsi="Century Schoolbook" w:cs="Times New Roman"/>
          <w:b/>
          <w:color w:val="000000"/>
          <w:lang w:eastAsia="ja-JP"/>
        </w:rPr>
        <w:t xml:space="preserve">investment </w:t>
      </w:r>
      <w:r w:rsidR="001348D4" w:rsidRPr="004F5794">
        <w:rPr>
          <w:rFonts w:ascii="Century Schoolbook" w:eastAsiaTheme="minorEastAsia" w:hAnsi="Century Schoolbook" w:cs="Times New Roman"/>
          <w:b/>
          <w:color w:val="000000"/>
          <w:lang w:eastAsia="ja-JP"/>
        </w:rPr>
        <w:t>value</w:t>
      </w:r>
      <w:r w:rsidR="00AA7CD8" w:rsidRPr="004F5794">
        <w:rPr>
          <w:rFonts w:ascii="Century Schoolbook" w:eastAsiaTheme="minorEastAsia" w:hAnsi="Century Schoolbook" w:cs="Times New Roman"/>
          <w:b/>
          <w:color w:val="000000"/>
          <w:lang w:eastAsia="ja-JP"/>
        </w:rPr>
        <w:t>s</w:t>
      </w:r>
    </w:p>
    <w:p w14:paraId="47C3D41C" w14:textId="3406D53C" w:rsidR="00455AF4" w:rsidRPr="004F5794" w:rsidRDefault="00455AF4" w:rsidP="00A00DFF">
      <w:pPr>
        <w:spacing w:line="480" w:lineRule="auto"/>
        <w:jc w:val="both"/>
        <w:rPr>
          <w:rFonts w:ascii="Century Schoolbook" w:eastAsiaTheme="minorEastAsia" w:hAnsi="Century Schoolbook" w:cs="Times New Roman"/>
          <w:color w:val="000000"/>
          <w:lang w:eastAsia="ja-JP"/>
        </w:rPr>
      </w:pPr>
      <w:r w:rsidRPr="004F5794">
        <w:rPr>
          <w:rFonts w:ascii="Century Schoolbook" w:eastAsiaTheme="minorEastAsia" w:hAnsi="Century Schoolbook" w:cs="Times New Roman"/>
          <w:color w:val="000000"/>
          <w:lang w:eastAsia="ja-JP"/>
        </w:rPr>
        <w:t>We approach this in two ways. First, we</w:t>
      </w:r>
      <w:r w:rsidR="00B25955">
        <w:rPr>
          <w:rFonts w:ascii="Century Schoolbook" w:eastAsiaTheme="minorEastAsia" w:hAnsi="Century Schoolbook" w:cs="Times New Roman"/>
          <w:color w:val="000000"/>
          <w:lang w:eastAsia="ja-JP"/>
        </w:rPr>
        <w:t xml:space="preserve"> ask, what </w:t>
      </w:r>
      <w:r w:rsidR="000A2CC3" w:rsidRPr="004F5794">
        <w:rPr>
          <w:rFonts w:ascii="Century Schoolbook" w:eastAsiaTheme="minorEastAsia" w:hAnsi="Century Schoolbook" w:cs="Times New Roman"/>
          <w:color w:val="000000"/>
          <w:lang w:eastAsia="ja-JP"/>
        </w:rPr>
        <w:t xml:space="preserve">types of </w:t>
      </w:r>
      <w:r w:rsidR="002573DC">
        <w:rPr>
          <w:rFonts w:ascii="Century Schoolbook" w:eastAsiaTheme="minorEastAsia" w:hAnsi="Century Schoolbook" w:cs="Times New Roman"/>
          <w:color w:val="000000"/>
          <w:lang w:eastAsia="ja-JP"/>
        </w:rPr>
        <w:t>corporate</w:t>
      </w:r>
      <w:r w:rsidRPr="004F5794">
        <w:rPr>
          <w:rFonts w:ascii="Century Schoolbook" w:eastAsiaTheme="minorEastAsia" w:hAnsi="Century Schoolbook" w:cs="Times New Roman"/>
          <w:color w:val="000000"/>
          <w:lang w:eastAsia="ja-JP"/>
        </w:rPr>
        <w:t xml:space="preserve"> news </w:t>
      </w:r>
      <w:r w:rsidR="00B25955">
        <w:rPr>
          <w:rFonts w:ascii="Century Schoolbook" w:eastAsiaTheme="minorEastAsia" w:hAnsi="Century Schoolbook" w:cs="Times New Roman"/>
          <w:color w:val="000000"/>
          <w:lang w:eastAsia="ja-JP"/>
        </w:rPr>
        <w:t>do fast</w:t>
      </w:r>
      <w:r w:rsidR="000A2CC3" w:rsidRPr="004F5794">
        <w:rPr>
          <w:rFonts w:ascii="Century Schoolbook" w:eastAsiaTheme="minorEastAsia" w:hAnsi="Century Schoolbook" w:cs="Times New Roman"/>
          <w:color w:val="000000"/>
          <w:lang w:eastAsia="ja-JP"/>
        </w:rPr>
        <w:t xml:space="preserve">- versus slow-turnover </w:t>
      </w:r>
      <w:r w:rsidRPr="004F5794">
        <w:rPr>
          <w:rFonts w:ascii="Century Schoolbook" w:eastAsiaTheme="minorEastAsia" w:hAnsi="Century Schoolbook" w:cs="Times New Roman"/>
          <w:color w:val="000000"/>
          <w:lang w:eastAsia="ja-JP"/>
        </w:rPr>
        <w:t xml:space="preserve">analysts </w:t>
      </w:r>
      <w:r w:rsidR="000A2CC3" w:rsidRPr="004F5794">
        <w:rPr>
          <w:rFonts w:ascii="Century Schoolbook" w:eastAsiaTheme="minorEastAsia" w:hAnsi="Century Schoolbook" w:cs="Times New Roman"/>
          <w:color w:val="000000"/>
          <w:lang w:eastAsia="ja-JP"/>
        </w:rPr>
        <w:t xml:space="preserve">react </w:t>
      </w:r>
      <w:r w:rsidR="00323220">
        <w:rPr>
          <w:rFonts w:ascii="Century Schoolbook" w:eastAsiaTheme="minorEastAsia" w:hAnsi="Century Schoolbook" w:cs="Times New Roman"/>
          <w:color w:val="000000"/>
          <w:lang w:eastAsia="ja-JP"/>
        </w:rPr>
        <w:t xml:space="preserve">to </w:t>
      </w:r>
      <w:r w:rsidR="00B25955">
        <w:rPr>
          <w:rFonts w:ascii="Century Schoolbook" w:eastAsiaTheme="minorEastAsia" w:hAnsi="Century Schoolbook" w:cs="Times New Roman"/>
          <w:color w:val="000000"/>
          <w:lang w:eastAsia="ja-JP"/>
        </w:rPr>
        <w:t>when they make recommendation</w:t>
      </w:r>
      <w:r w:rsidR="00785ACA">
        <w:rPr>
          <w:rFonts w:ascii="Century Schoolbook" w:eastAsiaTheme="minorEastAsia" w:hAnsi="Century Schoolbook" w:cs="Times New Roman"/>
          <w:color w:val="000000"/>
          <w:lang w:eastAsia="ja-JP"/>
        </w:rPr>
        <w:t>s</w:t>
      </w:r>
      <w:r w:rsidR="00B25955">
        <w:rPr>
          <w:rFonts w:ascii="Century Schoolbook" w:eastAsiaTheme="minorEastAsia" w:hAnsi="Century Schoolbook" w:cs="Times New Roman"/>
          <w:color w:val="000000"/>
          <w:lang w:eastAsia="ja-JP"/>
        </w:rPr>
        <w:t xml:space="preserve">?  </w:t>
      </w:r>
      <w:r w:rsidR="000A2CC3" w:rsidRPr="004F5794">
        <w:rPr>
          <w:rFonts w:ascii="Century Schoolbook" w:eastAsiaTheme="minorEastAsia" w:hAnsi="Century Schoolbook" w:cs="Times New Roman"/>
          <w:color w:val="000000"/>
          <w:lang w:eastAsia="ja-JP"/>
        </w:rPr>
        <w:t xml:space="preserve">Second, we examine the contents of analysts’ recommendation reports and distinguish between different rationales </w:t>
      </w:r>
      <w:r w:rsidR="00323220">
        <w:rPr>
          <w:rFonts w:ascii="Century Schoolbook" w:eastAsiaTheme="minorEastAsia" w:hAnsi="Century Schoolbook" w:cs="Times New Roman"/>
          <w:color w:val="000000"/>
          <w:lang w:eastAsia="ja-JP"/>
        </w:rPr>
        <w:t>on</w:t>
      </w:r>
      <w:r w:rsidR="000A2CC3" w:rsidRPr="004F5794">
        <w:rPr>
          <w:rFonts w:ascii="Century Schoolbook" w:eastAsiaTheme="minorEastAsia" w:hAnsi="Century Schoolbook" w:cs="Times New Roman"/>
          <w:color w:val="000000"/>
          <w:lang w:eastAsia="ja-JP"/>
        </w:rPr>
        <w:t xml:space="preserve"> which they base their decision. </w:t>
      </w:r>
    </w:p>
    <w:p w14:paraId="441C3A5E" w14:textId="17597869" w:rsidR="00002EC6" w:rsidRPr="00D33D99" w:rsidRDefault="000325FC" w:rsidP="00A00DFF">
      <w:pPr>
        <w:pStyle w:val="ListParagraph"/>
        <w:numPr>
          <w:ilvl w:val="1"/>
          <w:numId w:val="3"/>
        </w:numPr>
        <w:spacing w:line="480" w:lineRule="auto"/>
        <w:ind w:left="360"/>
        <w:rPr>
          <w:rFonts w:ascii="Century Schoolbook" w:eastAsiaTheme="minorEastAsia" w:hAnsi="Century Schoolbook" w:cs="Times New Roman"/>
          <w:b/>
          <w:i/>
          <w:color w:val="000000"/>
          <w:lang w:eastAsia="ja-JP"/>
        </w:rPr>
      </w:pPr>
      <w:r w:rsidRPr="00D33D99">
        <w:rPr>
          <w:rFonts w:ascii="Century Schoolbook" w:eastAsiaTheme="minorEastAsia" w:hAnsi="Century Schoolbook" w:cs="Times New Roman"/>
          <w:b/>
          <w:i/>
          <w:color w:val="000000"/>
          <w:lang w:eastAsia="ja-JP"/>
        </w:rPr>
        <w:t>Reaction to news and recommendation speed-style</w:t>
      </w:r>
    </w:p>
    <w:p w14:paraId="35EBBBCF" w14:textId="418A64E6" w:rsidR="00987B89" w:rsidRPr="004F5794" w:rsidRDefault="00DA70A2" w:rsidP="00A00DFF">
      <w:pPr>
        <w:spacing w:line="480" w:lineRule="auto"/>
        <w:ind w:left="-72"/>
        <w:jc w:val="both"/>
        <w:rPr>
          <w:rFonts w:ascii="Century Schoolbook" w:eastAsiaTheme="minorEastAsia" w:hAnsi="Century Schoolbook" w:cs="Times New Roman"/>
          <w:color w:val="000000"/>
          <w:lang w:eastAsia="ja-JP"/>
        </w:rPr>
      </w:pPr>
      <w:r w:rsidRPr="004F5794">
        <w:rPr>
          <w:rFonts w:ascii="Century Schoolbook" w:eastAsiaTheme="minorEastAsia" w:hAnsi="Century Schoolbook" w:cs="Times New Roman"/>
          <w:color w:val="000000"/>
          <w:lang w:eastAsia="ja-JP"/>
        </w:rPr>
        <w:t>Analysts often update their recommendations following corporate news</w:t>
      </w:r>
      <w:r w:rsidR="000054D6">
        <w:rPr>
          <w:rFonts w:ascii="Century Schoolbook" w:eastAsiaTheme="minorEastAsia" w:hAnsi="Century Schoolbook" w:cs="Times New Roman"/>
          <w:color w:val="000000"/>
          <w:lang w:eastAsia="ja-JP"/>
        </w:rPr>
        <w:t xml:space="preserve"> (</w:t>
      </w:r>
      <w:proofErr w:type="spellStart"/>
      <w:r w:rsidR="000054D6">
        <w:rPr>
          <w:rFonts w:ascii="Century Schoolbook" w:eastAsiaTheme="minorEastAsia" w:hAnsi="Century Schoolbook" w:cs="Times New Roman"/>
          <w:color w:val="000000"/>
          <w:lang w:eastAsia="ja-JP"/>
        </w:rPr>
        <w:t>Ivkovic</w:t>
      </w:r>
      <w:proofErr w:type="spellEnd"/>
      <w:r w:rsidR="000054D6">
        <w:rPr>
          <w:rFonts w:ascii="Century Schoolbook" w:eastAsiaTheme="minorEastAsia" w:hAnsi="Century Schoolbook" w:cs="Times New Roman"/>
          <w:color w:val="000000"/>
          <w:lang w:eastAsia="ja-JP"/>
        </w:rPr>
        <w:t xml:space="preserve"> and </w:t>
      </w:r>
      <w:proofErr w:type="spellStart"/>
      <w:r w:rsidR="000054D6">
        <w:rPr>
          <w:rFonts w:ascii="Century Schoolbook" w:eastAsiaTheme="minorEastAsia" w:hAnsi="Century Schoolbook" w:cs="Times New Roman"/>
          <w:color w:val="000000"/>
          <w:lang w:eastAsia="ja-JP"/>
        </w:rPr>
        <w:t>Jegadeesh</w:t>
      </w:r>
      <w:proofErr w:type="spellEnd"/>
      <w:r w:rsidR="000054D6">
        <w:rPr>
          <w:rFonts w:ascii="Century Schoolbook" w:eastAsiaTheme="minorEastAsia" w:hAnsi="Century Schoolbook" w:cs="Times New Roman"/>
          <w:color w:val="000000"/>
          <w:lang w:eastAsia="ja-JP"/>
        </w:rPr>
        <w:t xml:space="preserve"> 2004, Li et al. 2015). </w:t>
      </w:r>
      <w:r w:rsidRPr="004F5794">
        <w:rPr>
          <w:rFonts w:ascii="Century Schoolbook" w:eastAsiaTheme="minorEastAsia" w:hAnsi="Century Schoolbook" w:cs="Times New Roman"/>
          <w:color w:val="000000"/>
          <w:lang w:eastAsia="ja-JP"/>
        </w:rPr>
        <w:t>In this case, recommendation revisions can add value by facilitating</w:t>
      </w:r>
      <w:r w:rsidR="00E21161" w:rsidRPr="004F5794">
        <w:rPr>
          <w:rFonts w:ascii="Century Schoolbook" w:eastAsiaTheme="minorEastAsia" w:hAnsi="Century Schoolbook" w:cs="Times New Roman"/>
          <w:color w:val="000000"/>
          <w:lang w:eastAsia="ja-JP"/>
        </w:rPr>
        <w:t xml:space="preserve"> price discovery </w:t>
      </w:r>
      <w:r w:rsidRPr="004F5794">
        <w:rPr>
          <w:rFonts w:ascii="Century Schoolbook" w:eastAsiaTheme="minorEastAsia" w:hAnsi="Century Schoolbook" w:cs="Times New Roman"/>
          <w:color w:val="000000"/>
          <w:lang w:eastAsia="ja-JP"/>
        </w:rPr>
        <w:t xml:space="preserve">of </w:t>
      </w:r>
      <w:r w:rsidR="00204B71" w:rsidRPr="004F5794">
        <w:rPr>
          <w:rFonts w:ascii="Century Schoolbook" w:eastAsiaTheme="minorEastAsia" w:hAnsi="Century Schoolbook" w:cs="Times New Roman"/>
          <w:color w:val="000000"/>
          <w:lang w:eastAsia="ja-JP"/>
        </w:rPr>
        <w:t>the publicly observed</w:t>
      </w:r>
      <w:r w:rsidRPr="004F5794">
        <w:rPr>
          <w:rFonts w:ascii="Century Schoolbook" w:eastAsiaTheme="minorEastAsia" w:hAnsi="Century Schoolbook" w:cs="Times New Roman"/>
          <w:color w:val="000000"/>
          <w:lang w:eastAsia="ja-JP"/>
        </w:rPr>
        <w:t xml:space="preserve"> information</w:t>
      </w:r>
      <w:r w:rsidR="001509E2" w:rsidRPr="004F5794">
        <w:rPr>
          <w:rFonts w:ascii="Century Schoolbook" w:eastAsiaTheme="minorEastAsia" w:hAnsi="Century Schoolbook" w:cs="Times New Roman"/>
          <w:color w:val="000000"/>
          <w:lang w:eastAsia="ja-JP"/>
        </w:rPr>
        <w:t xml:space="preserve"> signal</w:t>
      </w:r>
      <w:r w:rsidR="000054D6">
        <w:rPr>
          <w:rFonts w:ascii="Century Schoolbook" w:eastAsiaTheme="minorEastAsia" w:hAnsi="Century Schoolbook" w:cs="Times New Roman"/>
          <w:color w:val="000000"/>
          <w:lang w:eastAsia="ja-JP"/>
        </w:rPr>
        <w:t xml:space="preserve">, </w:t>
      </w:r>
      <w:r w:rsidRPr="004F5794">
        <w:rPr>
          <w:rFonts w:ascii="Century Schoolbook" w:eastAsiaTheme="minorEastAsia" w:hAnsi="Century Schoolbook" w:cs="Times New Roman"/>
          <w:color w:val="000000"/>
          <w:lang w:eastAsia="ja-JP"/>
        </w:rPr>
        <w:t>consistent with the</w:t>
      </w:r>
      <w:r w:rsidR="00204B71" w:rsidRPr="004F5794">
        <w:rPr>
          <w:rFonts w:ascii="Century Schoolbook" w:eastAsiaTheme="minorEastAsia" w:hAnsi="Century Schoolbook" w:cs="Times New Roman"/>
          <w:color w:val="000000"/>
          <w:lang w:eastAsia="ja-JP"/>
        </w:rPr>
        <w:t xml:space="preserve"> general </w:t>
      </w:r>
      <w:r w:rsidR="002573DC">
        <w:rPr>
          <w:rFonts w:ascii="Century Schoolbook" w:eastAsiaTheme="minorEastAsia" w:hAnsi="Century Schoolbook" w:cs="Times New Roman"/>
          <w:color w:val="000000"/>
          <w:lang w:eastAsia="ja-JP"/>
        </w:rPr>
        <w:t xml:space="preserve">idea </w:t>
      </w:r>
      <w:r w:rsidR="00204B71" w:rsidRPr="004F5794">
        <w:rPr>
          <w:rFonts w:ascii="Century Schoolbook" w:eastAsiaTheme="minorEastAsia" w:hAnsi="Century Schoolbook" w:cs="Times New Roman"/>
          <w:color w:val="000000"/>
          <w:lang w:eastAsia="ja-JP"/>
        </w:rPr>
        <w:t>that sell-side a</w:t>
      </w:r>
      <w:r w:rsidR="00D26CE9" w:rsidRPr="004F5794">
        <w:rPr>
          <w:rFonts w:ascii="Century Schoolbook" w:eastAsiaTheme="minorEastAsia" w:hAnsi="Century Schoolbook" w:cs="Times New Roman"/>
          <w:color w:val="000000"/>
          <w:lang w:eastAsia="ja-JP"/>
        </w:rPr>
        <w:t>nalysts play an important role of information interpreter in the financial market</w:t>
      </w:r>
      <w:r w:rsidR="00D472AC">
        <w:rPr>
          <w:rFonts w:ascii="Century Schoolbook" w:eastAsiaTheme="minorEastAsia" w:hAnsi="Century Schoolbook" w:cs="Times New Roman"/>
          <w:color w:val="000000"/>
          <w:lang w:eastAsia="ja-JP"/>
        </w:rPr>
        <w:t>s</w:t>
      </w:r>
      <w:r w:rsidR="00F95AFA">
        <w:rPr>
          <w:rFonts w:ascii="Century Schoolbook" w:eastAsiaTheme="minorEastAsia" w:hAnsi="Century Schoolbook" w:cs="Times New Roman"/>
          <w:color w:val="000000"/>
          <w:lang w:eastAsia="ja-JP"/>
        </w:rPr>
        <w:t xml:space="preserve"> (</w:t>
      </w:r>
      <w:proofErr w:type="spellStart"/>
      <w:r w:rsidR="00F95AFA">
        <w:rPr>
          <w:rFonts w:ascii="Century Schoolbook" w:eastAsiaTheme="minorEastAsia" w:hAnsi="Century Schoolbook" w:cs="Times New Roman"/>
          <w:color w:val="000000"/>
          <w:lang w:eastAsia="ja-JP"/>
        </w:rPr>
        <w:t>Livnat</w:t>
      </w:r>
      <w:proofErr w:type="spellEnd"/>
      <w:r w:rsidR="00F95AFA">
        <w:rPr>
          <w:rFonts w:ascii="Century Schoolbook" w:eastAsiaTheme="minorEastAsia" w:hAnsi="Century Schoolbook" w:cs="Times New Roman"/>
          <w:color w:val="000000"/>
          <w:lang w:eastAsia="ja-JP"/>
        </w:rPr>
        <w:t xml:space="preserve"> and Zhang 2012</w:t>
      </w:r>
      <w:r w:rsidR="00BF559D">
        <w:rPr>
          <w:rFonts w:ascii="Century Schoolbook" w:eastAsiaTheme="minorEastAsia" w:hAnsi="Century Schoolbook" w:cs="Times New Roman"/>
          <w:color w:val="000000"/>
          <w:lang w:eastAsia="ja-JP"/>
        </w:rPr>
        <w:t>, Rubin, Segal, and Segal 2017).</w:t>
      </w:r>
    </w:p>
    <w:p w14:paraId="7709E56C" w14:textId="4C39894B" w:rsidR="00AF52DC" w:rsidRDefault="00DB3389" w:rsidP="00A00DFF">
      <w:pPr>
        <w:spacing w:line="480" w:lineRule="auto"/>
        <w:ind w:left="-72" w:firstLine="432"/>
        <w:jc w:val="both"/>
        <w:rPr>
          <w:rFonts w:ascii="Century Schoolbook" w:eastAsiaTheme="minorEastAsia" w:hAnsi="Century Schoolbook" w:cs="Times New Roman"/>
          <w:color w:val="000000"/>
          <w:lang w:eastAsia="ja-JP"/>
        </w:rPr>
      </w:pPr>
      <w:r w:rsidRPr="004F5794">
        <w:rPr>
          <w:rFonts w:ascii="Century Schoolbook" w:eastAsiaTheme="minorEastAsia" w:hAnsi="Century Schoolbook" w:cs="Times New Roman"/>
          <w:color w:val="000000"/>
          <w:lang w:eastAsia="ja-JP"/>
        </w:rPr>
        <w:t xml:space="preserve">Given that the majority of recommendations are made after </w:t>
      </w:r>
      <w:r w:rsidR="00B5579C" w:rsidRPr="004F5794">
        <w:rPr>
          <w:rFonts w:ascii="Century Schoolbook" w:eastAsiaTheme="minorEastAsia" w:hAnsi="Century Schoolbook" w:cs="Times New Roman"/>
          <w:color w:val="000000"/>
          <w:lang w:eastAsia="ja-JP"/>
        </w:rPr>
        <w:t>corporate news releases</w:t>
      </w:r>
      <w:r w:rsidR="000054D6">
        <w:rPr>
          <w:rFonts w:ascii="Century Schoolbook" w:eastAsiaTheme="minorEastAsia" w:hAnsi="Century Schoolbook" w:cs="Times New Roman"/>
          <w:color w:val="000000"/>
          <w:lang w:eastAsia="ja-JP"/>
        </w:rPr>
        <w:t xml:space="preserve"> (Li et al. 2015)</w:t>
      </w:r>
      <w:r w:rsidRPr="004F5794">
        <w:rPr>
          <w:rFonts w:ascii="Century Schoolbook" w:eastAsiaTheme="minorEastAsia" w:hAnsi="Century Schoolbook" w:cs="Times New Roman"/>
          <w:color w:val="000000"/>
          <w:lang w:eastAsia="ja-JP"/>
        </w:rPr>
        <w:t xml:space="preserve">, </w:t>
      </w:r>
      <w:r w:rsidR="00B5579C" w:rsidRPr="004F5794">
        <w:rPr>
          <w:rFonts w:ascii="Century Schoolbook" w:eastAsiaTheme="minorEastAsia" w:hAnsi="Century Schoolbook" w:cs="Times New Roman"/>
          <w:color w:val="000000"/>
          <w:lang w:eastAsia="ja-JP"/>
        </w:rPr>
        <w:t>the value of a</w:t>
      </w:r>
      <w:r w:rsidR="00F315B1" w:rsidRPr="004F5794">
        <w:rPr>
          <w:rFonts w:ascii="Century Schoolbook" w:eastAsiaTheme="minorEastAsia" w:hAnsi="Century Schoolbook" w:cs="Times New Roman"/>
          <w:color w:val="000000"/>
          <w:lang w:eastAsia="ja-JP"/>
        </w:rPr>
        <w:t xml:space="preserve"> </w:t>
      </w:r>
      <w:r w:rsidR="00266017" w:rsidRPr="004F5794">
        <w:rPr>
          <w:rFonts w:ascii="Century Schoolbook" w:eastAsiaTheme="minorEastAsia" w:hAnsi="Century Schoolbook" w:cs="Times New Roman"/>
          <w:color w:val="000000"/>
          <w:lang w:eastAsia="ja-JP"/>
        </w:rPr>
        <w:t>recommendation</w:t>
      </w:r>
      <w:r w:rsidR="00B5579C" w:rsidRPr="004F5794">
        <w:rPr>
          <w:rFonts w:ascii="Century Schoolbook" w:eastAsiaTheme="minorEastAsia" w:hAnsi="Century Schoolbook" w:cs="Times New Roman"/>
          <w:color w:val="000000"/>
          <w:lang w:eastAsia="ja-JP"/>
        </w:rPr>
        <w:t xml:space="preserve"> revision</w:t>
      </w:r>
      <w:r w:rsidR="00266017" w:rsidRPr="004F5794">
        <w:rPr>
          <w:rFonts w:ascii="Century Schoolbook" w:eastAsiaTheme="minorEastAsia" w:hAnsi="Century Schoolbook" w:cs="Times New Roman"/>
          <w:color w:val="000000"/>
          <w:lang w:eastAsia="ja-JP"/>
        </w:rPr>
        <w:t xml:space="preserve"> </w:t>
      </w:r>
      <w:r w:rsidRPr="004F5794">
        <w:rPr>
          <w:rFonts w:ascii="Century Schoolbook" w:eastAsiaTheme="minorEastAsia" w:hAnsi="Century Schoolbook" w:cs="Times New Roman"/>
          <w:color w:val="000000"/>
          <w:lang w:eastAsia="ja-JP"/>
        </w:rPr>
        <w:t>depend</w:t>
      </w:r>
      <w:r w:rsidR="002E4514" w:rsidRPr="004F5794">
        <w:rPr>
          <w:rFonts w:ascii="Century Schoolbook" w:eastAsiaTheme="minorEastAsia" w:hAnsi="Century Schoolbook" w:cs="Times New Roman"/>
          <w:color w:val="000000"/>
          <w:lang w:eastAsia="ja-JP"/>
        </w:rPr>
        <w:t>s</w:t>
      </w:r>
      <w:r w:rsidRPr="004F5794">
        <w:rPr>
          <w:rFonts w:ascii="Century Schoolbook" w:eastAsiaTheme="minorEastAsia" w:hAnsi="Century Schoolbook" w:cs="Times New Roman"/>
          <w:color w:val="000000"/>
          <w:lang w:eastAsia="ja-JP"/>
        </w:rPr>
        <w:t xml:space="preserve"> on its </w:t>
      </w:r>
      <w:r w:rsidR="00204B71" w:rsidRPr="004F5794">
        <w:rPr>
          <w:rFonts w:ascii="Century Schoolbook" w:eastAsiaTheme="minorEastAsia" w:hAnsi="Century Schoolbook" w:cs="Times New Roman"/>
          <w:color w:val="000000"/>
          <w:lang w:eastAsia="ja-JP"/>
        </w:rPr>
        <w:t xml:space="preserve">incremental information beyond what market participants </w:t>
      </w:r>
      <w:r w:rsidR="002E4514" w:rsidRPr="004F5794">
        <w:rPr>
          <w:rFonts w:ascii="Century Schoolbook" w:eastAsiaTheme="minorEastAsia" w:hAnsi="Century Schoolbook" w:cs="Times New Roman"/>
          <w:color w:val="000000"/>
          <w:lang w:eastAsia="ja-JP"/>
        </w:rPr>
        <w:t xml:space="preserve">could </w:t>
      </w:r>
      <w:r w:rsidR="00204B71" w:rsidRPr="004F5794">
        <w:rPr>
          <w:rFonts w:ascii="Century Schoolbook" w:eastAsiaTheme="minorEastAsia" w:hAnsi="Century Schoolbook" w:cs="Times New Roman"/>
          <w:color w:val="000000"/>
          <w:lang w:eastAsia="ja-JP"/>
        </w:rPr>
        <w:t xml:space="preserve">learn from </w:t>
      </w:r>
      <w:r w:rsidR="00712171" w:rsidRPr="004F5794">
        <w:rPr>
          <w:rFonts w:ascii="Century Schoolbook" w:eastAsiaTheme="minorEastAsia" w:hAnsi="Century Schoolbook" w:cs="Times New Roman"/>
          <w:color w:val="000000"/>
          <w:lang w:eastAsia="ja-JP"/>
        </w:rPr>
        <w:t>the</w:t>
      </w:r>
      <w:r w:rsidR="00F315B1" w:rsidRPr="004F5794">
        <w:rPr>
          <w:rFonts w:ascii="Century Schoolbook" w:eastAsiaTheme="minorEastAsia" w:hAnsi="Century Schoolbook" w:cs="Times New Roman"/>
          <w:color w:val="000000"/>
          <w:lang w:eastAsia="ja-JP"/>
        </w:rPr>
        <w:t xml:space="preserve"> preceding</w:t>
      </w:r>
      <w:r w:rsidR="00204B71" w:rsidRPr="004F5794">
        <w:rPr>
          <w:rFonts w:ascii="Century Schoolbook" w:eastAsiaTheme="minorEastAsia" w:hAnsi="Century Schoolbook" w:cs="Times New Roman"/>
          <w:color w:val="000000"/>
          <w:lang w:eastAsia="ja-JP"/>
        </w:rPr>
        <w:t xml:space="preserve"> di</w:t>
      </w:r>
      <w:r w:rsidR="00712171" w:rsidRPr="004F5794">
        <w:rPr>
          <w:rFonts w:ascii="Century Schoolbook" w:eastAsiaTheme="minorEastAsia" w:hAnsi="Century Schoolbook" w:cs="Times New Roman"/>
          <w:color w:val="000000"/>
          <w:lang w:eastAsia="ja-JP"/>
        </w:rPr>
        <w:t xml:space="preserve">sclosure. </w:t>
      </w:r>
      <w:r w:rsidR="00725818" w:rsidRPr="004F5794">
        <w:rPr>
          <w:rFonts w:ascii="Century Schoolbook" w:eastAsiaTheme="minorEastAsia" w:hAnsi="Century Schoolbook" w:cs="Times New Roman"/>
          <w:color w:val="000000"/>
          <w:lang w:eastAsia="ja-JP"/>
        </w:rPr>
        <w:t xml:space="preserve">In particular, news that are not based on hard figures or </w:t>
      </w:r>
      <w:r w:rsidR="00AB4068" w:rsidRPr="004F5794">
        <w:rPr>
          <w:rFonts w:ascii="Century Schoolbook" w:eastAsiaTheme="minorEastAsia" w:hAnsi="Century Schoolbook" w:cs="Times New Roman"/>
          <w:color w:val="000000"/>
          <w:lang w:eastAsia="ja-JP"/>
        </w:rPr>
        <w:t xml:space="preserve">those </w:t>
      </w:r>
      <w:r w:rsidR="00725818" w:rsidRPr="004F5794">
        <w:rPr>
          <w:rFonts w:ascii="Century Schoolbook" w:eastAsiaTheme="minorEastAsia" w:hAnsi="Century Schoolbook" w:cs="Times New Roman"/>
          <w:color w:val="000000"/>
          <w:lang w:eastAsia="ja-JP"/>
        </w:rPr>
        <w:t xml:space="preserve">containing forward-looking information </w:t>
      </w:r>
      <w:r w:rsidR="00AB4068" w:rsidRPr="004F5794">
        <w:rPr>
          <w:rFonts w:ascii="Century Schoolbook" w:eastAsiaTheme="minorEastAsia" w:hAnsi="Century Schoolbook" w:cs="Times New Roman"/>
          <w:color w:val="000000"/>
          <w:lang w:eastAsia="ja-JP"/>
        </w:rPr>
        <w:t xml:space="preserve">about a company </w:t>
      </w:r>
      <w:r w:rsidR="001509E2" w:rsidRPr="004F5794">
        <w:rPr>
          <w:rFonts w:ascii="Century Schoolbook" w:eastAsiaTheme="minorEastAsia" w:hAnsi="Century Schoolbook" w:cs="Times New Roman"/>
          <w:color w:val="000000"/>
          <w:lang w:eastAsia="ja-JP"/>
        </w:rPr>
        <w:t xml:space="preserve">(e.g., merger and acquisitions, corporate strategy, management forecasts) </w:t>
      </w:r>
      <w:r w:rsidR="002E4514" w:rsidRPr="004F5794">
        <w:rPr>
          <w:rFonts w:ascii="Century Schoolbook" w:eastAsiaTheme="minorEastAsia" w:hAnsi="Century Schoolbook" w:cs="Times New Roman"/>
          <w:color w:val="000000"/>
          <w:lang w:eastAsia="ja-JP"/>
        </w:rPr>
        <w:t>are</w:t>
      </w:r>
      <w:r w:rsidR="00725818" w:rsidRPr="004F5794">
        <w:rPr>
          <w:rFonts w:ascii="Century Schoolbook" w:eastAsiaTheme="minorEastAsia" w:hAnsi="Century Schoolbook" w:cs="Times New Roman"/>
          <w:color w:val="000000"/>
          <w:lang w:eastAsia="ja-JP"/>
        </w:rPr>
        <w:t xml:space="preserve"> harder to interpret by </w:t>
      </w:r>
      <w:r w:rsidR="00AB4068" w:rsidRPr="004F5794">
        <w:rPr>
          <w:rFonts w:ascii="Century Schoolbook" w:eastAsiaTheme="minorEastAsia" w:hAnsi="Century Schoolbook" w:cs="Times New Roman"/>
          <w:color w:val="000000"/>
          <w:lang w:eastAsia="ja-JP"/>
        </w:rPr>
        <w:t xml:space="preserve">investors who do not follow the firm </w:t>
      </w:r>
      <w:r w:rsidR="002C176B" w:rsidRPr="004F5794">
        <w:rPr>
          <w:rFonts w:ascii="Century Schoolbook" w:eastAsiaTheme="minorEastAsia" w:hAnsi="Century Schoolbook" w:cs="Times New Roman"/>
          <w:color w:val="000000"/>
          <w:lang w:eastAsia="ja-JP"/>
        </w:rPr>
        <w:t>professionally</w:t>
      </w:r>
      <w:r w:rsidR="00E21161" w:rsidRPr="004F5794">
        <w:rPr>
          <w:rFonts w:ascii="Century Schoolbook" w:eastAsiaTheme="minorEastAsia" w:hAnsi="Century Schoolbook" w:cs="Times New Roman"/>
          <w:color w:val="000000"/>
          <w:lang w:eastAsia="ja-JP"/>
        </w:rPr>
        <w:t>. Thus,</w:t>
      </w:r>
      <w:r w:rsidR="002E4514" w:rsidRPr="004F5794">
        <w:rPr>
          <w:rFonts w:ascii="Century Schoolbook" w:eastAsiaTheme="minorEastAsia" w:hAnsi="Century Schoolbook" w:cs="Times New Roman"/>
          <w:color w:val="000000"/>
          <w:lang w:eastAsia="ja-JP"/>
        </w:rPr>
        <w:t xml:space="preserve"> </w:t>
      </w:r>
      <w:r w:rsidR="002C176B" w:rsidRPr="004F5794">
        <w:rPr>
          <w:rFonts w:ascii="Century Schoolbook" w:eastAsiaTheme="minorEastAsia" w:hAnsi="Century Schoolbook" w:cs="Times New Roman"/>
          <w:color w:val="000000"/>
          <w:lang w:eastAsia="ja-JP"/>
        </w:rPr>
        <w:lastRenderedPageBreak/>
        <w:t>recommendation</w:t>
      </w:r>
      <w:r w:rsidR="002E4514" w:rsidRPr="004F5794">
        <w:rPr>
          <w:rFonts w:ascii="Century Schoolbook" w:eastAsiaTheme="minorEastAsia" w:hAnsi="Century Schoolbook" w:cs="Times New Roman"/>
          <w:color w:val="000000"/>
          <w:lang w:eastAsia="ja-JP"/>
        </w:rPr>
        <w:t xml:space="preserve">s </w:t>
      </w:r>
      <w:r w:rsidR="002573DC">
        <w:rPr>
          <w:rFonts w:ascii="Century Schoolbook" w:eastAsiaTheme="minorEastAsia" w:hAnsi="Century Schoolbook" w:cs="Times New Roman"/>
          <w:color w:val="000000"/>
          <w:lang w:eastAsia="ja-JP"/>
        </w:rPr>
        <w:t xml:space="preserve">that are made following these </w:t>
      </w:r>
      <w:r w:rsidR="00617B21">
        <w:rPr>
          <w:rFonts w:ascii="Century Schoolbook" w:eastAsiaTheme="minorEastAsia" w:hAnsi="Century Schoolbook" w:cs="Times New Roman"/>
          <w:color w:val="000000"/>
          <w:lang w:eastAsia="ja-JP"/>
        </w:rPr>
        <w:t>new</w:t>
      </w:r>
      <w:r w:rsidR="00617B21" w:rsidRPr="004F5794">
        <w:rPr>
          <w:rFonts w:ascii="Century Schoolbook" w:eastAsiaTheme="minorEastAsia" w:hAnsi="Century Schoolbook" w:cs="Times New Roman"/>
          <w:color w:val="000000"/>
          <w:lang w:eastAsia="ja-JP"/>
        </w:rPr>
        <w:t xml:space="preserve"> </w:t>
      </w:r>
      <w:r w:rsidR="00E21161" w:rsidRPr="004F5794">
        <w:rPr>
          <w:rFonts w:ascii="Century Schoolbook" w:eastAsiaTheme="minorEastAsia" w:hAnsi="Century Schoolbook" w:cs="Times New Roman"/>
          <w:color w:val="000000"/>
          <w:lang w:eastAsia="ja-JP"/>
        </w:rPr>
        <w:t xml:space="preserve">releases </w:t>
      </w:r>
      <w:r w:rsidR="002573DC">
        <w:rPr>
          <w:rFonts w:ascii="Century Schoolbook" w:eastAsiaTheme="minorEastAsia" w:hAnsi="Century Schoolbook" w:cs="Times New Roman"/>
          <w:color w:val="000000"/>
          <w:lang w:eastAsia="ja-JP"/>
        </w:rPr>
        <w:t xml:space="preserve">are more likely to </w:t>
      </w:r>
      <w:r w:rsidR="00654D52">
        <w:rPr>
          <w:rFonts w:ascii="Century Schoolbook" w:eastAsiaTheme="minorEastAsia" w:hAnsi="Century Schoolbook" w:cs="Times New Roman"/>
          <w:color w:val="000000"/>
          <w:lang w:eastAsia="ja-JP"/>
        </w:rPr>
        <w:t>be valuable to investors</w:t>
      </w:r>
      <w:r w:rsidR="002573DC">
        <w:rPr>
          <w:rFonts w:ascii="Century Schoolbook" w:eastAsiaTheme="minorEastAsia" w:hAnsi="Century Schoolbook" w:cs="Times New Roman"/>
          <w:color w:val="000000"/>
          <w:lang w:eastAsia="ja-JP"/>
        </w:rPr>
        <w:t xml:space="preserve"> because they significantly facilitate</w:t>
      </w:r>
      <w:r w:rsidR="0002133B" w:rsidRPr="004F5794">
        <w:rPr>
          <w:rFonts w:ascii="Century Schoolbook" w:eastAsiaTheme="minorEastAsia" w:hAnsi="Century Schoolbook" w:cs="Times New Roman"/>
          <w:color w:val="000000"/>
          <w:lang w:eastAsia="ja-JP"/>
        </w:rPr>
        <w:t xml:space="preserve"> </w:t>
      </w:r>
      <w:r w:rsidR="001509E2" w:rsidRPr="004F5794">
        <w:rPr>
          <w:rFonts w:ascii="Century Schoolbook" w:eastAsiaTheme="minorEastAsia" w:hAnsi="Century Schoolbook" w:cs="Times New Roman"/>
          <w:color w:val="000000"/>
          <w:lang w:eastAsia="ja-JP"/>
        </w:rPr>
        <w:t>price discovery</w:t>
      </w:r>
      <w:r w:rsidR="002573DC">
        <w:rPr>
          <w:rFonts w:ascii="Century Schoolbook" w:eastAsiaTheme="minorEastAsia" w:hAnsi="Century Schoolbook" w:cs="Times New Roman"/>
          <w:color w:val="000000"/>
          <w:lang w:eastAsia="ja-JP"/>
        </w:rPr>
        <w:t>. In ot</w:t>
      </w:r>
      <w:r w:rsidR="0033670F">
        <w:rPr>
          <w:rFonts w:ascii="Century Schoolbook" w:eastAsiaTheme="minorEastAsia" w:hAnsi="Century Schoolbook" w:cs="Times New Roman"/>
          <w:color w:val="000000"/>
          <w:lang w:eastAsia="ja-JP"/>
        </w:rPr>
        <w:t xml:space="preserve">her words, </w:t>
      </w:r>
      <w:r w:rsidR="00AF52DC">
        <w:rPr>
          <w:rFonts w:ascii="Century Schoolbook" w:eastAsiaTheme="minorEastAsia" w:hAnsi="Century Schoolbook" w:cs="Times New Roman"/>
          <w:color w:val="000000"/>
          <w:lang w:eastAsia="ja-JP"/>
        </w:rPr>
        <w:t xml:space="preserve">these recommendations carry greater investment value </w:t>
      </w:r>
      <w:r w:rsidR="0033670F">
        <w:rPr>
          <w:rFonts w:ascii="Century Schoolbook" w:eastAsiaTheme="minorEastAsia" w:hAnsi="Century Schoolbook" w:cs="Times New Roman"/>
          <w:color w:val="000000"/>
          <w:lang w:eastAsia="ja-JP"/>
        </w:rPr>
        <w:t xml:space="preserve">because </w:t>
      </w:r>
      <w:r w:rsidR="002573DC">
        <w:rPr>
          <w:rFonts w:ascii="Century Schoolbook" w:eastAsiaTheme="minorEastAsia" w:hAnsi="Century Schoolbook" w:cs="Times New Roman"/>
          <w:color w:val="000000"/>
          <w:lang w:eastAsia="ja-JP"/>
        </w:rPr>
        <w:t>they</w:t>
      </w:r>
      <w:r w:rsidR="0033670F">
        <w:rPr>
          <w:rFonts w:ascii="Century Schoolbook" w:eastAsiaTheme="minorEastAsia" w:hAnsi="Century Schoolbook" w:cs="Times New Roman"/>
          <w:color w:val="000000"/>
          <w:lang w:eastAsia="ja-JP"/>
        </w:rPr>
        <w:t xml:space="preserve"> </w:t>
      </w:r>
      <w:r w:rsidR="002573DC">
        <w:rPr>
          <w:rFonts w:ascii="Century Schoolbook" w:eastAsiaTheme="minorEastAsia" w:hAnsi="Century Schoolbook" w:cs="Times New Roman"/>
          <w:color w:val="000000"/>
          <w:lang w:eastAsia="ja-JP"/>
        </w:rPr>
        <w:t>simplify</w:t>
      </w:r>
      <w:r w:rsidR="0033670F">
        <w:rPr>
          <w:rFonts w:ascii="Century Schoolbook" w:eastAsiaTheme="minorEastAsia" w:hAnsi="Century Schoolbook" w:cs="Times New Roman"/>
          <w:color w:val="000000"/>
          <w:lang w:eastAsia="ja-JP"/>
        </w:rPr>
        <w:t xml:space="preserve"> the news</w:t>
      </w:r>
      <w:r w:rsidR="00E55AF9" w:rsidRPr="004F5794">
        <w:rPr>
          <w:rFonts w:ascii="Century Schoolbook" w:eastAsiaTheme="minorEastAsia" w:hAnsi="Century Schoolbook" w:cs="Times New Roman"/>
          <w:color w:val="000000"/>
          <w:lang w:eastAsia="ja-JP"/>
        </w:rPr>
        <w:t xml:space="preserve"> </w:t>
      </w:r>
      <w:r w:rsidR="002573DC">
        <w:rPr>
          <w:rFonts w:ascii="Century Schoolbook" w:eastAsiaTheme="minorEastAsia" w:hAnsi="Century Schoolbook" w:cs="Times New Roman"/>
          <w:color w:val="000000"/>
          <w:lang w:eastAsia="ja-JP"/>
        </w:rPr>
        <w:t xml:space="preserve">contents </w:t>
      </w:r>
      <w:r w:rsidR="001509E2" w:rsidRPr="004F5794">
        <w:rPr>
          <w:rFonts w:ascii="Century Schoolbook" w:eastAsiaTheme="minorEastAsia" w:hAnsi="Century Schoolbook" w:cs="Times New Roman"/>
          <w:color w:val="000000"/>
          <w:lang w:eastAsia="ja-JP"/>
        </w:rPr>
        <w:t xml:space="preserve">into </w:t>
      </w:r>
      <w:r w:rsidR="00E55AF9" w:rsidRPr="004F5794">
        <w:rPr>
          <w:rFonts w:ascii="Century Schoolbook" w:eastAsiaTheme="minorEastAsia" w:hAnsi="Century Schoolbook" w:cs="Times New Roman"/>
          <w:color w:val="000000"/>
          <w:lang w:eastAsia="ja-JP"/>
        </w:rPr>
        <w:t xml:space="preserve">an </w:t>
      </w:r>
      <w:r w:rsidR="001509E2" w:rsidRPr="004F5794">
        <w:rPr>
          <w:rFonts w:ascii="Century Schoolbook" w:eastAsiaTheme="minorEastAsia" w:hAnsi="Century Schoolbook" w:cs="Times New Roman"/>
          <w:color w:val="000000"/>
          <w:lang w:eastAsia="ja-JP"/>
        </w:rPr>
        <w:t>unambiguou</w:t>
      </w:r>
      <w:r w:rsidR="00E55AF9" w:rsidRPr="004F5794">
        <w:rPr>
          <w:rFonts w:ascii="Century Schoolbook" w:eastAsiaTheme="minorEastAsia" w:hAnsi="Century Schoolbook" w:cs="Times New Roman"/>
          <w:color w:val="000000"/>
          <w:lang w:eastAsia="ja-JP"/>
        </w:rPr>
        <w:t>s signal</w:t>
      </w:r>
      <w:r w:rsidR="001509E2" w:rsidRPr="004F5794">
        <w:rPr>
          <w:rFonts w:ascii="Century Schoolbook" w:eastAsiaTheme="minorEastAsia" w:hAnsi="Century Schoolbook" w:cs="Times New Roman"/>
          <w:color w:val="000000"/>
          <w:lang w:eastAsia="ja-JP"/>
        </w:rPr>
        <w:t xml:space="preserve"> — “Buy”, “Hold”, </w:t>
      </w:r>
      <w:r w:rsidR="00E55AF9" w:rsidRPr="004F5794">
        <w:rPr>
          <w:rFonts w:ascii="Century Schoolbook" w:eastAsiaTheme="minorEastAsia" w:hAnsi="Century Schoolbook" w:cs="Times New Roman"/>
          <w:color w:val="000000"/>
          <w:lang w:eastAsia="ja-JP"/>
        </w:rPr>
        <w:t>or</w:t>
      </w:r>
      <w:r w:rsidR="001509E2" w:rsidRPr="004F5794">
        <w:rPr>
          <w:rFonts w:ascii="Century Schoolbook" w:eastAsiaTheme="minorEastAsia" w:hAnsi="Century Schoolbook" w:cs="Times New Roman"/>
          <w:color w:val="000000"/>
          <w:lang w:eastAsia="ja-JP"/>
        </w:rPr>
        <w:t xml:space="preserve"> “Sell.” </w:t>
      </w:r>
    </w:p>
    <w:p w14:paraId="0A8C60D7" w14:textId="0D5ECD32" w:rsidR="002C176B" w:rsidRPr="004F5794" w:rsidRDefault="001509E2" w:rsidP="00A00DFF">
      <w:pPr>
        <w:spacing w:line="480" w:lineRule="auto"/>
        <w:ind w:left="-72" w:firstLine="432"/>
        <w:jc w:val="both"/>
        <w:rPr>
          <w:rFonts w:ascii="Century Schoolbook" w:eastAsiaTheme="minorEastAsia" w:hAnsi="Century Schoolbook" w:cs="Times New Roman"/>
          <w:color w:val="000000"/>
          <w:lang w:eastAsia="ja-JP"/>
        </w:rPr>
      </w:pPr>
      <w:r w:rsidRPr="004F5794">
        <w:rPr>
          <w:rFonts w:ascii="Century Schoolbook" w:eastAsiaTheme="minorEastAsia" w:hAnsi="Century Schoolbook" w:cs="Times New Roman"/>
          <w:color w:val="000000"/>
          <w:lang w:eastAsia="ja-JP"/>
        </w:rPr>
        <w:t>On the other hand, recommendation</w:t>
      </w:r>
      <w:r w:rsidR="0033670F">
        <w:rPr>
          <w:rFonts w:ascii="Century Schoolbook" w:eastAsiaTheme="minorEastAsia" w:hAnsi="Century Schoolbook" w:cs="Times New Roman"/>
          <w:color w:val="000000"/>
          <w:lang w:eastAsia="ja-JP"/>
        </w:rPr>
        <w:t>s</w:t>
      </w:r>
      <w:r w:rsidRPr="004F5794">
        <w:rPr>
          <w:rFonts w:ascii="Century Schoolbook" w:eastAsiaTheme="minorEastAsia" w:hAnsi="Century Schoolbook" w:cs="Times New Roman"/>
          <w:color w:val="000000"/>
          <w:lang w:eastAsia="ja-JP"/>
        </w:rPr>
        <w:t xml:space="preserve"> </w:t>
      </w:r>
      <w:r w:rsidR="0033670F">
        <w:rPr>
          <w:rFonts w:ascii="Century Schoolbook" w:eastAsiaTheme="minorEastAsia" w:hAnsi="Century Schoolbook" w:cs="Times New Roman"/>
          <w:color w:val="000000"/>
          <w:lang w:eastAsia="ja-JP"/>
        </w:rPr>
        <w:t>that are revised</w:t>
      </w:r>
      <w:r w:rsidRPr="004F5794">
        <w:rPr>
          <w:rFonts w:ascii="Century Schoolbook" w:eastAsiaTheme="minorEastAsia" w:hAnsi="Century Schoolbook" w:cs="Times New Roman"/>
          <w:color w:val="000000"/>
          <w:lang w:eastAsia="ja-JP"/>
        </w:rPr>
        <w:t xml:space="preserve"> </w:t>
      </w:r>
      <w:r w:rsidR="00AF52DC">
        <w:rPr>
          <w:rFonts w:ascii="Century Schoolbook" w:eastAsiaTheme="minorEastAsia" w:hAnsi="Century Schoolbook" w:cs="Times New Roman"/>
          <w:color w:val="000000"/>
          <w:lang w:eastAsia="ja-JP"/>
        </w:rPr>
        <w:t>after</w:t>
      </w:r>
      <w:r w:rsidRPr="004F5794">
        <w:rPr>
          <w:rFonts w:ascii="Century Schoolbook" w:eastAsiaTheme="minorEastAsia" w:hAnsi="Century Schoolbook" w:cs="Times New Roman"/>
          <w:color w:val="000000"/>
          <w:lang w:eastAsia="ja-JP"/>
        </w:rPr>
        <w:t xml:space="preserve"> less ambiguous</w:t>
      </w:r>
      <w:r w:rsidR="00E55AF9" w:rsidRPr="004F5794">
        <w:rPr>
          <w:rFonts w:ascii="Century Schoolbook" w:eastAsiaTheme="minorEastAsia" w:hAnsi="Century Schoolbook" w:cs="Times New Roman"/>
          <w:color w:val="000000"/>
          <w:lang w:eastAsia="ja-JP"/>
        </w:rPr>
        <w:t>–</w:t>
      </w:r>
      <w:r w:rsidRPr="004F5794">
        <w:rPr>
          <w:rFonts w:ascii="Century Schoolbook" w:eastAsiaTheme="minorEastAsia" w:hAnsi="Century Schoolbook" w:cs="Times New Roman"/>
          <w:color w:val="000000"/>
          <w:lang w:eastAsia="ja-JP"/>
        </w:rPr>
        <w:t xml:space="preserve">verifiable corporate disclosures (e.g., earnings announcements) </w:t>
      </w:r>
      <w:r w:rsidR="0033670F">
        <w:rPr>
          <w:rFonts w:ascii="Century Schoolbook" w:eastAsiaTheme="minorEastAsia" w:hAnsi="Century Schoolbook" w:cs="Times New Roman"/>
          <w:color w:val="000000"/>
          <w:lang w:eastAsia="ja-JP"/>
        </w:rPr>
        <w:t xml:space="preserve">should </w:t>
      </w:r>
      <w:r w:rsidR="00310EE1">
        <w:rPr>
          <w:rFonts w:ascii="Century Schoolbook" w:eastAsiaTheme="minorEastAsia" w:hAnsi="Century Schoolbook" w:cs="Times New Roman"/>
          <w:color w:val="000000"/>
          <w:lang w:eastAsia="ja-JP"/>
        </w:rPr>
        <w:t>be less valuable</w:t>
      </w:r>
      <w:r w:rsidR="00AF52DC">
        <w:rPr>
          <w:rFonts w:ascii="Century Schoolbook" w:eastAsiaTheme="minorEastAsia" w:hAnsi="Century Schoolbook" w:cs="Times New Roman"/>
          <w:color w:val="000000"/>
          <w:lang w:eastAsia="ja-JP"/>
        </w:rPr>
        <w:t xml:space="preserve"> because </w:t>
      </w:r>
      <w:r w:rsidR="009F7D6E">
        <w:rPr>
          <w:rFonts w:ascii="Century Schoolbook" w:eastAsiaTheme="minorEastAsia" w:hAnsi="Century Schoolbook" w:cs="Times New Roman"/>
          <w:color w:val="000000"/>
          <w:lang w:eastAsia="ja-JP"/>
        </w:rPr>
        <w:t>their incremental information relative to the preceding corporate disclosures is small.</w:t>
      </w:r>
      <w:r w:rsidR="00B34EAA">
        <w:rPr>
          <w:rFonts w:ascii="Century Schoolbook" w:eastAsiaTheme="minorEastAsia" w:hAnsi="Century Schoolbook" w:cs="Times New Roman"/>
          <w:color w:val="000000"/>
          <w:lang w:eastAsia="ja-JP"/>
        </w:rPr>
        <w:t xml:space="preserve"> For instance, </w:t>
      </w:r>
      <w:proofErr w:type="spellStart"/>
      <w:r w:rsidR="00B34EAA">
        <w:rPr>
          <w:rFonts w:ascii="Century Schoolbook" w:eastAsiaTheme="minorEastAsia" w:hAnsi="Century Schoolbook" w:cs="Times New Roman"/>
          <w:color w:val="000000"/>
          <w:lang w:eastAsia="ja-JP"/>
        </w:rPr>
        <w:t>Ivkovic</w:t>
      </w:r>
      <w:proofErr w:type="spellEnd"/>
      <w:r w:rsidR="00B34EAA">
        <w:rPr>
          <w:rFonts w:ascii="Century Schoolbook" w:eastAsiaTheme="minorEastAsia" w:hAnsi="Century Schoolbook" w:cs="Times New Roman"/>
          <w:color w:val="000000"/>
          <w:lang w:eastAsia="ja-JP"/>
        </w:rPr>
        <w:t xml:space="preserve"> and </w:t>
      </w:r>
      <w:proofErr w:type="spellStart"/>
      <w:r w:rsidR="00B34EAA">
        <w:rPr>
          <w:rFonts w:ascii="Century Schoolbook" w:eastAsiaTheme="minorEastAsia" w:hAnsi="Century Schoolbook" w:cs="Times New Roman"/>
          <w:color w:val="000000"/>
          <w:lang w:eastAsia="ja-JP"/>
        </w:rPr>
        <w:t>Jegadeesh</w:t>
      </w:r>
      <w:proofErr w:type="spellEnd"/>
      <w:r w:rsidR="00B34EAA">
        <w:rPr>
          <w:rFonts w:ascii="Century Schoolbook" w:eastAsiaTheme="minorEastAsia" w:hAnsi="Century Schoolbook" w:cs="Times New Roman"/>
          <w:color w:val="000000"/>
          <w:lang w:eastAsia="ja-JP"/>
        </w:rPr>
        <w:t xml:space="preserve"> (2004) find that recommendation revisions are least informative in the week after earnings announcements. Based on</w:t>
      </w:r>
      <w:r w:rsidR="0033670F">
        <w:rPr>
          <w:rFonts w:ascii="Century Schoolbook" w:eastAsiaTheme="minorEastAsia" w:hAnsi="Century Schoolbook" w:cs="Times New Roman"/>
          <w:color w:val="000000"/>
          <w:lang w:eastAsia="ja-JP"/>
        </w:rPr>
        <w:t xml:space="preserve"> this logic, </w:t>
      </w:r>
      <w:r w:rsidR="00587537" w:rsidRPr="004F5794">
        <w:rPr>
          <w:rFonts w:ascii="Century Schoolbook" w:eastAsiaTheme="minorEastAsia" w:hAnsi="Century Schoolbook" w:cs="Times New Roman"/>
          <w:color w:val="000000"/>
          <w:lang w:eastAsia="ja-JP"/>
        </w:rPr>
        <w:t xml:space="preserve">we </w:t>
      </w:r>
      <w:r w:rsidR="00495A4B">
        <w:rPr>
          <w:rFonts w:ascii="Century Schoolbook" w:eastAsiaTheme="minorEastAsia" w:hAnsi="Century Schoolbook" w:cs="Times New Roman"/>
          <w:color w:val="000000"/>
          <w:lang w:eastAsia="ja-JP"/>
        </w:rPr>
        <w:t>ask: Which types of corporate news do slow- and fast-turnover analysts tend to</w:t>
      </w:r>
      <w:r w:rsidR="009353FC">
        <w:rPr>
          <w:rFonts w:ascii="Century Schoolbook" w:eastAsiaTheme="minorEastAsia" w:hAnsi="Century Schoolbook" w:cs="Times New Roman"/>
          <w:color w:val="000000"/>
          <w:lang w:eastAsia="ja-JP"/>
        </w:rPr>
        <w:t xml:space="preserve"> follow </w:t>
      </w:r>
      <w:r w:rsidR="00B34EAA">
        <w:rPr>
          <w:rFonts w:ascii="Century Schoolbook" w:eastAsiaTheme="minorEastAsia" w:hAnsi="Century Schoolbook" w:cs="Times New Roman"/>
          <w:color w:val="000000"/>
          <w:lang w:eastAsia="ja-JP"/>
        </w:rPr>
        <w:t>when they revise recommendations?</w:t>
      </w:r>
    </w:p>
    <w:p w14:paraId="34394948" w14:textId="2F634427" w:rsidR="0022062B" w:rsidRPr="000054D6" w:rsidRDefault="00E55AF9" w:rsidP="00A00DFF">
      <w:pPr>
        <w:spacing w:line="480" w:lineRule="auto"/>
        <w:ind w:firstLine="284"/>
        <w:jc w:val="both"/>
        <w:rPr>
          <w:rFonts w:ascii="Century Schoolbook" w:hAnsi="Century Schoolbook" w:cs="Times New Roman"/>
        </w:rPr>
      </w:pPr>
      <w:r w:rsidRPr="000054D6">
        <w:rPr>
          <w:rFonts w:ascii="Century Schoolbook" w:hAnsi="Century Schoolbook" w:cs="Times New Roman"/>
        </w:rPr>
        <w:t xml:space="preserve">In order to study the different types of news that analysts </w:t>
      </w:r>
      <w:r w:rsidR="00B34EAA" w:rsidRPr="000054D6">
        <w:rPr>
          <w:rFonts w:ascii="Century Schoolbook" w:hAnsi="Century Schoolbook" w:cs="Times New Roman"/>
        </w:rPr>
        <w:t xml:space="preserve">follow when making </w:t>
      </w:r>
      <w:r w:rsidRPr="000054D6">
        <w:rPr>
          <w:rFonts w:ascii="Century Schoolbook" w:hAnsi="Century Schoolbook" w:cs="Times New Roman"/>
        </w:rPr>
        <w:t xml:space="preserve">their </w:t>
      </w:r>
      <w:r w:rsidR="00B34EAA" w:rsidRPr="000054D6">
        <w:rPr>
          <w:rFonts w:ascii="Century Schoolbook" w:hAnsi="Century Schoolbook" w:cs="Times New Roman"/>
        </w:rPr>
        <w:t>recommendation</w:t>
      </w:r>
      <w:r w:rsidR="00785ACA" w:rsidRPr="000054D6">
        <w:rPr>
          <w:rFonts w:ascii="Century Schoolbook" w:hAnsi="Century Schoolbook" w:cs="Times New Roman"/>
        </w:rPr>
        <w:t>s</w:t>
      </w:r>
      <w:r w:rsidRPr="000054D6">
        <w:rPr>
          <w:rFonts w:ascii="Century Schoolbook" w:hAnsi="Century Schoolbook" w:cs="Times New Roman"/>
        </w:rPr>
        <w:t xml:space="preserve">, it is critical to obtain a fine classification of news. For this reason, our main source for </w:t>
      </w:r>
      <w:r w:rsidR="001F0C50" w:rsidRPr="000054D6">
        <w:rPr>
          <w:rFonts w:ascii="Century Schoolbook" w:hAnsi="Century Schoolbook" w:cs="Times New Roman"/>
        </w:rPr>
        <w:t>news flows is the Capital IQ (CIQ) ‘</w:t>
      </w:r>
      <w:r w:rsidRPr="000054D6">
        <w:rPr>
          <w:rFonts w:ascii="Century Schoolbook" w:hAnsi="Century Schoolbook" w:cs="Times New Roman"/>
        </w:rPr>
        <w:t xml:space="preserve">key developments’ </w:t>
      </w:r>
      <w:r w:rsidR="001F0C50" w:rsidRPr="000054D6">
        <w:rPr>
          <w:rFonts w:ascii="Century Schoolbook" w:hAnsi="Century Schoolbook" w:cs="Times New Roman"/>
        </w:rPr>
        <w:t xml:space="preserve">dataset, which is a comprehensive dataset </w:t>
      </w:r>
      <w:r w:rsidRPr="000054D6">
        <w:rPr>
          <w:rFonts w:ascii="Century Schoolbook" w:hAnsi="Century Schoolbook" w:cs="Times New Roman"/>
        </w:rPr>
        <w:t>of firm-level news</w:t>
      </w:r>
      <w:r w:rsidR="000054D6" w:rsidRPr="000054D6">
        <w:rPr>
          <w:rFonts w:ascii="Century Schoolbook" w:hAnsi="Century Schoolbook" w:cs="Times New Roman"/>
        </w:rPr>
        <w:t>.</w:t>
      </w:r>
      <w:r w:rsidRPr="000054D6">
        <w:rPr>
          <w:rFonts w:ascii="Century Schoolbook" w:hAnsi="Century Schoolbook" w:cs="Times New Roman"/>
        </w:rPr>
        <w:t xml:space="preserve"> Importantly for our purpose –and in contrast to other news dataset</w:t>
      </w:r>
      <w:r w:rsidR="001F0C50" w:rsidRPr="000054D6">
        <w:rPr>
          <w:rFonts w:ascii="Century Schoolbook" w:hAnsi="Century Schoolbook" w:cs="Times New Roman"/>
        </w:rPr>
        <w:t xml:space="preserve">s, the CIQ </w:t>
      </w:r>
      <w:r w:rsidRPr="000054D6">
        <w:rPr>
          <w:rFonts w:ascii="Century Schoolbook" w:hAnsi="Century Schoolbook" w:cs="Times New Roman"/>
        </w:rPr>
        <w:t>dataset provide</w:t>
      </w:r>
      <w:r w:rsidR="001F0C50" w:rsidRPr="000054D6">
        <w:rPr>
          <w:rFonts w:ascii="Century Schoolbook" w:hAnsi="Century Schoolbook" w:cs="Times New Roman"/>
        </w:rPr>
        <w:t>s</w:t>
      </w:r>
      <w:r w:rsidRPr="000054D6">
        <w:rPr>
          <w:rFonts w:ascii="Century Schoolbook" w:hAnsi="Century Schoolbook" w:cs="Times New Roman"/>
        </w:rPr>
        <w:t xml:space="preserve"> a very fine </w:t>
      </w:r>
      <w:r w:rsidR="001F0C50" w:rsidRPr="000054D6">
        <w:rPr>
          <w:rFonts w:ascii="Century Schoolbook" w:hAnsi="Century Schoolbook" w:cs="Times New Roman"/>
        </w:rPr>
        <w:t xml:space="preserve">news </w:t>
      </w:r>
      <w:r w:rsidRPr="000054D6">
        <w:rPr>
          <w:rFonts w:ascii="Century Schoolbook" w:hAnsi="Century Schoolbook" w:cs="Times New Roman"/>
        </w:rPr>
        <w:t>classification.</w:t>
      </w:r>
      <w:r w:rsidR="001F0C50" w:rsidRPr="000054D6">
        <w:rPr>
          <w:rStyle w:val="FootnoteReference"/>
          <w:rFonts w:ascii="Century Schoolbook" w:hAnsi="Century Schoolbook" w:cs="Times New Roman"/>
        </w:rPr>
        <w:footnoteReference w:id="20"/>
      </w:r>
      <w:r w:rsidRPr="000054D6">
        <w:rPr>
          <w:rFonts w:ascii="Century Schoolbook" w:hAnsi="Century Schoolbook" w:cs="Times New Roman"/>
        </w:rPr>
        <w:t xml:space="preserve"> </w:t>
      </w:r>
      <w:r w:rsidR="001F0C50" w:rsidRPr="000054D6">
        <w:rPr>
          <w:rFonts w:ascii="Century Schoolbook" w:hAnsi="Century Schoolbook" w:cs="Times New Roman"/>
        </w:rPr>
        <w:t>For comprehensiveness, we supplement the CIQ</w:t>
      </w:r>
      <w:r w:rsidRPr="000054D6">
        <w:rPr>
          <w:rFonts w:ascii="Century Schoolbook" w:hAnsi="Century Schoolbook" w:cs="Times New Roman"/>
        </w:rPr>
        <w:t xml:space="preserve"> dataset</w:t>
      </w:r>
      <w:r w:rsidR="001F0C50" w:rsidRPr="000054D6">
        <w:rPr>
          <w:rFonts w:ascii="Century Schoolbook" w:hAnsi="Century Schoolbook" w:cs="Times New Roman"/>
        </w:rPr>
        <w:t xml:space="preserve"> with earnings announcements and management forecasts from I/B/E/S</w:t>
      </w:r>
      <w:r w:rsidR="008902F7" w:rsidRPr="000054D6">
        <w:rPr>
          <w:rFonts w:ascii="Century Schoolbook" w:hAnsi="Century Schoolbook" w:cs="Times New Roman"/>
        </w:rPr>
        <w:t>.</w:t>
      </w:r>
      <w:r w:rsidR="00653937">
        <w:rPr>
          <w:rFonts w:ascii="Century Schoolbook" w:hAnsi="Century Schoolbook" w:cs="Times New Roman"/>
        </w:rPr>
        <w:t xml:space="preserve"> </w:t>
      </w:r>
      <w:r w:rsidR="003C2D44" w:rsidRPr="000054D6">
        <w:rPr>
          <w:rFonts w:ascii="Century Schoolbook" w:hAnsi="Century Schoolbook" w:cs="Times New Roman"/>
        </w:rPr>
        <w:t xml:space="preserve">The merged database contains </w:t>
      </w:r>
      <w:r w:rsidRPr="000054D6">
        <w:rPr>
          <w:rFonts w:ascii="Century Schoolbook" w:hAnsi="Century Schoolbook" w:cs="Times New Roman"/>
        </w:rPr>
        <w:t xml:space="preserve">98 distinct </w:t>
      </w:r>
      <w:r w:rsidR="003C2D44" w:rsidRPr="000054D6">
        <w:rPr>
          <w:rFonts w:ascii="Century Schoolbook" w:hAnsi="Century Schoolbook" w:cs="Times New Roman"/>
        </w:rPr>
        <w:t>news items</w:t>
      </w:r>
      <w:r w:rsidR="009B3E12">
        <w:rPr>
          <w:rFonts w:ascii="Century Schoolbook" w:hAnsi="Century Schoolbook" w:cs="Times New Roman"/>
        </w:rPr>
        <w:t xml:space="preserve"> from1.14 million news</w:t>
      </w:r>
      <w:r w:rsidR="003C2D44" w:rsidRPr="000054D6">
        <w:rPr>
          <w:rFonts w:ascii="Century Schoolbook" w:hAnsi="Century Schoolbook" w:cs="Times New Roman"/>
        </w:rPr>
        <w:t>.</w:t>
      </w:r>
      <w:r w:rsidRPr="000054D6">
        <w:rPr>
          <w:rFonts w:ascii="Century Schoolbook" w:hAnsi="Century Schoolbook" w:cs="Times New Roman"/>
        </w:rPr>
        <w:t xml:space="preserve"> To make the interpretation easier, we aggregate th</w:t>
      </w:r>
      <w:r w:rsidR="003C2D44" w:rsidRPr="000054D6">
        <w:rPr>
          <w:rFonts w:ascii="Century Schoolbook" w:hAnsi="Century Schoolbook" w:cs="Times New Roman"/>
        </w:rPr>
        <w:t>e</w:t>
      </w:r>
      <w:r w:rsidRPr="000054D6">
        <w:rPr>
          <w:rFonts w:ascii="Century Schoolbook" w:hAnsi="Century Schoolbook" w:cs="Times New Roman"/>
        </w:rPr>
        <w:t xml:space="preserve">se items into 14 </w:t>
      </w:r>
      <w:r w:rsidR="00EC0A7F" w:rsidRPr="000054D6">
        <w:rPr>
          <w:rFonts w:ascii="Century Schoolbook" w:hAnsi="Century Schoolbook" w:cs="Times New Roman"/>
        </w:rPr>
        <w:t>broader topics</w:t>
      </w:r>
      <w:r w:rsidRPr="000054D6">
        <w:rPr>
          <w:rFonts w:ascii="Century Schoolbook" w:hAnsi="Century Schoolbook" w:cs="Times New Roman"/>
        </w:rPr>
        <w:t>.</w:t>
      </w:r>
      <w:r w:rsidRPr="000054D6">
        <w:rPr>
          <w:rFonts w:ascii="Century Schoolbook" w:hAnsi="Century Schoolbook"/>
          <w:vertAlign w:val="superscript"/>
        </w:rPr>
        <w:footnoteReference w:id="21"/>
      </w:r>
      <w:r w:rsidR="003C2D44" w:rsidRPr="000054D6">
        <w:rPr>
          <w:rFonts w:ascii="Century Schoolbook" w:hAnsi="Century Schoolbook" w:cs="Times New Roman"/>
        </w:rPr>
        <w:t xml:space="preserve"> Appendix </w:t>
      </w:r>
      <w:r w:rsidR="008902F7" w:rsidRPr="000054D6">
        <w:rPr>
          <w:rFonts w:ascii="Century Schoolbook" w:hAnsi="Century Schoolbook" w:cs="Times New Roman"/>
        </w:rPr>
        <w:t xml:space="preserve">Table </w:t>
      </w:r>
      <w:r w:rsidR="00556902" w:rsidRPr="000054D6">
        <w:rPr>
          <w:rFonts w:ascii="Century Schoolbook" w:hAnsi="Century Schoolbook" w:cs="Times New Roman"/>
        </w:rPr>
        <w:t xml:space="preserve">A3 </w:t>
      </w:r>
      <w:r w:rsidR="003C2D44" w:rsidRPr="000054D6">
        <w:rPr>
          <w:rFonts w:ascii="Century Schoolbook" w:hAnsi="Century Schoolbook" w:cs="Times New Roman"/>
        </w:rPr>
        <w:t xml:space="preserve">provides </w:t>
      </w:r>
      <w:r w:rsidRPr="000054D6">
        <w:rPr>
          <w:rFonts w:ascii="Century Schoolbook" w:hAnsi="Century Schoolbook" w:cs="Times New Roman"/>
        </w:rPr>
        <w:t xml:space="preserve">the mapping </w:t>
      </w:r>
      <w:r w:rsidR="0022062B" w:rsidRPr="000054D6">
        <w:rPr>
          <w:rFonts w:ascii="Century Schoolbook" w:hAnsi="Century Schoolbook" w:cs="Times New Roman"/>
        </w:rPr>
        <w:t xml:space="preserve">of </w:t>
      </w:r>
      <w:r w:rsidR="003C2D44" w:rsidRPr="000054D6">
        <w:rPr>
          <w:rFonts w:ascii="Century Schoolbook" w:hAnsi="Century Schoolbook" w:cs="Times New Roman"/>
        </w:rPr>
        <w:t xml:space="preserve">news items into the 14 </w:t>
      </w:r>
      <w:r w:rsidR="00EC0A7F" w:rsidRPr="000054D6">
        <w:rPr>
          <w:rFonts w:ascii="Century Schoolbook" w:hAnsi="Century Schoolbook" w:cs="Times New Roman"/>
        </w:rPr>
        <w:t xml:space="preserve">news </w:t>
      </w:r>
      <w:r w:rsidR="00306C03" w:rsidRPr="000054D6">
        <w:rPr>
          <w:rFonts w:ascii="Century Schoolbook" w:hAnsi="Century Schoolbook" w:cs="Times New Roman"/>
        </w:rPr>
        <w:t>topics</w:t>
      </w:r>
      <w:r w:rsidR="0022062B" w:rsidRPr="000054D6">
        <w:rPr>
          <w:rFonts w:ascii="Century Schoolbook" w:hAnsi="Century Schoolbook" w:cs="Times New Roman"/>
        </w:rPr>
        <w:t>.</w:t>
      </w:r>
      <w:r w:rsidR="009B3E12">
        <w:rPr>
          <w:rFonts w:ascii="Century Schoolbook" w:hAnsi="Century Schoolbook" w:cs="Times New Roman"/>
        </w:rPr>
        <w:t xml:space="preserve"> </w:t>
      </w:r>
      <w:r w:rsidR="00FC5F06">
        <w:rPr>
          <w:rFonts w:ascii="Century Schoolbook" w:hAnsi="Century Schoolbook" w:cs="Times New Roman"/>
        </w:rPr>
        <w:t xml:space="preserve">After removing topics that make up less than 1% of the dataset, </w:t>
      </w:r>
      <w:r w:rsidR="00592E3E">
        <w:rPr>
          <w:rFonts w:ascii="Century Schoolbook" w:hAnsi="Century Schoolbook" w:cs="Times New Roman"/>
        </w:rPr>
        <w:t>t</w:t>
      </w:r>
      <w:r w:rsidR="00592E3E" w:rsidRPr="000054D6">
        <w:rPr>
          <w:rFonts w:ascii="Century Schoolbook" w:hAnsi="Century Schoolbook" w:cs="Times New Roman"/>
        </w:rPr>
        <w:t xml:space="preserve">here are 9 news topics that we consider: </w:t>
      </w:r>
      <w:r w:rsidR="00592E3E" w:rsidRPr="000054D6">
        <w:rPr>
          <w:rFonts w:ascii="Century Schoolbook" w:hAnsi="Century Schoolbook" w:cs="Times New Roman"/>
          <w:i/>
        </w:rPr>
        <w:t xml:space="preserve">Earnings announcements; Product market &amp; Operation; Management </w:t>
      </w:r>
      <w:r w:rsidR="00592E3E" w:rsidRPr="000054D6">
        <w:rPr>
          <w:rFonts w:ascii="Century Schoolbook" w:hAnsi="Century Schoolbook" w:cs="Times New Roman"/>
          <w:i/>
        </w:rPr>
        <w:lastRenderedPageBreak/>
        <w:t xml:space="preserve">forecasts; Executive turnover; M&amp;A; Payout policy; Security trading; Securities issuance; </w:t>
      </w:r>
      <w:r w:rsidR="00592E3E" w:rsidRPr="000054D6">
        <w:rPr>
          <w:rFonts w:ascii="Century Schoolbook" w:hAnsi="Century Schoolbook" w:cs="Times New Roman"/>
        </w:rPr>
        <w:t>and</w:t>
      </w:r>
      <w:r w:rsidR="00592E3E" w:rsidRPr="000054D6">
        <w:rPr>
          <w:rFonts w:ascii="Century Schoolbook" w:hAnsi="Century Schoolbook" w:cs="Times New Roman"/>
          <w:i/>
        </w:rPr>
        <w:t xml:space="preserve"> Legal issues.</w:t>
      </w:r>
      <w:r w:rsidR="00913AA2" w:rsidRPr="00913AA2">
        <w:rPr>
          <w:rStyle w:val="FootnoteReference"/>
          <w:rFonts w:ascii="Century Schoolbook" w:hAnsi="Century Schoolbook" w:cs="Times New Roman"/>
        </w:rPr>
        <w:t xml:space="preserve"> </w:t>
      </w:r>
      <w:r w:rsidR="00913AA2">
        <w:rPr>
          <w:rStyle w:val="FootnoteReference"/>
          <w:rFonts w:ascii="Century Schoolbook" w:hAnsi="Century Schoolbook" w:cs="Times New Roman"/>
        </w:rPr>
        <w:footnoteReference w:id="22"/>
      </w:r>
    </w:p>
    <w:p w14:paraId="2FC9E4CA" w14:textId="54CD0C11" w:rsidR="002241B4" w:rsidRDefault="000F74A8" w:rsidP="00A00DFF">
      <w:pPr>
        <w:spacing w:line="480" w:lineRule="auto"/>
        <w:ind w:firstLine="360"/>
        <w:jc w:val="both"/>
        <w:rPr>
          <w:rFonts w:ascii="Century Schoolbook" w:hAnsi="Century Schoolbook" w:cs="Times New Roman"/>
        </w:rPr>
      </w:pPr>
      <w:r w:rsidRPr="004F5794">
        <w:rPr>
          <w:rFonts w:ascii="Century Schoolbook" w:hAnsi="Century Schoolbook" w:cs="Times New Roman"/>
        </w:rPr>
        <w:t>We denote a recommendation change as being related to a specific news if it occurs within a [</w:t>
      </w:r>
      <w:r w:rsidR="00120ABE">
        <w:rPr>
          <w:rFonts w:ascii="Century Schoolbook" w:hAnsi="Century Schoolbook" w:cs="Times New Roman"/>
        </w:rPr>
        <w:t xml:space="preserve">0; </w:t>
      </w:r>
      <w:r w:rsidRPr="004F5794">
        <w:rPr>
          <w:rFonts w:ascii="Century Schoolbook" w:hAnsi="Century Schoolbook" w:cs="Times New Roman"/>
        </w:rPr>
        <w:t xml:space="preserve">+15] day-window after </w:t>
      </w:r>
      <w:r w:rsidR="00C41B2A">
        <w:rPr>
          <w:rFonts w:ascii="Century Schoolbook" w:hAnsi="Century Schoolbook" w:cs="Times New Roman"/>
        </w:rPr>
        <w:t>the news</w:t>
      </w:r>
      <w:r w:rsidRPr="004F5794">
        <w:rPr>
          <w:rFonts w:ascii="Century Schoolbook" w:hAnsi="Century Schoolbook" w:cs="Times New Roman"/>
        </w:rPr>
        <w:t xml:space="preserve"> release. For instance, we consider a recommendation change to be potentially triggered by a</w:t>
      </w:r>
      <w:r w:rsidR="0008270D">
        <w:rPr>
          <w:rFonts w:ascii="Century Schoolbook" w:hAnsi="Century Schoolbook" w:cs="Times New Roman"/>
        </w:rPr>
        <w:t xml:space="preserve"> new product announcement</w:t>
      </w:r>
      <w:r w:rsidRPr="004F5794">
        <w:rPr>
          <w:rFonts w:ascii="Century Schoolbook" w:hAnsi="Century Schoolbook" w:cs="Times New Roman"/>
        </w:rPr>
        <w:t xml:space="preserve"> </w:t>
      </w:r>
      <w:r w:rsidR="00C41B2A">
        <w:rPr>
          <w:rFonts w:ascii="Century Schoolbook" w:hAnsi="Century Schoolbook" w:cs="Times New Roman"/>
        </w:rPr>
        <w:t>if it occurs within 15 days after</w:t>
      </w:r>
      <w:r w:rsidRPr="004F5794">
        <w:rPr>
          <w:rFonts w:ascii="Century Schoolbook" w:hAnsi="Century Schoolbook" w:cs="Times New Roman"/>
        </w:rPr>
        <w:t xml:space="preserve"> its </w:t>
      </w:r>
      <w:r w:rsidR="00C41B2A">
        <w:rPr>
          <w:rFonts w:ascii="Century Schoolbook" w:hAnsi="Century Schoolbook" w:cs="Times New Roman"/>
        </w:rPr>
        <w:t>announcement date</w:t>
      </w:r>
      <w:r w:rsidRPr="004F5794">
        <w:rPr>
          <w:rFonts w:ascii="Century Schoolbook" w:hAnsi="Century Schoolbook" w:cs="Times New Roman"/>
        </w:rPr>
        <w:t>. We choose the 15-day window because some news may take analysts l</w:t>
      </w:r>
      <w:r w:rsidR="00563805">
        <w:rPr>
          <w:rFonts w:ascii="Century Schoolbook" w:hAnsi="Century Schoolbook" w:cs="Times New Roman"/>
        </w:rPr>
        <w:t>onger to distill their contents</w:t>
      </w:r>
      <w:r w:rsidRPr="004F5794">
        <w:rPr>
          <w:rFonts w:ascii="Century Schoolbook" w:hAnsi="Century Schoolbook" w:cs="Times New Roman"/>
        </w:rPr>
        <w:t xml:space="preserve"> as well as </w:t>
      </w:r>
      <w:r w:rsidR="001236C1" w:rsidRPr="004F5794">
        <w:rPr>
          <w:rFonts w:ascii="Century Schoolbook" w:hAnsi="Century Schoolbook" w:cs="Times New Roman"/>
        </w:rPr>
        <w:t>channel checking</w:t>
      </w:r>
      <w:r w:rsidR="00563805">
        <w:rPr>
          <w:rFonts w:ascii="Century Schoolbook" w:hAnsi="Century Schoolbook" w:cs="Times New Roman"/>
        </w:rPr>
        <w:t xml:space="preserve"> their sources.</w:t>
      </w:r>
      <w:r w:rsidR="00526C1A" w:rsidRPr="00526C1A">
        <w:rPr>
          <w:rStyle w:val="FootnoteReference"/>
          <w:rFonts w:ascii="Century Schoolbook" w:hAnsi="Century Schoolbook" w:cs="Times New Roman"/>
        </w:rPr>
        <w:footnoteReference w:id="23"/>
      </w:r>
      <w:r w:rsidRPr="00526C1A">
        <w:rPr>
          <w:rFonts w:ascii="Century Schoolbook" w:hAnsi="Century Schoolbook" w:cs="Times New Roman"/>
        </w:rPr>
        <w:t xml:space="preserve"> </w:t>
      </w:r>
    </w:p>
    <w:p w14:paraId="076CC867" w14:textId="72AE52DD" w:rsidR="00222B07" w:rsidRPr="004F5794" w:rsidRDefault="0080496E" w:rsidP="00A00DFF">
      <w:pPr>
        <w:spacing w:line="480" w:lineRule="auto"/>
        <w:ind w:firstLine="360"/>
        <w:jc w:val="both"/>
        <w:rPr>
          <w:rFonts w:ascii="Century Schoolbook" w:hAnsi="Century Schoolbook" w:cs="Times New Roman"/>
        </w:rPr>
      </w:pPr>
      <w:r>
        <w:rPr>
          <w:rFonts w:ascii="Century Schoolbook" w:hAnsi="Century Schoolbook" w:cs="Times New Roman"/>
        </w:rPr>
        <w:t>We</w:t>
      </w:r>
      <w:r w:rsidR="00222B07" w:rsidRPr="004F5794">
        <w:rPr>
          <w:rFonts w:ascii="Century Schoolbook" w:hAnsi="Century Schoolbook" w:cs="Times New Roman"/>
        </w:rPr>
        <w:t xml:space="preserve"> study </w:t>
      </w:r>
      <w:r w:rsidR="00E75E9D" w:rsidRPr="004F5794">
        <w:rPr>
          <w:rFonts w:ascii="Century Schoolbook" w:hAnsi="Century Schoolbook" w:cs="Times New Roman"/>
        </w:rPr>
        <w:t>the probability of</w:t>
      </w:r>
      <w:r w:rsidR="00222B07" w:rsidRPr="004F5794">
        <w:rPr>
          <w:rFonts w:ascii="Century Schoolbook" w:hAnsi="Century Schoolbook" w:cs="Times New Roman"/>
        </w:rPr>
        <w:t xml:space="preserve"> </w:t>
      </w:r>
      <w:r w:rsidR="00E75E9D" w:rsidRPr="004F5794">
        <w:rPr>
          <w:rFonts w:ascii="Century Schoolbook" w:hAnsi="Century Schoolbook" w:cs="Times New Roman"/>
        </w:rPr>
        <w:t xml:space="preserve">observing </w:t>
      </w:r>
      <w:r w:rsidR="00222B07" w:rsidRPr="004F5794">
        <w:rPr>
          <w:rFonts w:ascii="Century Schoolbook" w:hAnsi="Century Schoolbook" w:cs="Times New Roman"/>
        </w:rPr>
        <w:t xml:space="preserve">recommendation revisions </w:t>
      </w:r>
      <w:r w:rsidR="00E75E9D" w:rsidRPr="004F5794">
        <w:rPr>
          <w:rFonts w:ascii="Century Schoolbook" w:hAnsi="Century Schoolbook" w:cs="Times New Roman"/>
        </w:rPr>
        <w:t xml:space="preserve">made by slow-turnover or fast-turnover analysts </w:t>
      </w:r>
      <w:r w:rsidR="00222B07" w:rsidRPr="004F5794">
        <w:rPr>
          <w:rFonts w:ascii="Century Schoolbook" w:hAnsi="Century Schoolbook" w:cs="Times New Roman"/>
        </w:rPr>
        <w:t>in relation to news flows</w:t>
      </w:r>
      <w:r w:rsidR="00E75E9D" w:rsidRPr="004F5794">
        <w:rPr>
          <w:rFonts w:ascii="Century Schoolbook" w:hAnsi="Century Schoolbook" w:cs="Times New Roman"/>
        </w:rPr>
        <w:t xml:space="preserve">. For </w:t>
      </w:r>
      <w:r w:rsidR="00E75E9D" w:rsidRPr="004F5794">
        <w:rPr>
          <w:rFonts w:ascii="Century Schoolbook" w:hAnsi="Century Schoolbook" w:cs="Times New Roman"/>
          <w:i/>
        </w:rPr>
        <w:t>slow-turnover</w:t>
      </w:r>
      <w:r w:rsidR="00E75E9D" w:rsidRPr="004F5794">
        <w:rPr>
          <w:rFonts w:ascii="Century Schoolbook" w:hAnsi="Century Schoolbook" w:cs="Times New Roman"/>
        </w:rPr>
        <w:t xml:space="preserve"> analysts, we</w:t>
      </w:r>
      <w:r w:rsidR="000F74A8" w:rsidRPr="004F5794">
        <w:rPr>
          <w:rFonts w:ascii="Century Schoolbook" w:hAnsi="Century Schoolbook" w:cs="Times New Roman"/>
        </w:rPr>
        <w:t xml:space="preserve"> </w:t>
      </w:r>
      <w:r w:rsidR="00E75E9D" w:rsidRPr="004F5794">
        <w:rPr>
          <w:rFonts w:ascii="Century Schoolbook" w:hAnsi="Century Schoolbook" w:cs="Times New Roman"/>
        </w:rPr>
        <w:t xml:space="preserve">estimate the following </w:t>
      </w:r>
      <w:r w:rsidR="00B34EAA">
        <w:rPr>
          <w:rFonts w:ascii="Century Schoolbook" w:hAnsi="Century Schoolbook" w:cs="Times New Roman"/>
        </w:rPr>
        <w:t xml:space="preserve">logit </w:t>
      </w:r>
      <w:r w:rsidR="000F74A8" w:rsidRPr="004F5794">
        <w:rPr>
          <w:rFonts w:ascii="Century Schoolbook" w:hAnsi="Century Schoolbook" w:cs="Times New Roman"/>
        </w:rPr>
        <w:t>model</w:t>
      </w:r>
      <w:r w:rsidR="00ED4FB8" w:rsidRPr="004F5794">
        <w:rPr>
          <w:rFonts w:ascii="Century Schoolbook" w:hAnsi="Century Schoolbook" w:cs="Times New Roman"/>
        </w:rPr>
        <w:t xml:space="preserve"> using all recommendation changes in the 2003–2013 sample</w:t>
      </w:r>
      <w:r w:rsidR="000F74A8" w:rsidRPr="004F5794">
        <w:rPr>
          <w:rFonts w:ascii="Century Schoolbook" w:hAnsi="Century Schoolbook" w:cs="Times New Roman"/>
        </w:rPr>
        <w:t>:</w:t>
      </w:r>
    </w:p>
    <w:p w14:paraId="7350D1DC" w14:textId="63BF092B" w:rsidR="00222B07" w:rsidRPr="004F5794" w:rsidRDefault="002406F5" w:rsidP="00A00DFF">
      <w:pPr>
        <w:autoSpaceDE w:val="0"/>
        <w:autoSpaceDN w:val="0"/>
        <w:adjustRightInd w:val="0"/>
        <w:spacing w:after="0" w:line="480" w:lineRule="auto"/>
        <w:jc w:val="right"/>
        <w:rPr>
          <w:rFonts w:ascii="Century Schoolbook" w:eastAsiaTheme="minorEastAsia" w:hAnsi="Century Schoolbook" w:cs="Times New Roman"/>
          <w:noProof/>
          <w:lang w:eastAsia="fr-FR"/>
        </w:rPr>
      </w:pPr>
      <m:oMath>
        <m:func>
          <m:funcPr>
            <m:ctrlPr>
              <w:rPr>
                <w:rFonts w:ascii="Cambria Math" w:hAnsi="Cambria Math" w:cs="Times New Roman"/>
                <w:noProof/>
                <w:lang w:eastAsia="fr-FR"/>
              </w:rPr>
            </m:ctrlPr>
          </m:funcPr>
          <m:fName>
            <m:r>
              <m:rPr>
                <m:sty m:val="p"/>
              </m:rPr>
              <w:rPr>
                <w:rFonts w:ascii="Cambria Math" w:hAnsi="Cambria Math" w:cs="Times New Roman"/>
                <w:noProof/>
                <w:lang w:eastAsia="fr-FR"/>
              </w:rPr>
              <m:t>Pr</m:t>
            </m:r>
          </m:fName>
          <m:e>
            <m:d>
              <m:dPr>
                <m:ctrlPr>
                  <w:rPr>
                    <w:rFonts w:ascii="Cambria Math" w:hAnsi="Cambria Math" w:cs="Times New Roman"/>
                    <w:i/>
                    <w:noProof/>
                    <w:lang w:eastAsia="fr-FR"/>
                  </w:rPr>
                </m:ctrlPr>
              </m:dPr>
              <m:e>
                <m:sSub>
                  <m:sSubPr>
                    <m:ctrlPr>
                      <w:rPr>
                        <w:rFonts w:ascii="Cambria Math" w:hAnsi="Cambria Math" w:cs="Times New Roman"/>
                        <w:i/>
                        <w:noProof/>
                        <w:lang w:eastAsia="fr-FR"/>
                      </w:rPr>
                    </m:ctrlPr>
                  </m:sSubPr>
                  <m:e>
                    <m:r>
                      <w:rPr>
                        <w:rFonts w:ascii="Cambria Math" w:hAnsi="Cambria Math" w:cs="Times New Roman"/>
                        <w:noProof/>
                        <w:lang w:eastAsia="fr-FR"/>
                      </w:rPr>
                      <m:t>Slow</m:t>
                    </m:r>
                  </m:e>
                  <m:sub>
                    <m:r>
                      <w:rPr>
                        <w:rFonts w:ascii="Cambria Math" w:hAnsi="Cambria Math" w:cs="Times New Roman"/>
                        <w:noProof/>
                        <w:lang w:eastAsia="fr-FR"/>
                      </w:rPr>
                      <m:t>i</m:t>
                    </m:r>
                  </m:sub>
                </m:sSub>
                <m:r>
                  <w:rPr>
                    <w:rFonts w:ascii="Cambria Math" w:hAnsi="Cambria Math" w:cs="Times New Roman"/>
                    <w:noProof/>
                    <w:lang w:eastAsia="fr-FR"/>
                  </w:rPr>
                  <m:t>=1</m:t>
                </m:r>
              </m:e>
            </m:d>
          </m:e>
        </m:func>
        <m:r>
          <w:rPr>
            <w:rFonts w:ascii="Cambria Math" w:hAnsi="Cambria Math" w:cs="Times New Roman"/>
            <w:noProof/>
            <w:lang w:eastAsia="fr-FR"/>
          </w:rPr>
          <m:t>=α+</m:t>
        </m:r>
        <m:sSub>
          <m:sSubPr>
            <m:ctrlPr>
              <w:rPr>
                <w:rFonts w:ascii="Cambria Math" w:hAnsi="Cambria Math" w:cs="Times New Roman"/>
                <w:i/>
                <w:noProof/>
                <w:lang w:eastAsia="fr-FR"/>
              </w:rPr>
            </m:ctrlPr>
          </m:sSubPr>
          <m:e>
            <m:r>
              <w:rPr>
                <w:rFonts w:ascii="Cambria Math" w:hAnsi="Cambria Math" w:cs="Times New Roman"/>
                <w:noProof/>
                <w:lang w:eastAsia="fr-FR"/>
              </w:rPr>
              <m:t>β</m:t>
            </m:r>
          </m:e>
          <m:sub>
            <m:r>
              <w:rPr>
                <w:rFonts w:ascii="Cambria Math" w:hAnsi="Cambria Math" w:cs="Times New Roman"/>
                <w:noProof/>
                <w:lang w:eastAsia="fr-FR"/>
              </w:rPr>
              <m:t>1</m:t>
            </m:r>
          </m:sub>
        </m:sSub>
        <m:r>
          <w:rPr>
            <w:rFonts w:ascii="Cambria Math" w:hAnsi="Cambria Math" w:cs="Times New Roman"/>
            <w:noProof/>
            <w:lang w:eastAsia="fr-FR"/>
          </w:rPr>
          <m:t>.</m:t>
        </m:r>
        <m:sSub>
          <m:sSubPr>
            <m:ctrlPr>
              <w:rPr>
                <w:rFonts w:ascii="Cambria Math" w:hAnsi="Cambria Math" w:cs="Times New Roman"/>
                <w:i/>
                <w:noProof/>
                <w:lang w:eastAsia="fr-FR"/>
              </w:rPr>
            </m:ctrlPr>
          </m:sSubPr>
          <m:e>
            <m:r>
              <w:rPr>
                <w:rFonts w:ascii="Cambria Math" w:hAnsi="Cambria Math" w:cs="Times New Roman"/>
                <w:noProof/>
                <w:lang w:eastAsia="fr-FR"/>
              </w:rPr>
              <m:t>Earnings</m:t>
            </m:r>
          </m:e>
          <m:sub>
            <m:r>
              <w:rPr>
                <w:rFonts w:ascii="Cambria Math" w:hAnsi="Cambria Math" w:cs="Times New Roman"/>
                <w:noProof/>
                <w:lang w:eastAsia="fr-FR"/>
              </w:rPr>
              <m:t>i</m:t>
            </m:r>
          </m:sub>
        </m:sSub>
        <m:r>
          <w:rPr>
            <w:rFonts w:ascii="Cambria Math" w:hAnsi="Cambria Math" w:cs="Times New Roman"/>
            <w:noProof/>
            <w:lang w:eastAsia="fr-FR"/>
          </w:rPr>
          <m:t>+</m:t>
        </m:r>
        <m:sSub>
          <m:sSubPr>
            <m:ctrlPr>
              <w:rPr>
                <w:rFonts w:ascii="Cambria Math" w:hAnsi="Cambria Math" w:cs="Times New Roman"/>
                <w:i/>
                <w:noProof/>
                <w:lang w:eastAsia="fr-FR"/>
              </w:rPr>
            </m:ctrlPr>
          </m:sSubPr>
          <m:e>
            <m:r>
              <w:rPr>
                <w:rFonts w:ascii="Cambria Math" w:hAnsi="Cambria Math" w:cs="Times New Roman"/>
                <w:noProof/>
                <w:lang w:eastAsia="fr-FR"/>
              </w:rPr>
              <m:t>β</m:t>
            </m:r>
          </m:e>
          <m:sub>
            <m:r>
              <w:rPr>
                <w:rFonts w:ascii="Cambria Math" w:hAnsi="Cambria Math" w:cs="Times New Roman"/>
                <w:noProof/>
                <w:lang w:eastAsia="fr-FR"/>
              </w:rPr>
              <m:t>2</m:t>
            </m:r>
          </m:sub>
        </m:sSub>
        <m:r>
          <w:rPr>
            <w:rFonts w:ascii="Cambria Math" w:hAnsi="Cambria Math" w:cs="Times New Roman"/>
            <w:noProof/>
            <w:lang w:eastAsia="fr-FR"/>
          </w:rPr>
          <m:t>.</m:t>
        </m:r>
        <m:sSub>
          <m:sSubPr>
            <m:ctrlPr>
              <w:rPr>
                <w:rFonts w:ascii="Cambria Math" w:hAnsi="Cambria Math" w:cs="Times New Roman"/>
                <w:i/>
                <w:noProof/>
                <w:lang w:eastAsia="fr-FR"/>
              </w:rPr>
            </m:ctrlPr>
          </m:sSubPr>
          <m:e>
            <m:r>
              <w:rPr>
                <w:rFonts w:ascii="Cambria Math" w:hAnsi="Cambria Math" w:cs="Times New Roman"/>
                <w:noProof/>
                <w:lang w:eastAsia="fr-FR"/>
              </w:rPr>
              <m:t>Product Market</m:t>
            </m:r>
          </m:e>
          <m:sub>
            <m:r>
              <w:rPr>
                <w:rFonts w:ascii="Cambria Math" w:hAnsi="Cambria Math" w:cs="Times New Roman"/>
                <w:noProof/>
                <w:lang w:eastAsia="fr-FR"/>
              </w:rPr>
              <m:t>i</m:t>
            </m:r>
          </m:sub>
        </m:sSub>
        <m:r>
          <w:rPr>
            <w:rFonts w:ascii="Cambria Math" w:hAnsi="Cambria Math" w:cs="Times New Roman"/>
            <w:noProof/>
            <w:lang w:eastAsia="fr-FR"/>
          </w:rPr>
          <m:t>+</m:t>
        </m:r>
        <m:sSub>
          <m:sSubPr>
            <m:ctrlPr>
              <w:rPr>
                <w:rFonts w:ascii="Cambria Math" w:hAnsi="Cambria Math" w:cs="Times New Roman"/>
                <w:i/>
                <w:noProof/>
                <w:lang w:eastAsia="fr-FR"/>
              </w:rPr>
            </m:ctrlPr>
          </m:sSubPr>
          <m:e>
            <m:r>
              <w:rPr>
                <w:rFonts w:ascii="Cambria Math" w:hAnsi="Cambria Math" w:cs="Times New Roman"/>
                <w:noProof/>
                <w:lang w:eastAsia="fr-FR"/>
              </w:rPr>
              <m:t>β</m:t>
            </m:r>
          </m:e>
          <m:sub>
            <m:r>
              <w:rPr>
                <w:rFonts w:ascii="Cambria Math" w:hAnsi="Cambria Math" w:cs="Times New Roman"/>
                <w:noProof/>
                <w:lang w:eastAsia="fr-FR"/>
              </w:rPr>
              <m:t>3</m:t>
            </m:r>
          </m:sub>
        </m:sSub>
        <m:r>
          <w:rPr>
            <w:rFonts w:ascii="Cambria Math" w:hAnsi="Cambria Math" w:cs="Times New Roman"/>
            <w:noProof/>
            <w:lang w:eastAsia="fr-FR"/>
          </w:rPr>
          <m:t>.</m:t>
        </m:r>
        <m:sSub>
          <m:sSubPr>
            <m:ctrlPr>
              <w:rPr>
                <w:rFonts w:ascii="Cambria Math" w:hAnsi="Cambria Math" w:cs="Times New Roman"/>
                <w:i/>
                <w:noProof/>
                <w:lang w:eastAsia="fr-FR"/>
              </w:rPr>
            </m:ctrlPr>
          </m:sSubPr>
          <m:e>
            <m:r>
              <w:rPr>
                <w:rFonts w:ascii="Cambria Math" w:hAnsi="Cambria Math" w:cs="Times New Roman"/>
                <w:noProof/>
                <w:lang w:eastAsia="fr-FR"/>
              </w:rPr>
              <m:t>M&amp;A</m:t>
            </m:r>
          </m:e>
          <m:sub>
            <m:r>
              <w:rPr>
                <w:rFonts w:ascii="Cambria Math" w:hAnsi="Cambria Math" w:cs="Times New Roman"/>
                <w:noProof/>
                <w:lang w:eastAsia="fr-FR"/>
              </w:rPr>
              <m:t>i</m:t>
            </m:r>
          </m:sub>
        </m:sSub>
        <m:r>
          <w:rPr>
            <w:rFonts w:ascii="Cambria Math" w:hAnsi="Cambria Math" w:cs="Times New Roman"/>
            <w:noProof/>
            <w:lang w:eastAsia="fr-FR"/>
          </w:rPr>
          <m:t>+⋯+</m:t>
        </m:r>
        <m:sSub>
          <m:sSubPr>
            <m:ctrlPr>
              <w:rPr>
                <w:rFonts w:ascii="Cambria Math" w:hAnsi="Cambria Math" w:cs="Times New Roman"/>
                <w:i/>
                <w:noProof/>
                <w:lang w:eastAsia="fr-FR"/>
              </w:rPr>
            </m:ctrlPr>
          </m:sSubPr>
          <m:e>
            <m:r>
              <w:rPr>
                <w:rFonts w:ascii="Cambria Math" w:hAnsi="Cambria Math" w:cs="Times New Roman"/>
                <w:noProof/>
                <w:lang w:eastAsia="fr-FR"/>
              </w:rPr>
              <m:t>ε</m:t>
            </m:r>
          </m:e>
          <m:sub>
            <m:r>
              <w:rPr>
                <w:rFonts w:ascii="Cambria Math" w:hAnsi="Cambria Math" w:cs="Times New Roman"/>
                <w:noProof/>
                <w:lang w:eastAsia="fr-FR"/>
              </w:rPr>
              <m:t>i</m:t>
            </m:r>
          </m:sub>
        </m:sSub>
        <m:r>
          <w:rPr>
            <w:rFonts w:ascii="Cambria Math" w:hAnsi="Cambria Math" w:cs="Times New Roman"/>
            <w:noProof/>
            <w:lang w:eastAsia="fr-FR"/>
          </w:rPr>
          <m:t>,</m:t>
        </m:r>
      </m:oMath>
      <w:r w:rsidR="00974E6E" w:rsidRPr="004F5794">
        <w:rPr>
          <w:rFonts w:ascii="Century Schoolbook" w:eastAsiaTheme="minorEastAsia" w:hAnsi="Century Schoolbook" w:cs="Times New Roman"/>
          <w:noProof/>
          <w:lang w:eastAsia="fr-FR"/>
        </w:rPr>
        <w:t xml:space="preserve">      (</w:t>
      </w:r>
      <w:r w:rsidR="00913AA2">
        <w:rPr>
          <w:rFonts w:ascii="Century Schoolbook" w:eastAsiaTheme="minorEastAsia" w:hAnsi="Century Schoolbook" w:cs="Times New Roman"/>
          <w:noProof/>
          <w:lang w:eastAsia="fr-FR"/>
        </w:rPr>
        <w:t>3</w:t>
      </w:r>
      <w:r w:rsidR="00974E6E" w:rsidRPr="004F5794">
        <w:rPr>
          <w:rFonts w:ascii="Century Schoolbook" w:eastAsiaTheme="minorEastAsia" w:hAnsi="Century Schoolbook" w:cs="Times New Roman"/>
          <w:noProof/>
          <w:lang w:eastAsia="fr-FR"/>
        </w:rPr>
        <w:t>)</w:t>
      </w:r>
    </w:p>
    <w:p w14:paraId="3A447FFF" w14:textId="4FA19230" w:rsidR="00EB0691" w:rsidRDefault="00E75E9D" w:rsidP="00EB0691">
      <w:pPr>
        <w:autoSpaceDE w:val="0"/>
        <w:autoSpaceDN w:val="0"/>
        <w:adjustRightInd w:val="0"/>
        <w:spacing w:after="0" w:line="480" w:lineRule="auto"/>
        <w:jc w:val="both"/>
        <w:rPr>
          <w:rFonts w:ascii="Century Schoolbook" w:hAnsi="Century Schoolbook" w:cs="Times New Roman"/>
        </w:rPr>
      </w:pPr>
      <w:r w:rsidRPr="004F5794">
        <w:rPr>
          <w:rFonts w:ascii="Century Schoolbook" w:eastAsiaTheme="minorEastAsia" w:hAnsi="Century Schoolbook" w:cs="Times New Roman"/>
          <w:noProof/>
          <w:lang w:eastAsia="fr-FR"/>
        </w:rPr>
        <w:t>where</w:t>
      </w:r>
      <w:r w:rsidR="004B77E6" w:rsidRPr="004F5794">
        <w:rPr>
          <w:rFonts w:ascii="Century Schoolbook" w:eastAsiaTheme="minorEastAsia" w:hAnsi="Century Schoolbook" w:cs="Times New Roman"/>
          <w:noProof/>
          <w:lang w:eastAsia="fr-FR"/>
        </w:rPr>
        <w:t xml:space="preserve"> the dependent variable in the logit function is </w:t>
      </w:r>
      <w:r w:rsidRPr="004F5794">
        <w:rPr>
          <w:rFonts w:ascii="Century Schoolbook" w:eastAsiaTheme="minorEastAsia" w:hAnsi="Century Schoolbook" w:cs="Times New Roman"/>
          <w:noProof/>
          <w:lang w:eastAsia="fr-FR"/>
        </w:rPr>
        <w:t>equal to 1 if the recommendation change is made by a slow-turn</w:t>
      </w:r>
      <w:r w:rsidR="00974E6E" w:rsidRPr="004F5794">
        <w:rPr>
          <w:rFonts w:ascii="Century Schoolbook" w:eastAsiaTheme="minorEastAsia" w:hAnsi="Century Schoolbook" w:cs="Times New Roman"/>
          <w:noProof/>
          <w:lang w:eastAsia="fr-FR"/>
        </w:rPr>
        <w:t xml:space="preserve">over analyst, and 0 otherwise. We include 9 </w:t>
      </w:r>
      <w:r w:rsidR="00617B21">
        <w:rPr>
          <w:rFonts w:ascii="Century Schoolbook" w:eastAsiaTheme="minorEastAsia" w:hAnsi="Century Schoolbook" w:cs="Times New Roman"/>
          <w:noProof/>
          <w:lang w:eastAsia="fr-FR"/>
        </w:rPr>
        <w:t>dummy</w:t>
      </w:r>
      <w:r w:rsidR="00617B21" w:rsidRPr="004F5794">
        <w:rPr>
          <w:rFonts w:ascii="Century Schoolbook" w:eastAsiaTheme="minorEastAsia" w:hAnsi="Century Schoolbook" w:cs="Times New Roman"/>
          <w:noProof/>
          <w:lang w:eastAsia="fr-FR"/>
        </w:rPr>
        <w:t xml:space="preserve"> </w:t>
      </w:r>
      <w:r w:rsidR="00974E6E" w:rsidRPr="004F5794">
        <w:rPr>
          <w:rFonts w:ascii="Century Schoolbook" w:eastAsiaTheme="minorEastAsia" w:hAnsi="Century Schoolbook" w:cs="Times New Roman"/>
          <w:noProof/>
          <w:lang w:eastAsia="fr-FR"/>
        </w:rPr>
        <w:t xml:space="preserve">variables each indicating whether the recommendation change is preceded by one of the 9 news topics that we consider. </w:t>
      </w:r>
      <w:r w:rsidR="004D61DF" w:rsidRPr="004F5794">
        <w:rPr>
          <w:rFonts w:ascii="Century Schoolbook" w:eastAsiaTheme="minorEastAsia" w:hAnsi="Century Schoolbook" w:cs="Times New Roman"/>
          <w:noProof/>
          <w:lang w:eastAsia="fr-FR"/>
        </w:rPr>
        <w:t xml:space="preserve">For </w:t>
      </w:r>
      <w:r w:rsidR="004D61DF" w:rsidRPr="004F5794">
        <w:rPr>
          <w:rFonts w:ascii="Century Schoolbook" w:eastAsiaTheme="minorEastAsia" w:hAnsi="Century Schoolbook" w:cs="Times New Roman"/>
          <w:i/>
          <w:noProof/>
          <w:lang w:eastAsia="fr-FR"/>
        </w:rPr>
        <w:t xml:space="preserve">fast-turnover </w:t>
      </w:r>
      <w:r w:rsidR="004D61DF" w:rsidRPr="004F5794">
        <w:rPr>
          <w:rFonts w:ascii="Century Schoolbook" w:eastAsiaTheme="minorEastAsia" w:hAnsi="Century Schoolbook" w:cs="Times New Roman"/>
          <w:noProof/>
          <w:lang w:eastAsia="fr-FR"/>
        </w:rPr>
        <w:t>analysts, we estimate a logit</w:t>
      </w:r>
      <w:r w:rsidR="00974E6E" w:rsidRPr="004F5794">
        <w:rPr>
          <w:rFonts w:ascii="Century Schoolbook" w:eastAsiaTheme="minorEastAsia" w:hAnsi="Century Schoolbook" w:cs="Times New Roman"/>
          <w:noProof/>
          <w:lang w:eastAsia="fr-FR"/>
        </w:rPr>
        <w:t xml:space="preserve"> </w:t>
      </w:r>
      <w:r w:rsidR="004D61DF" w:rsidRPr="004F5794">
        <w:rPr>
          <w:rFonts w:ascii="Century Schoolbook" w:eastAsiaTheme="minorEastAsia" w:hAnsi="Century Schoolbook" w:cs="Times New Roman"/>
          <w:noProof/>
          <w:lang w:eastAsia="fr-FR"/>
        </w:rPr>
        <w:t>model similar to that in Equation (</w:t>
      </w:r>
      <w:r w:rsidR="00913AA2">
        <w:rPr>
          <w:rFonts w:ascii="Century Schoolbook" w:eastAsiaTheme="minorEastAsia" w:hAnsi="Century Schoolbook" w:cs="Times New Roman"/>
          <w:noProof/>
          <w:lang w:eastAsia="fr-FR"/>
        </w:rPr>
        <w:t>3</w:t>
      </w:r>
      <w:r w:rsidR="004D61DF" w:rsidRPr="004F5794">
        <w:rPr>
          <w:rFonts w:ascii="Century Schoolbook" w:eastAsiaTheme="minorEastAsia" w:hAnsi="Century Schoolbook" w:cs="Times New Roman"/>
          <w:noProof/>
          <w:lang w:eastAsia="fr-FR"/>
        </w:rPr>
        <w:t xml:space="preserve">), but with the dependent indicator variable equal to 1 if the recommendation change is made by a </w:t>
      </w:r>
      <w:r w:rsidR="008F1644">
        <w:rPr>
          <w:rFonts w:ascii="Century Schoolbook" w:eastAsiaTheme="minorEastAsia" w:hAnsi="Century Schoolbook" w:cs="Times New Roman"/>
          <w:noProof/>
          <w:lang w:eastAsia="fr-FR"/>
        </w:rPr>
        <w:t>fast</w:t>
      </w:r>
      <w:r w:rsidR="004D61DF" w:rsidRPr="004F5794">
        <w:rPr>
          <w:rFonts w:ascii="Century Schoolbook" w:eastAsiaTheme="minorEastAsia" w:hAnsi="Century Schoolbook" w:cs="Times New Roman"/>
          <w:noProof/>
          <w:lang w:eastAsia="fr-FR"/>
        </w:rPr>
        <w:t xml:space="preserve">-turnover analyst, and 0 otherwise. Year and industry-fixed effects are included in the model. </w:t>
      </w:r>
      <w:r w:rsidR="003107DA" w:rsidRPr="00464064">
        <w:rPr>
          <w:rFonts w:ascii="Century Schoolbook" w:hAnsi="Century Schoolbook" w:cs="Times New Roman"/>
        </w:rPr>
        <w:t xml:space="preserve">Table </w:t>
      </w:r>
      <w:r w:rsidR="00556902" w:rsidRPr="00464064">
        <w:rPr>
          <w:rFonts w:ascii="Century Schoolbook" w:hAnsi="Century Schoolbook" w:cs="Times New Roman"/>
        </w:rPr>
        <w:t xml:space="preserve">7 </w:t>
      </w:r>
      <w:r w:rsidR="003107DA" w:rsidRPr="00464064">
        <w:rPr>
          <w:rFonts w:ascii="Century Schoolbook" w:hAnsi="Century Schoolbook" w:cs="Times New Roman"/>
        </w:rPr>
        <w:t>reports</w:t>
      </w:r>
      <w:r w:rsidR="003107DA" w:rsidRPr="004F5794">
        <w:rPr>
          <w:rFonts w:ascii="Century Schoolbook" w:hAnsi="Century Schoolbook" w:cs="Times New Roman"/>
        </w:rPr>
        <w:t xml:space="preserve"> </w:t>
      </w:r>
      <w:r w:rsidR="00EB0691">
        <w:rPr>
          <w:rFonts w:ascii="Century Schoolbook" w:hAnsi="Century Schoolbook" w:cs="Times New Roman"/>
        </w:rPr>
        <w:t xml:space="preserve">the </w:t>
      </w:r>
      <w:r w:rsidR="00035DD5">
        <w:rPr>
          <w:rFonts w:ascii="Century Schoolbook" w:hAnsi="Century Schoolbook" w:cs="Times New Roman"/>
        </w:rPr>
        <w:t xml:space="preserve">estimation </w:t>
      </w:r>
      <w:r w:rsidR="003107DA" w:rsidRPr="004F5794">
        <w:rPr>
          <w:rFonts w:ascii="Century Schoolbook" w:hAnsi="Century Schoolbook" w:cs="Times New Roman"/>
        </w:rPr>
        <w:t xml:space="preserve">results. </w:t>
      </w:r>
      <w:r w:rsidR="00DF38DB" w:rsidRPr="004F5794">
        <w:rPr>
          <w:rFonts w:ascii="Century Schoolbook" w:hAnsi="Century Schoolbook" w:cs="Times New Roman"/>
        </w:rPr>
        <w:t>Column</w:t>
      </w:r>
      <w:r w:rsidR="00D96EBE" w:rsidRPr="004F5794">
        <w:rPr>
          <w:rFonts w:ascii="Century Schoolbook" w:hAnsi="Century Schoolbook" w:cs="Times New Roman"/>
        </w:rPr>
        <w:t>s</w:t>
      </w:r>
      <w:r w:rsidR="00DF38DB" w:rsidRPr="004F5794">
        <w:rPr>
          <w:rFonts w:ascii="Century Schoolbook" w:hAnsi="Century Schoolbook" w:cs="Times New Roman"/>
        </w:rPr>
        <w:t xml:space="preserve"> (1) </w:t>
      </w:r>
      <w:r w:rsidR="00445F78">
        <w:rPr>
          <w:rFonts w:ascii="Century Schoolbook" w:hAnsi="Century Schoolbook" w:cs="Times New Roman"/>
        </w:rPr>
        <w:t xml:space="preserve">and (2) report </w:t>
      </w:r>
      <w:r w:rsidR="00D96EBE" w:rsidRPr="004F5794">
        <w:rPr>
          <w:rFonts w:ascii="Century Schoolbook" w:hAnsi="Century Schoolbook" w:cs="Times New Roman"/>
        </w:rPr>
        <w:t xml:space="preserve">results for slow- and fast-turnover analysts, respectively. </w:t>
      </w:r>
    </w:p>
    <w:p w14:paraId="22D749F7" w14:textId="0969C8AE" w:rsidR="00EA03D4" w:rsidRPr="004F5794" w:rsidRDefault="008421A2" w:rsidP="00EB0691">
      <w:pPr>
        <w:autoSpaceDE w:val="0"/>
        <w:autoSpaceDN w:val="0"/>
        <w:adjustRightInd w:val="0"/>
        <w:spacing w:after="0" w:line="480" w:lineRule="auto"/>
        <w:ind w:firstLine="360"/>
        <w:jc w:val="both"/>
        <w:rPr>
          <w:rFonts w:ascii="Century Schoolbook" w:hAnsi="Century Schoolbook" w:cs="Times New Roman"/>
        </w:rPr>
      </w:pPr>
      <w:r w:rsidRPr="004F5794">
        <w:rPr>
          <w:rFonts w:ascii="Century Schoolbook" w:hAnsi="Century Schoolbook" w:cs="Times New Roman"/>
        </w:rPr>
        <w:t xml:space="preserve">We </w:t>
      </w:r>
      <w:r w:rsidR="00553B4F" w:rsidRPr="004F5794">
        <w:rPr>
          <w:rFonts w:ascii="Century Schoolbook" w:hAnsi="Century Schoolbook" w:cs="Times New Roman"/>
        </w:rPr>
        <w:t xml:space="preserve">observe </w:t>
      </w:r>
      <w:r w:rsidR="00445F78">
        <w:rPr>
          <w:rFonts w:ascii="Century Schoolbook" w:hAnsi="Century Schoolbook" w:cs="Times New Roman"/>
        </w:rPr>
        <w:t>a distinct</w:t>
      </w:r>
      <w:r w:rsidR="00C9244E" w:rsidRPr="004F5794">
        <w:rPr>
          <w:rFonts w:ascii="Century Schoolbook" w:hAnsi="Century Schoolbook" w:cs="Times New Roman"/>
        </w:rPr>
        <w:t xml:space="preserve"> </w:t>
      </w:r>
      <w:r w:rsidRPr="004F5794">
        <w:rPr>
          <w:rFonts w:ascii="Century Schoolbook" w:hAnsi="Century Schoolbook" w:cs="Times New Roman"/>
        </w:rPr>
        <w:t>pattern in the type of corporate news that fast- versus slow-turnover analysts</w:t>
      </w:r>
      <w:r w:rsidR="00B34EAA">
        <w:rPr>
          <w:rFonts w:ascii="Century Schoolbook" w:hAnsi="Century Schoolbook" w:cs="Times New Roman"/>
        </w:rPr>
        <w:t xml:space="preserve"> follow when they make </w:t>
      </w:r>
      <w:r w:rsidRPr="004F5794">
        <w:rPr>
          <w:rFonts w:ascii="Century Schoolbook" w:hAnsi="Century Schoolbook" w:cs="Times New Roman"/>
        </w:rPr>
        <w:t xml:space="preserve">recommendations </w:t>
      </w:r>
      <w:r w:rsidR="00B34EAA">
        <w:rPr>
          <w:rFonts w:ascii="Century Schoolbook" w:hAnsi="Century Schoolbook" w:cs="Times New Roman"/>
        </w:rPr>
        <w:t>revisions</w:t>
      </w:r>
      <w:r w:rsidRPr="004F5794">
        <w:rPr>
          <w:rFonts w:ascii="Century Schoolbook" w:hAnsi="Century Schoolbook" w:cs="Times New Roman"/>
        </w:rPr>
        <w:t xml:space="preserve">. </w:t>
      </w:r>
      <w:r w:rsidR="00553B4F" w:rsidRPr="004F5794">
        <w:rPr>
          <w:rFonts w:ascii="Century Schoolbook" w:hAnsi="Century Schoolbook" w:cs="Times New Roman"/>
        </w:rPr>
        <w:t xml:space="preserve">We find strong evidence that fast-turnover analysts tend to revise recommendations following </w:t>
      </w:r>
      <w:r w:rsidR="0023770D" w:rsidRPr="004F5794">
        <w:rPr>
          <w:rFonts w:ascii="Century Schoolbook" w:hAnsi="Century Schoolbook" w:cs="Times New Roman"/>
        </w:rPr>
        <w:t>e</w:t>
      </w:r>
      <w:r w:rsidR="00553B4F" w:rsidRPr="004F5794">
        <w:rPr>
          <w:rFonts w:ascii="Century Schoolbook" w:hAnsi="Century Schoolbook" w:cs="Times New Roman"/>
        </w:rPr>
        <w:t>arnings announceme</w:t>
      </w:r>
      <w:r w:rsidR="0023770D" w:rsidRPr="004F5794">
        <w:rPr>
          <w:rFonts w:ascii="Century Schoolbook" w:hAnsi="Century Schoolbook" w:cs="Times New Roman"/>
        </w:rPr>
        <w:t>nts</w:t>
      </w:r>
      <w:r w:rsidR="00553B4F" w:rsidRPr="004F5794">
        <w:rPr>
          <w:rFonts w:ascii="Century Schoolbook" w:hAnsi="Century Schoolbook" w:cs="Times New Roman"/>
        </w:rPr>
        <w:t xml:space="preserve">, </w:t>
      </w:r>
      <w:r w:rsidR="00C9244E" w:rsidRPr="004F5794">
        <w:rPr>
          <w:rFonts w:ascii="Century Schoolbook" w:hAnsi="Century Schoolbook" w:cs="Times New Roman"/>
        </w:rPr>
        <w:lastRenderedPageBreak/>
        <w:t>while slow-turnover analysts do not.</w:t>
      </w:r>
      <w:r w:rsidR="00033ABA" w:rsidRPr="004F5794">
        <w:rPr>
          <w:rFonts w:ascii="Century Schoolbook" w:hAnsi="Century Schoolbook" w:cs="Times New Roman"/>
        </w:rPr>
        <w:t xml:space="preserve"> </w:t>
      </w:r>
      <w:r w:rsidR="00445F78">
        <w:rPr>
          <w:rFonts w:ascii="Century Schoolbook" w:hAnsi="Century Schoolbook" w:cs="Times New Roman"/>
        </w:rPr>
        <w:t>In general, earnings announcements</w:t>
      </w:r>
      <w:r w:rsidR="00033ABA" w:rsidRPr="004F5794">
        <w:rPr>
          <w:rFonts w:ascii="Century Schoolbook" w:hAnsi="Century Schoolbook" w:cs="Times New Roman"/>
        </w:rPr>
        <w:t xml:space="preserve"> are </w:t>
      </w:r>
      <w:r w:rsidR="00445F78">
        <w:rPr>
          <w:rFonts w:ascii="Century Schoolbook" w:hAnsi="Century Schoolbook" w:cs="Times New Roman"/>
        </w:rPr>
        <w:t>pre-</w:t>
      </w:r>
      <w:r w:rsidR="00033ABA" w:rsidRPr="004F5794">
        <w:rPr>
          <w:rFonts w:ascii="Century Schoolbook" w:hAnsi="Century Schoolbook" w:cs="Times New Roman"/>
        </w:rPr>
        <w:t xml:space="preserve">scheduled and contain </w:t>
      </w:r>
      <w:r w:rsidR="0023770D" w:rsidRPr="004F5794">
        <w:rPr>
          <w:rFonts w:ascii="Century Schoolbook" w:hAnsi="Century Schoolbook" w:cs="Times New Roman"/>
        </w:rPr>
        <w:t>quantitative</w:t>
      </w:r>
      <w:r w:rsidR="00445F78">
        <w:rPr>
          <w:rFonts w:ascii="Century Schoolbook" w:hAnsi="Century Schoolbook" w:cs="Times New Roman"/>
        </w:rPr>
        <w:t xml:space="preserve">ly </w:t>
      </w:r>
      <w:r w:rsidR="00033ABA" w:rsidRPr="004F5794">
        <w:rPr>
          <w:rFonts w:ascii="Century Schoolbook" w:hAnsi="Century Schoolbook" w:cs="Times New Roman"/>
        </w:rPr>
        <w:t xml:space="preserve">verifiable information about the firm’s </w:t>
      </w:r>
      <w:r w:rsidR="0023770D" w:rsidRPr="004F5794">
        <w:rPr>
          <w:rFonts w:ascii="Century Schoolbook" w:hAnsi="Century Schoolbook" w:cs="Times New Roman"/>
        </w:rPr>
        <w:t>past</w:t>
      </w:r>
      <w:r w:rsidR="00033ABA" w:rsidRPr="004F5794">
        <w:rPr>
          <w:rFonts w:ascii="Century Schoolbook" w:hAnsi="Century Schoolbook" w:cs="Times New Roman"/>
        </w:rPr>
        <w:t xml:space="preserve"> </w:t>
      </w:r>
      <w:r w:rsidR="0023770D" w:rsidRPr="004F5794">
        <w:rPr>
          <w:rFonts w:ascii="Century Schoolbook" w:hAnsi="Century Schoolbook" w:cs="Times New Roman"/>
        </w:rPr>
        <w:t>performance.</w:t>
      </w:r>
      <w:r w:rsidR="00EA03D4" w:rsidRPr="004F5794">
        <w:rPr>
          <w:rFonts w:ascii="Century Schoolbook" w:hAnsi="Century Schoolbook" w:cs="Times New Roman"/>
        </w:rPr>
        <w:t xml:space="preserve"> </w:t>
      </w:r>
      <w:r w:rsidR="00033ABA" w:rsidRPr="004F5794">
        <w:rPr>
          <w:rFonts w:ascii="Century Schoolbook" w:hAnsi="Century Schoolbook" w:cs="Times New Roman"/>
        </w:rPr>
        <w:t>On the other hand</w:t>
      </w:r>
      <w:r w:rsidR="00033ABA" w:rsidRPr="00464064">
        <w:rPr>
          <w:rFonts w:ascii="Century Schoolbook" w:hAnsi="Century Schoolbook" w:cs="Times New Roman"/>
        </w:rPr>
        <w:t xml:space="preserve">, </w:t>
      </w:r>
      <w:r w:rsidR="0023770D" w:rsidRPr="00464064">
        <w:rPr>
          <w:rFonts w:ascii="Century Schoolbook" w:hAnsi="Century Schoolbook" w:cs="Times New Roman"/>
        </w:rPr>
        <w:t xml:space="preserve">Table </w:t>
      </w:r>
      <w:r w:rsidR="00556902" w:rsidRPr="00464064">
        <w:rPr>
          <w:rFonts w:ascii="Century Schoolbook" w:hAnsi="Century Schoolbook" w:cs="Times New Roman"/>
        </w:rPr>
        <w:t xml:space="preserve">7 </w:t>
      </w:r>
      <w:r w:rsidR="0023770D" w:rsidRPr="00464064">
        <w:rPr>
          <w:rFonts w:ascii="Century Schoolbook" w:hAnsi="Century Schoolbook" w:cs="Times New Roman"/>
        </w:rPr>
        <w:t>shows</w:t>
      </w:r>
      <w:r w:rsidR="0023770D" w:rsidRPr="004F5794">
        <w:rPr>
          <w:rFonts w:ascii="Century Schoolbook" w:hAnsi="Century Schoolbook" w:cs="Times New Roman"/>
        </w:rPr>
        <w:t xml:space="preserve"> that slow-turnover analysts are likely to revise recommendations following news about </w:t>
      </w:r>
      <w:r w:rsidR="0023770D" w:rsidRPr="004F5794">
        <w:rPr>
          <w:rFonts w:ascii="Century Schoolbook" w:hAnsi="Century Schoolbook" w:cs="Times New Roman"/>
          <w:i/>
        </w:rPr>
        <w:t>Product market &amp; Operation, Management forecasts, M&amp;A,</w:t>
      </w:r>
      <w:r w:rsidR="0023770D" w:rsidRPr="004F5794">
        <w:rPr>
          <w:rFonts w:ascii="Century Schoolbook" w:hAnsi="Century Schoolbook" w:cs="Times New Roman"/>
        </w:rPr>
        <w:t xml:space="preserve"> and </w:t>
      </w:r>
      <w:r w:rsidR="0023770D" w:rsidRPr="004F5794">
        <w:rPr>
          <w:rFonts w:ascii="Century Schoolbook" w:hAnsi="Century Schoolbook" w:cs="Times New Roman"/>
          <w:i/>
        </w:rPr>
        <w:t>Legal issues</w:t>
      </w:r>
      <w:r w:rsidR="0023770D" w:rsidRPr="004F5794">
        <w:rPr>
          <w:rFonts w:ascii="Century Schoolbook" w:hAnsi="Century Schoolbook" w:cs="Times New Roman"/>
        </w:rPr>
        <w:t>, while fast-turnover analysts do not. These four news types are often unscheduled and tend to convey information about the firm’s future performa</w:t>
      </w:r>
      <w:r w:rsidR="00E95836" w:rsidRPr="004F5794">
        <w:rPr>
          <w:rFonts w:ascii="Century Schoolbook" w:hAnsi="Century Schoolbook" w:cs="Times New Roman"/>
        </w:rPr>
        <w:t xml:space="preserve">nce. </w:t>
      </w:r>
    </w:p>
    <w:p w14:paraId="54C8D793" w14:textId="200B3516" w:rsidR="00CB5517" w:rsidRDefault="00E95836" w:rsidP="00A00DFF">
      <w:pPr>
        <w:spacing w:line="480" w:lineRule="auto"/>
        <w:ind w:firstLine="360"/>
        <w:jc w:val="both"/>
        <w:rPr>
          <w:rFonts w:ascii="Century Schoolbook" w:hAnsi="Century Schoolbook" w:cs="Times New Roman"/>
        </w:rPr>
      </w:pPr>
      <w:r w:rsidRPr="004F5794">
        <w:rPr>
          <w:rFonts w:ascii="Century Schoolbook" w:hAnsi="Century Schoolbook" w:cs="Times New Roman"/>
        </w:rPr>
        <w:t xml:space="preserve">We believe </w:t>
      </w:r>
      <w:r w:rsidR="008978D5" w:rsidRPr="004F5794">
        <w:rPr>
          <w:rFonts w:ascii="Century Schoolbook" w:hAnsi="Century Schoolbook" w:cs="Times New Roman"/>
        </w:rPr>
        <w:t xml:space="preserve">that the contents of </w:t>
      </w:r>
      <w:r w:rsidRPr="004F5794">
        <w:rPr>
          <w:rFonts w:ascii="Century Schoolbook" w:hAnsi="Century Schoolbook" w:cs="Times New Roman"/>
        </w:rPr>
        <w:t>news</w:t>
      </w:r>
      <w:r w:rsidR="00EA03D4" w:rsidRPr="004F5794">
        <w:rPr>
          <w:rFonts w:ascii="Century Schoolbook" w:hAnsi="Century Schoolbook" w:cs="Times New Roman"/>
        </w:rPr>
        <w:t xml:space="preserve"> that tend to precede recommendations of slow-turnover analysts are</w:t>
      </w:r>
      <w:r w:rsidRPr="004F5794">
        <w:rPr>
          <w:rFonts w:ascii="Century Schoolbook" w:hAnsi="Century Schoolbook" w:cs="Times New Roman"/>
        </w:rPr>
        <w:t xml:space="preserve"> not as</w:t>
      </w:r>
      <w:r w:rsidR="00A13531" w:rsidRPr="004F5794">
        <w:rPr>
          <w:rFonts w:ascii="Century Schoolbook" w:hAnsi="Century Schoolbook" w:cs="Times New Roman"/>
        </w:rPr>
        <w:t xml:space="preserve"> easily </w:t>
      </w:r>
      <w:r w:rsidRPr="004F5794">
        <w:rPr>
          <w:rFonts w:ascii="Century Schoolbook" w:hAnsi="Century Schoolbook" w:cs="Times New Roman"/>
        </w:rPr>
        <w:t>interpretable by non-stock experts</w:t>
      </w:r>
      <w:r w:rsidR="00EA03D4" w:rsidRPr="004F5794">
        <w:rPr>
          <w:rFonts w:ascii="Century Schoolbook" w:hAnsi="Century Schoolbook" w:cs="Times New Roman"/>
        </w:rPr>
        <w:t>. For instance, the change in product market strategy (e.g., new product launch, new corporate alliance) can affect the firm’s value in di</w:t>
      </w:r>
      <w:r w:rsidR="00445F78">
        <w:rPr>
          <w:rFonts w:ascii="Century Schoolbook" w:hAnsi="Century Schoolbook" w:cs="Times New Roman"/>
        </w:rPr>
        <w:t xml:space="preserve">fferent ways over the long run. Similarly, certain companies </w:t>
      </w:r>
      <w:r w:rsidR="00CB5517">
        <w:rPr>
          <w:rFonts w:ascii="Century Schoolbook" w:hAnsi="Century Schoolbook" w:cs="Times New Roman"/>
        </w:rPr>
        <w:t xml:space="preserve">issue management forecasts. While these forecasts </w:t>
      </w:r>
      <w:r w:rsidR="00445F78">
        <w:rPr>
          <w:rFonts w:ascii="Century Schoolbook" w:hAnsi="Century Schoolbook" w:cs="Times New Roman"/>
        </w:rPr>
        <w:t>help guide investors about</w:t>
      </w:r>
      <w:r w:rsidR="00CB5517">
        <w:rPr>
          <w:rFonts w:ascii="Century Schoolbook" w:hAnsi="Century Schoolbook" w:cs="Times New Roman"/>
        </w:rPr>
        <w:t xml:space="preserve"> the firm’s future</w:t>
      </w:r>
      <w:r w:rsidR="00445F78">
        <w:rPr>
          <w:rFonts w:ascii="Century Schoolbook" w:hAnsi="Century Schoolbook" w:cs="Times New Roman"/>
        </w:rPr>
        <w:t xml:space="preserve"> </w:t>
      </w:r>
      <w:r w:rsidR="00CB5517">
        <w:rPr>
          <w:rFonts w:ascii="Century Schoolbook" w:hAnsi="Century Schoolbook" w:cs="Times New Roman"/>
        </w:rPr>
        <w:t xml:space="preserve">earnings </w:t>
      </w:r>
      <w:r w:rsidR="00445F78">
        <w:rPr>
          <w:rFonts w:ascii="Century Schoolbook" w:hAnsi="Century Schoolbook" w:cs="Times New Roman"/>
        </w:rPr>
        <w:t>or</w:t>
      </w:r>
      <w:r w:rsidR="00CB5517">
        <w:rPr>
          <w:rFonts w:ascii="Century Schoolbook" w:hAnsi="Century Schoolbook" w:cs="Times New Roman"/>
        </w:rPr>
        <w:t xml:space="preserve"> sales, they are estimates and made at the discretion of the management team. </w:t>
      </w:r>
      <w:r w:rsidR="00BC79EE" w:rsidRPr="004F5794">
        <w:rPr>
          <w:rFonts w:ascii="Century Schoolbook" w:hAnsi="Century Schoolbook" w:cs="Times New Roman"/>
        </w:rPr>
        <w:t>On the contrary, the contents of e</w:t>
      </w:r>
      <w:r w:rsidR="00EA03D4" w:rsidRPr="004F5794">
        <w:rPr>
          <w:rFonts w:ascii="Century Schoolbook" w:hAnsi="Century Schoolbook" w:cs="Times New Roman"/>
        </w:rPr>
        <w:t xml:space="preserve">arnings announcements </w:t>
      </w:r>
      <w:r w:rsidR="00BC79EE" w:rsidRPr="004F5794">
        <w:rPr>
          <w:rFonts w:ascii="Century Schoolbook" w:hAnsi="Century Schoolbook" w:cs="Times New Roman"/>
        </w:rPr>
        <w:t xml:space="preserve">(i.e., EPS), </w:t>
      </w:r>
      <w:r w:rsidR="00EA03D4" w:rsidRPr="004F5794">
        <w:rPr>
          <w:rFonts w:ascii="Century Schoolbook" w:hAnsi="Century Schoolbook" w:cs="Times New Roman"/>
        </w:rPr>
        <w:t xml:space="preserve">which </w:t>
      </w:r>
      <w:r w:rsidRPr="004F5794">
        <w:rPr>
          <w:rFonts w:ascii="Century Schoolbook" w:hAnsi="Century Schoolbook" w:cs="Times New Roman"/>
        </w:rPr>
        <w:t>fast-turnover analysts</w:t>
      </w:r>
      <w:r w:rsidR="00E21B1F" w:rsidRPr="004F5794">
        <w:rPr>
          <w:rFonts w:ascii="Century Schoolbook" w:hAnsi="Century Schoolbook" w:cs="Times New Roman"/>
        </w:rPr>
        <w:t xml:space="preserve"> tend to</w:t>
      </w:r>
      <w:r w:rsidR="00EA03D4" w:rsidRPr="004F5794">
        <w:rPr>
          <w:rFonts w:ascii="Century Schoolbook" w:hAnsi="Century Schoolbook" w:cs="Times New Roman"/>
        </w:rPr>
        <w:t xml:space="preserve"> </w:t>
      </w:r>
      <w:r w:rsidR="00E21B1F" w:rsidRPr="004F5794">
        <w:rPr>
          <w:rFonts w:ascii="Century Schoolbook" w:hAnsi="Century Schoolbook" w:cs="Times New Roman"/>
        </w:rPr>
        <w:t>follow</w:t>
      </w:r>
      <w:r w:rsidR="00C055FE">
        <w:rPr>
          <w:rFonts w:ascii="Century Schoolbook" w:hAnsi="Century Schoolbook" w:cs="Times New Roman"/>
        </w:rPr>
        <w:t>,</w:t>
      </w:r>
      <w:r w:rsidR="00BC79EE" w:rsidRPr="004F5794">
        <w:rPr>
          <w:rFonts w:ascii="Century Schoolbook" w:hAnsi="Century Schoolbook" w:cs="Times New Roman"/>
        </w:rPr>
        <w:t xml:space="preserve"> can</w:t>
      </w:r>
      <w:r w:rsidR="00EA03D4" w:rsidRPr="004F5794">
        <w:rPr>
          <w:rFonts w:ascii="Century Schoolbook" w:hAnsi="Century Schoolbook" w:cs="Times New Roman"/>
        </w:rPr>
        <w:t xml:space="preserve"> be </w:t>
      </w:r>
      <w:r w:rsidR="00CB5517">
        <w:rPr>
          <w:rFonts w:ascii="Century Schoolbook" w:hAnsi="Century Schoolbook" w:cs="Times New Roman"/>
        </w:rPr>
        <w:t xml:space="preserve">easily </w:t>
      </w:r>
      <w:r w:rsidR="00EA03D4" w:rsidRPr="004F5794">
        <w:rPr>
          <w:rFonts w:ascii="Century Schoolbook" w:hAnsi="Century Schoolbook" w:cs="Times New Roman"/>
        </w:rPr>
        <w:t xml:space="preserve">compared </w:t>
      </w:r>
      <w:r w:rsidR="00BC79EE" w:rsidRPr="004F5794">
        <w:rPr>
          <w:rFonts w:ascii="Century Schoolbook" w:hAnsi="Century Schoolbook" w:cs="Times New Roman"/>
        </w:rPr>
        <w:t>against analysts</w:t>
      </w:r>
      <w:r w:rsidR="00CB5517">
        <w:rPr>
          <w:rFonts w:ascii="Century Schoolbook" w:hAnsi="Century Schoolbook" w:cs="Times New Roman"/>
        </w:rPr>
        <w:t xml:space="preserve">’ prior consensus, </w:t>
      </w:r>
      <w:r w:rsidR="00BC79EE" w:rsidRPr="004F5794">
        <w:rPr>
          <w:rFonts w:ascii="Century Schoolbook" w:hAnsi="Century Schoolbook" w:cs="Times New Roman"/>
        </w:rPr>
        <w:t>therefore making their impact</w:t>
      </w:r>
      <w:r w:rsidR="00EA7D57">
        <w:rPr>
          <w:rFonts w:ascii="Century Schoolbook" w:hAnsi="Century Schoolbook" w:cs="Times New Roman"/>
        </w:rPr>
        <w:t xml:space="preserve"> on stock valuation</w:t>
      </w:r>
      <w:r w:rsidR="00BC79EE" w:rsidRPr="004F5794">
        <w:rPr>
          <w:rFonts w:ascii="Century Schoolbook" w:hAnsi="Century Schoolbook" w:cs="Times New Roman"/>
        </w:rPr>
        <w:t xml:space="preserve"> easier to </w:t>
      </w:r>
      <w:r w:rsidR="00CB5517">
        <w:rPr>
          <w:rFonts w:ascii="Century Schoolbook" w:hAnsi="Century Schoolbook" w:cs="Times New Roman"/>
        </w:rPr>
        <w:t>quantify.</w:t>
      </w:r>
    </w:p>
    <w:p w14:paraId="46D7446D" w14:textId="69004EC7" w:rsidR="001A3EFA" w:rsidRPr="004F5794" w:rsidRDefault="00CB5517" w:rsidP="00A00DFF">
      <w:pPr>
        <w:spacing w:line="480" w:lineRule="auto"/>
        <w:ind w:firstLine="360"/>
        <w:jc w:val="both"/>
        <w:rPr>
          <w:rFonts w:ascii="Century Schoolbook" w:hAnsi="Century Schoolbook" w:cs="Times New Roman"/>
          <w:noProof/>
          <w:lang w:eastAsia="fr-FR"/>
        </w:rPr>
      </w:pPr>
      <w:r>
        <w:rPr>
          <w:rFonts w:ascii="Century Schoolbook" w:hAnsi="Century Schoolbook" w:cs="Times New Roman"/>
        </w:rPr>
        <w:t>Overall, the findings in this section shed light on why analysts who revise their stock recommendation less frequently tend to make better stock picks. That is, recommendations of slower-revisi</w:t>
      </w:r>
      <w:r w:rsidR="009F5F99">
        <w:rPr>
          <w:rFonts w:ascii="Century Schoolbook" w:hAnsi="Century Schoolbook" w:cs="Times New Roman"/>
        </w:rPr>
        <w:t>ng analysts</w:t>
      </w:r>
      <w:r w:rsidR="0004557F">
        <w:rPr>
          <w:rFonts w:ascii="Century Schoolbook" w:hAnsi="Century Schoolbook"/>
        </w:rPr>
        <w:t xml:space="preserve"> are more likely revised following </w:t>
      </w:r>
      <w:r w:rsidR="004F5794" w:rsidRPr="004F5794">
        <w:rPr>
          <w:rFonts w:ascii="Century Schoolbook" w:hAnsi="Century Schoolbook"/>
        </w:rPr>
        <w:t>harder-to-</w:t>
      </w:r>
      <w:r w:rsidR="0004557F">
        <w:rPr>
          <w:rFonts w:ascii="Century Schoolbook" w:hAnsi="Century Schoolbook"/>
        </w:rPr>
        <w:t>interpret corporate disclosures</w:t>
      </w:r>
      <w:r w:rsidR="009F5F99">
        <w:rPr>
          <w:rFonts w:ascii="Century Schoolbook" w:hAnsi="Century Schoolbook"/>
        </w:rPr>
        <w:t>. This pattern in the type of information that slower-revising analysts take cue from allows their recommendatio</w:t>
      </w:r>
      <w:r w:rsidR="00C63560">
        <w:rPr>
          <w:rFonts w:ascii="Century Schoolbook" w:hAnsi="Century Schoolbook"/>
        </w:rPr>
        <w:t xml:space="preserve">ns </w:t>
      </w:r>
      <w:r w:rsidR="009F5F99">
        <w:rPr>
          <w:rFonts w:ascii="Century Schoolbook" w:hAnsi="Century Schoolbook"/>
        </w:rPr>
        <w:t>to greater facilitate price discovery, and thus have better investment value</w:t>
      </w:r>
      <w:r w:rsidR="00C63560">
        <w:rPr>
          <w:rFonts w:ascii="Century Schoolbook" w:hAnsi="Century Schoolbook"/>
        </w:rPr>
        <w:t>.</w:t>
      </w:r>
      <w:r w:rsidR="009F5F99">
        <w:rPr>
          <w:rFonts w:ascii="Century Schoolbook" w:hAnsi="Century Schoolbook"/>
        </w:rPr>
        <w:t xml:space="preserve"> </w:t>
      </w:r>
    </w:p>
    <w:p w14:paraId="7CAE1A42" w14:textId="0113B91B" w:rsidR="00002EC6" w:rsidRPr="00D33D99" w:rsidRDefault="00002EC6" w:rsidP="00A00DFF">
      <w:pPr>
        <w:pStyle w:val="ListParagraph"/>
        <w:numPr>
          <w:ilvl w:val="1"/>
          <w:numId w:val="3"/>
        </w:numPr>
        <w:spacing w:line="480" w:lineRule="auto"/>
        <w:ind w:left="360"/>
        <w:rPr>
          <w:rFonts w:ascii="Century Schoolbook" w:eastAsiaTheme="minorEastAsia" w:hAnsi="Century Schoolbook" w:cs="Times New Roman"/>
          <w:b/>
          <w:i/>
          <w:color w:val="000000"/>
          <w:lang w:eastAsia="ja-JP"/>
        </w:rPr>
      </w:pPr>
      <w:r w:rsidRPr="00D33D99">
        <w:rPr>
          <w:rFonts w:ascii="Century Schoolbook" w:eastAsiaTheme="minorEastAsia" w:hAnsi="Century Schoolbook" w:cs="Times New Roman"/>
          <w:b/>
          <w:i/>
          <w:color w:val="000000"/>
          <w:lang w:eastAsia="ja-JP"/>
        </w:rPr>
        <w:t xml:space="preserve"> </w:t>
      </w:r>
      <w:r w:rsidR="00DC4903" w:rsidRPr="00D33D99">
        <w:rPr>
          <w:rFonts w:ascii="Century Schoolbook" w:eastAsiaTheme="minorEastAsia" w:hAnsi="Century Schoolbook" w:cs="Times New Roman"/>
          <w:b/>
          <w:i/>
          <w:color w:val="000000"/>
          <w:lang w:eastAsia="ja-JP"/>
        </w:rPr>
        <w:t xml:space="preserve">Rationales </w:t>
      </w:r>
      <w:r w:rsidR="001D0E3C" w:rsidRPr="00D33D99">
        <w:rPr>
          <w:rFonts w:ascii="Century Schoolbook" w:eastAsiaTheme="minorEastAsia" w:hAnsi="Century Schoolbook" w:cs="Times New Roman"/>
          <w:b/>
          <w:i/>
          <w:color w:val="000000"/>
          <w:lang w:eastAsia="ja-JP"/>
        </w:rPr>
        <w:t>behind</w:t>
      </w:r>
      <w:r w:rsidR="00DC4903" w:rsidRPr="00D33D99">
        <w:rPr>
          <w:rFonts w:ascii="Century Schoolbook" w:eastAsiaTheme="minorEastAsia" w:hAnsi="Century Schoolbook" w:cs="Times New Roman"/>
          <w:b/>
          <w:i/>
          <w:color w:val="000000"/>
          <w:lang w:eastAsia="ja-JP"/>
        </w:rPr>
        <w:t xml:space="preserve"> stock recommendations: Evidence from Investext</w:t>
      </w:r>
    </w:p>
    <w:p w14:paraId="639BC565" w14:textId="77777777" w:rsidR="00970D20" w:rsidRDefault="003C3F81" w:rsidP="00970D20">
      <w:pPr>
        <w:spacing w:line="480" w:lineRule="auto"/>
        <w:ind w:left="-72" w:firstLine="432"/>
        <w:jc w:val="both"/>
        <w:rPr>
          <w:rFonts w:ascii="Century Schoolbook" w:eastAsia="SimSun" w:hAnsi="Century Schoolbook" w:cs="Times New Roman"/>
        </w:rPr>
      </w:pPr>
      <w:r w:rsidRPr="003C3F81">
        <w:rPr>
          <w:rFonts w:ascii="Century Schoolbook" w:eastAsia="SimSun" w:hAnsi="Century Schoolbook" w:cs="Times New Roman"/>
        </w:rPr>
        <w:t xml:space="preserve">We provide further evidence to support </w:t>
      </w:r>
      <w:r w:rsidR="00970D20">
        <w:rPr>
          <w:rFonts w:ascii="Century Schoolbook" w:eastAsia="SimSun" w:hAnsi="Century Schoolbook" w:cs="Times New Roman"/>
        </w:rPr>
        <w:t xml:space="preserve">the conclusion </w:t>
      </w:r>
      <w:r w:rsidR="00970D20" w:rsidRPr="00464064">
        <w:rPr>
          <w:rFonts w:ascii="Century Schoolbook" w:eastAsia="SimSun" w:hAnsi="Century Schoolbook" w:cs="Times New Roman"/>
        </w:rPr>
        <w:t xml:space="preserve">in Table 7 </w:t>
      </w:r>
      <w:r w:rsidR="00914335">
        <w:rPr>
          <w:rFonts w:ascii="Century Schoolbook" w:eastAsia="SimSun" w:hAnsi="Century Schoolbook" w:cs="Times New Roman"/>
        </w:rPr>
        <w:t xml:space="preserve">by analyzing the contents in analysts’ </w:t>
      </w:r>
      <w:r w:rsidRPr="003C3F81">
        <w:rPr>
          <w:rFonts w:ascii="Century Schoolbook" w:eastAsia="SimSun" w:hAnsi="Century Schoolbook" w:cs="Times New Roman"/>
        </w:rPr>
        <w:t xml:space="preserve">recommendation reports </w:t>
      </w:r>
      <w:r w:rsidR="00423B72">
        <w:rPr>
          <w:rFonts w:ascii="Century Schoolbook" w:eastAsia="SimSun" w:hAnsi="Century Schoolbook" w:cs="Times New Roman"/>
        </w:rPr>
        <w:t>downloaded</w:t>
      </w:r>
      <w:r w:rsidRPr="003C3F81">
        <w:rPr>
          <w:rFonts w:ascii="Century Schoolbook" w:eastAsia="SimSun" w:hAnsi="Century Schoolbook" w:cs="Times New Roman"/>
        </w:rPr>
        <w:t xml:space="preserve"> from Thomson One’s Investext.</w:t>
      </w:r>
      <w:r w:rsidR="009A3F7E">
        <w:rPr>
          <w:rFonts w:ascii="Century Schoolbook" w:eastAsia="SimSun" w:hAnsi="Century Schoolbook" w:cs="Times New Roman"/>
        </w:rPr>
        <w:t xml:space="preserve"> </w:t>
      </w:r>
    </w:p>
    <w:p w14:paraId="2B0C5C31" w14:textId="200B111A" w:rsidR="00787965" w:rsidRPr="00D16707" w:rsidRDefault="009A3F7E" w:rsidP="00970D20">
      <w:pPr>
        <w:spacing w:line="480" w:lineRule="auto"/>
        <w:ind w:left="-72" w:firstLine="432"/>
        <w:jc w:val="both"/>
        <w:rPr>
          <w:rFonts w:ascii="Century Schoolbook" w:eastAsia="SimSun" w:hAnsi="Century Schoolbook" w:cs="Times New Roman"/>
        </w:rPr>
      </w:pPr>
      <w:r w:rsidRPr="00D04E15">
        <w:rPr>
          <w:rFonts w:ascii="Century Schoolbook" w:hAnsi="Century Schoolbook" w:cs="Arial"/>
          <w:color w:val="333333"/>
        </w:rPr>
        <w:lastRenderedPageBreak/>
        <w:t>F</w:t>
      </w:r>
      <w:r w:rsidRPr="00D04E15">
        <w:rPr>
          <w:rFonts w:ascii="Century Schoolbook" w:hAnsi="Century Schoolbook"/>
          <w:color w:val="000000"/>
          <w:shd w:val="clear" w:color="auto" w:fill="FFFFFF"/>
        </w:rPr>
        <w:t xml:space="preserve">or </w:t>
      </w:r>
      <w:r w:rsidR="00970D20">
        <w:rPr>
          <w:rFonts w:ascii="Century Schoolbook" w:hAnsi="Century Schoolbook"/>
          <w:color w:val="000000"/>
          <w:shd w:val="clear" w:color="auto" w:fill="FFFFFF"/>
        </w:rPr>
        <w:t>this</w:t>
      </w:r>
      <w:r w:rsidRPr="00D04E15">
        <w:rPr>
          <w:rFonts w:ascii="Century Schoolbook" w:hAnsi="Century Schoolbook"/>
          <w:color w:val="000000"/>
          <w:shd w:val="clear" w:color="auto" w:fill="FFFFFF"/>
        </w:rPr>
        <w:t xml:space="preserve"> analysis, we construct a matched sample of fast-turnover and slow-turnover analysts and study their recommendation reports. The main objective for constructing the matched sample is to mitigate potential biases that could arise due to coverage choice of analysts and</w:t>
      </w:r>
      <w:r w:rsidR="00787965">
        <w:rPr>
          <w:rFonts w:ascii="Century Schoolbook" w:hAnsi="Century Schoolbook"/>
          <w:color w:val="000000"/>
          <w:shd w:val="clear" w:color="auto" w:fill="FFFFFF"/>
        </w:rPr>
        <w:t xml:space="preserve"> brokerage houses in Investext. </w:t>
      </w:r>
      <w:r w:rsidR="00787965" w:rsidRPr="00D04E15">
        <w:rPr>
          <w:rFonts w:ascii="Century Schoolbook" w:hAnsi="Century Schoolbook"/>
          <w:color w:val="000000"/>
          <w:shd w:val="clear" w:color="auto" w:fill="FFFFFF"/>
        </w:rPr>
        <w:t>Additionally, the matched sample helps reduce the number</w:t>
      </w:r>
      <w:r w:rsidR="00655D8D">
        <w:rPr>
          <w:rFonts w:ascii="Century Schoolbook" w:hAnsi="Century Schoolbook"/>
          <w:color w:val="000000"/>
          <w:shd w:val="clear" w:color="auto" w:fill="FFFFFF"/>
        </w:rPr>
        <w:t xml:space="preserve"> of</w:t>
      </w:r>
      <w:r w:rsidR="00787965" w:rsidRPr="00D04E15">
        <w:rPr>
          <w:rFonts w:ascii="Century Schoolbook" w:hAnsi="Century Schoolbook"/>
          <w:color w:val="000000"/>
          <w:shd w:val="clear" w:color="auto" w:fill="FFFFFF"/>
        </w:rPr>
        <w:t xml:space="preserve"> recommendation reports. This is advantageous because we employ a labor-intensive approach of reading analysts’ reports, and identifying rationales and informat</w:t>
      </w:r>
      <w:r w:rsidR="00787965">
        <w:rPr>
          <w:rFonts w:ascii="Century Schoolbook" w:hAnsi="Century Schoolbook"/>
          <w:color w:val="000000"/>
          <w:shd w:val="clear" w:color="auto" w:fill="FFFFFF"/>
        </w:rPr>
        <w:t xml:space="preserve">ion sources behind each report. </w:t>
      </w:r>
      <w:r w:rsidR="00787965" w:rsidRPr="00D04E15">
        <w:rPr>
          <w:rFonts w:ascii="Century Schoolbook" w:hAnsi="Century Schoolbook"/>
          <w:color w:val="000000"/>
          <w:shd w:val="clear" w:color="auto" w:fill="FFFFFF"/>
        </w:rPr>
        <w:t>In particular, all reports are cross-read by three research</w:t>
      </w:r>
      <w:r w:rsidR="00787965">
        <w:rPr>
          <w:rFonts w:ascii="Century Schoolbook" w:hAnsi="Century Schoolbook"/>
          <w:color w:val="000000"/>
          <w:shd w:val="clear" w:color="auto" w:fill="FFFFFF"/>
        </w:rPr>
        <w:t>ers</w:t>
      </w:r>
      <w:r w:rsidR="00787965" w:rsidRPr="00D04E15">
        <w:rPr>
          <w:rFonts w:ascii="Century Schoolbook" w:hAnsi="Century Schoolbook"/>
          <w:color w:val="000000"/>
          <w:shd w:val="clear" w:color="auto" w:fill="FFFFFF"/>
        </w:rPr>
        <w:t xml:space="preserve"> in order to mitigate errors from mis</w:t>
      </w:r>
      <w:r w:rsidR="00787965">
        <w:rPr>
          <w:rFonts w:ascii="Century Schoolbook" w:hAnsi="Century Schoolbook"/>
          <w:color w:val="000000"/>
          <w:shd w:val="clear" w:color="auto" w:fill="FFFFFF"/>
        </w:rPr>
        <w:t>identifying</w:t>
      </w:r>
      <w:r w:rsidR="00787965" w:rsidRPr="00D04E15">
        <w:rPr>
          <w:rFonts w:ascii="Century Schoolbook" w:hAnsi="Century Schoolbook"/>
          <w:color w:val="000000"/>
          <w:shd w:val="clear" w:color="auto" w:fill="FFFFFF"/>
        </w:rPr>
        <w:t xml:space="preserve"> their contents.</w:t>
      </w:r>
      <w:r w:rsidR="00787965">
        <w:rPr>
          <w:rFonts w:ascii="Century Schoolbook" w:hAnsi="Century Schoolbook"/>
          <w:color w:val="000000"/>
          <w:shd w:val="clear" w:color="auto" w:fill="FFFFFF"/>
        </w:rPr>
        <w:t xml:space="preserve"> </w:t>
      </w:r>
      <w:r w:rsidR="00787965" w:rsidRPr="00D04E15">
        <w:rPr>
          <w:rFonts w:ascii="Century Schoolbook" w:eastAsia="SimSun" w:hAnsi="Century Schoolbook" w:cs="Times New Roman"/>
        </w:rPr>
        <w:t>The final sample consists of 2,052 reports</w:t>
      </w:r>
      <w:r w:rsidR="00787965">
        <w:rPr>
          <w:rFonts w:ascii="Century Schoolbook" w:eastAsia="SimSun" w:hAnsi="Century Schoolbook" w:cs="Times New Roman"/>
        </w:rPr>
        <w:t xml:space="preserve"> from 50 fast-turnover analysts and 50 slow-turnover analysts. </w:t>
      </w:r>
      <w:r w:rsidR="00787965" w:rsidRPr="00D04E15">
        <w:rPr>
          <w:rFonts w:ascii="Century Schoolbook" w:eastAsia="SimSun" w:hAnsi="Century Schoolbook" w:cs="Times New Roman"/>
        </w:rPr>
        <w:t xml:space="preserve">These reports cover 310 distinct firms. </w:t>
      </w:r>
      <w:r w:rsidR="00787965">
        <w:rPr>
          <w:rFonts w:ascii="Century Schoolbook" w:eastAsia="SimSun" w:hAnsi="Century Schoolbook" w:cs="Times New Roman"/>
        </w:rPr>
        <w:t xml:space="preserve">Due to space consideration, we summarize our findings below and leave details about the methodology and further discussions to </w:t>
      </w:r>
      <w:r w:rsidR="00787965" w:rsidRPr="00464064">
        <w:rPr>
          <w:rFonts w:ascii="Century Schoolbook" w:eastAsia="SimSun" w:hAnsi="Century Schoolbook" w:cs="Times New Roman"/>
        </w:rPr>
        <w:t xml:space="preserve">Section </w:t>
      </w:r>
      <w:r w:rsidR="006B4E80">
        <w:rPr>
          <w:rFonts w:ascii="Century Schoolbook" w:eastAsia="SimSun" w:hAnsi="Century Schoolbook" w:cs="Times New Roman"/>
        </w:rPr>
        <w:t>G</w:t>
      </w:r>
      <w:r w:rsidR="00787965" w:rsidRPr="00464064">
        <w:rPr>
          <w:rFonts w:ascii="Century Schoolbook" w:eastAsia="SimSun" w:hAnsi="Century Schoolbook" w:cs="Times New Roman"/>
        </w:rPr>
        <w:t xml:space="preserve"> of </w:t>
      </w:r>
      <w:r w:rsidR="00787965" w:rsidRPr="00D16707">
        <w:rPr>
          <w:rFonts w:ascii="Century Schoolbook" w:eastAsia="SimSun" w:hAnsi="Century Schoolbook" w:cs="Times New Roman"/>
        </w:rPr>
        <w:t xml:space="preserve">the Online Appendix.  </w:t>
      </w:r>
    </w:p>
    <w:p w14:paraId="232EEC4D" w14:textId="05EC4E9F" w:rsidR="00787965" w:rsidRDefault="00787965" w:rsidP="00A00DFF">
      <w:pPr>
        <w:spacing w:line="480" w:lineRule="auto"/>
        <w:ind w:firstLine="360"/>
        <w:jc w:val="both"/>
        <w:rPr>
          <w:rFonts w:ascii="Century Schoolbook" w:eastAsia="SimSun" w:hAnsi="Century Schoolbook" w:cs="Times New Roman"/>
        </w:rPr>
      </w:pPr>
      <w:r w:rsidRPr="00D16707">
        <w:rPr>
          <w:rFonts w:ascii="Century Schoolbook" w:eastAsia="SimSun" w:hAnsi="Century Schoolbook" w:cs="Times New Roman"/>
        </w:rPr>
        <w:t xml:space="preserve">The results from reading analyst recommendation reports </w:t>
      </w:r>
      <w:r w:rsidR="008A2195" w:rsidRPr="00D16707">
        <w:rPr>
          <w:rFonts w:ascii="Century Schoolbook" w:eastAsia="SimSun" w:hAnsi="Century Schoolbook" w:cs="Times New Roman"/>
        </w:rPr>
        <w:t>are supportive of</w:t>
      </w:r>
      <w:r w:rsidRPr="00D16707">
        <w:rPr>
          <w:rFonts w:ascii="Century Schoolbook" w:eastAsia="SimSun" w:hAnsi="Century Schoolbook" w:cs="Times New Roman"/>
        </w:rPr>
        <w:t xml:space="preserve"> our findings in Table </w:t>
      </w:r>
      <w:r w:rsidR="00556902" w:rsidRPr="00D16707">
        <w:rPr>
          <w:rFonts w:ascii="Century Schoolbook" w:eastAsia="SimSun" w:hAnsi="Century Schoolbook" w:cs="Times New Roman"/>
        </w:rPr>
        <w:t>7</w:t>
      </w:r>
      <w:r w:rsidRPr="00D16707">
        <w:rPr>
          <w:rFonts w:ascii="Century Schoolbook" w:eastAsia="SimSun" w:hAnsi="Century Schoolbook" w:cs="Times New Roman"/>
        </w:rPr>
        <w:t xml:space="preserve">, which suggest that fast- versus slow-turnover analysts tend to follow different </w:t>
      </w:r>
      <w:r w:rsidR="008A2195" w:rsidRPr="00D16707">
        <w:rPr>
          <w:rFonts w:ascii="Century Schoolbook" w:eastAsia="SimSun" w:hAnsi="Century Schoolbook" w:cs="Times New Roman"/>
        </w:rPr>
        <w:t>information</w:t>
      </w:r>
      <w:r w:rsidRPr="00D16707">
        <w:rPr>
          <w:rFonts w:ascii="Century Schoolbook" w:eastAsia="SimSun" w:hAnsi="Century Schoolbook" w:cs="Times New Roman"/>
        </w:rPr>
        <w:t xml:space="preserve"> signals when making their recommendations. That is, fast</w:t>
      </w:r>
      <w:r w:rsidR="00106C67" w:rsidRPr="00D16707">
        <w:rPr>
          <w:rFonts w:ascii="Century Schoolbook" w:eastAsia="SimSun" w:hAnsi="Century Schoolbook" w:cs="Times New Roman"/>
        </w:rPr>
        <w:t>er</w:t>
      </w:r>
      <w:r w:rsidRPr="00D16707">
        <w:rPr>
          <w:rFonts w:ascii="Century Schoolbook" w:eastAsia="SimSun" w:hAnsi="Century Schoolbook" w:cs="Times New Roman"/>
        </w:rPr>
        <w:t>-revising analysts are more likely to use earnings based valuation to make their recommendation</w:t>
      </w:r>
      <w:r w:rsidR="00785ACA" w:rsidRPr="00D16707">
        <w:rPr>
          <w:rFonts w:ascii="Century Schoolbook" w:eastAsia="SimSun" w:hAnsi="Century Schoolbook" w:cs="Times New Roman"/>
        </w:rPr>
        <w:t>s</w:t>
      </w:r>
      <w:r w:rsidR="00106C67" w:rsidRPr="00D16707">
        <w:rPr>
          <w:rFonts w:ascii="Century Schoolbook" w:eastAsia="SimSun" w:hAnsi="Century Schoolbook" w:cs="Times New Roman"/>
        </w:rPr>
        <w:t>. On the other hand,</w:t>
      </w:r>
      <w:r w:rsidRPr="00D16707">
        <w:rPr>
          <w:rFonts w:ascii="Century Schoolbook" w:eastAsia="SimSun" w:hAnsi="Century Schoolbook" w:cs="Times New Roman"/>
        </w:rPr>
        <w:t xml:space="preserve"> slow</w:t>
      </w:r>
      <w:r w:rsidR="00106C67" w:rsidRPr="00D16707">
        <w:rPr>
          <w:rFonts w:ascii="Century Schoolbook" w:eastAsia="SimSun" w:hAnsi="Century Schoolbook" w:cs="Times New Roman"/>
        </w:rPr>
        <w:t>er</w:t>
      </w:r>
      <w:r w:rsidRPr="00D16707">
        <w:rPr>
          <w:rFonts w:ascii="Century Schoolbook" w:eastAsia="SimSun" w:hAnsi="Century Schoolbook" w:cs="Times New Roman"/>
        </w:rPr>
        <w:t xml:space="preserve">-revising analysts are more likely to </w:t>
      </w:r>
      <w:r w:rsidR="008A2195" w:rsidRPr="00D16707">
        <w:rPr>
          <w:rFonts w:ascii="Century Schoolbook" w:eastAsia="SimSun" w:hAnsi="Century Schoolbook" w:cs="Times New Roman"/>
        </w:rPr>
        <w:t xml:space="preserve">base their recommendations </w:t>
      </w:r>
      <w:r w:rsidR="008A2195">
        <w:rPr>
          <w:rFonts w:ascii="Century Schoolbook" w:eastAsia="SimSun" w:hAnsi="Century Schoolbook" w:cs="Times New Roman"/>
        </w:rPr>
        <w:t xml:space="preserve">on news </w:t>
      </w:r>
      <w:r w:rsidR="00106C67">
        <w:rPr>
          <w:rFonts w:ascii="Century Schoolbook" w:eastAsia="SimSun" w:hAnsi="Century Schoolbook" w:cs="Times New Roman"/>
        </w:rPr>
        <w:t xml:space="preserve">that reflect changes in the firm’s operating </w:t>
      </w:r>
      <w:r w:rsidRPr="00787965">
        <w:rPr>
          <w:rFonts w:ascii="Century Schoolbook" w:eastAsia="SimSun" w:hAnsi="Century Schoolbook" w:cs="Times New Roman"/>
        </w:rPr>
        <w:t>strategy</w:t>
      </w:r>
      <w:r w:rsidR="00106C67">
        <w:rPr>
          <w:rFonts w:ascii="Century Schoolbook" w:eastAsia="SimSun" w:hAnsi="Century Schoolbook" w:cs="Times New Roman"/>
        </w:rPr>
        <w:t>, and product market competition.</w:t>
      </w:r>
    </w:p>
    <w:p w14:paraId="0D4F4910" w14:textId="32387D5E" w:rsidR="001D0734" w:rsidRPr="00787965" w:rsidRDefault="00FE56B1" w:rsidP="00A00DFF">
      <w:pPr>
        <w:spacing w:line="480" w:lineRule="auto"/>
        <w:ind w:firstLine="360"/>
        <w:jc w:val="both"/>
        <w:rPr>
          <w:rFonts w:ascii="Century Schoolbook" w:eastAsia="SimSun" w:hAnsi="Century Schoolbook" w:cs="Times New Roman"/>
        </w:rPr>
      </w:pPr>
      <w:r>
        <w:rPr>
          <w:rFonts w:ascii="Century Schoolbook" w:eastAsia="SimSun" w:hAnsi="Century Schoolbook" w:cs="Times New Roman"/>
        </w:rPr>
        <w:t xml:space="preserve">Finally, </w:t>
      </w:r>
      <w:r w:rsidR="001D0734">
        <w:rPr>
          <w:rFonts w:ascii="Century Schoolbook" w:eastAsia="SimSun" w:hAnsi="Century Schoolbook" w:cs="Times New Roman"/>
        </w:rPr>
        <w:t xml:space="preserve">we examine whether </w:t>
      </w:r>
      <w:r>
        <w:rPr>
          <w:rFonts w:ascii="Century Schoolbook" w:eastAsia="SimSun" w:hAnsi="Century Schoolbook" w:cs="Times New Roman"/>
        </w:rPr>
        <w:t xml:space="preserve">the superior recommendation value of </w:t>
      </w:r>
      <w:r w:rsidR="001D0734">
        <w:rPr>
          <w:rFonts w:ascii="Century Schoolbook" w:eastAsia="SimSun" w:hAnsi="Century Schoolbook" w:cs="Times New Roman"/>
        </w:rPr>
        <w:t>slower-turnover analysts</w:t>
      </w:r>
      <w:r>
        <w:rPr>
          <w:rFonts w:ascii="Century Schoolbook" w:eastAsia="SimSun" w:hAnsi="Century Schoolbook" w:cs="Times New Roman"/>
        </w:rPr>
        <w:t xml:space="preserve"> derive from their</w:t>
      </w:r>
      <w:r w:rsidR="001D0734">
        <w:rPr>
          <w:rFonts w:ascii="Century Schoolbook" w:eastAsia="SimSun" w:hAnsi="Century Schoolbook" w:cs="Times New Roman"/>
        </w:rPr>
        <w:t xml:space="preserve"> better access to management, and t</w:t>
      </w:r>
      <w:r>
        <w:rPr>
          <w:rFonts w:ascii="Century Schoolbook" w:eastAsia="SimSun" w:hAnsi="Century Schoolbook" w:cs="Times New Roman"/>
        </w:rPr>
        <w:t>hus</w:t>
      </w:r>
      <w:r w:rsidR="00B34EAA">
        <w:rPr>
          <w:rFonts w:ascii="Century Schoolbook" w:eastAsia="SimSun" w:hAnsi="Century Schoolbook" w:cs="Times New Roman"/>
        </w:rPr>
        <w:t>, their</w:t>
      </w:r>
      <w:r w:rsidR="00655D8D">
        <w:rPr>
          <w:rFonts w:ascii="Century Schoolbook" w:eastAsia="SimSun" w:hAnsi="Century Schoolbook" w:cs="Times New Roman"/>
        </w:rPr>
        <w:t xml:space="preserve"> ability</w:t>
      </w:r>
      <w:r>
        <w:rPr>
          <w:rFonts w:ascii="Century Schoolbook" w:eastAsia="SimSun" w:hAnsi="Century Schoolbook" w:cs="Times New Roman"/>
        </w:rPr>
        <w:t xml:space="preserve"> to discover novel information. To test this, we identify the source of information that sell-side analyst</w:t>
      </w:r>
      <w:r w:rsidR="00655D8D">
        <w:rPr>
          <w:rFonts w:ascii="Century Schoolbook" w:eastAsia="SimSun" w:hAnsi="Century Schoolbook" w:cs="Times New Roman"/>
        </w:rPr>
        <w:t>s</w:t>
      </w:r>
      <w:r>
        <w:rPr>
          <w:rFonts w:ascii="Century Schoolbook" w:eastAsia="SimSun" w:hAnsi="Century Schoolbook" w:cs="Times New Roman"/>
        </w:rPr>
        <w:t xml:space="preserve"> reference in their report to support each of their recommendation rationales. While we find that slow-turnover analysts are more likely to acquire new information through private interactions with the firm’s senior managers, the result is not statistically significant.</w:t>
      </w:r>
      <w:r w:rsidR="00B34EAA">
        <w:rPr>
          <w:rFonts w:ascii="Century Schoolbook" w:eastAsia="SimSun" w:hAnsi="Century Schoolbook" w:cs="Times New Roman"/>
        </w:rPr>
        <w:t xml:space="preserve"> We provide further discussions of this analysis </w:t>
      </w:r>
      <w:r w:rsidR="00B34EAA" w:rsidRPr="00464064">
        <w:rPr>
          <w:rFonts w:ascii="Century Schoolbook" w:eastAsia="SimSun" w:hAnsi="Century Schoolbook" w:cs="Times New Roman"/>
        </w:rPr>
        <w:t xml:space="preserve">in Section </w:t>
      </w:r>
      <w:r w:rsidR="00A06FDD">
        <w:rPr>
          <w:rFonts w:ascii="Century Schoolbook" w:eastAsia="SimSun" w:hAnsi="Century Schoolbook" w:cs="Times New Roman"/>
        </w:rPr>
        <w:t>G</w:t>
      </w:r>
      <w:r w:rsidR="00B34EAA" w:rsidRPr="00464064">
        <w:rPr>
          <w:rFonts w:ascii="Century Schoolbook" w:eastAsia="SimSun" w:hAnsi="Century Schoolbook" w:cs="Times New Roman"/>
        </w:rPr>
        <w:t xml:space="preserve"> of the Online Appendix.</w:t>
      </w:r>
    </w:p>
    <w:p w14:paraId="5A12022E" w14:textId="6E0D4124" w:rsidR="00E354EB" w:rsidRPr="00D33D99" w:rsidRDefault="00E354EB" w:rsidP="00A00DFF">
      <w:pPr>
        <w:pStyle w:val="ListParagraph"/>
        <w:numPr>
          <w:ilvl w:val="0"/>
          <w:numId w:val="3"/>
        </w:numPr>
        <w:spacing w:line="480" w:lineRule="auto"/>
        <w:jc w:val="both"/>
        <w:rPr>
          <w:rFonts w:ascii="Century Schoolbook" w:hAnsi="Century Schoolbook" w:cs="Times New Roman"/>
          <w:b/>
        </w:rPr>
      </w:pPr>
      <w:r w:rsidRPr="00D33D99">
        <w:rPr>
          <w:rFonts w:ascii="Century Schoolbook" w:hAnsi="Century Schoolbook" w:cs="Times New Roman"/>
          <w:b/>
        </w:rPr>
        <w:lastRenderedPageBreak/>
        <w:t>Concluding remarks</w:t>
      </w:r>
    </w:p>
    <w:p w14:paraId="44AF9C40" w14:textId="0BCA81FD" w:rsidR="00106C67" w:rsidRDefault="00196F82" w:rsidP="00A00DFF">
      <w:pPr>
        <w:pStyle w:val="Default"/>
        <w:spacing w:after="120" w:line="480" w:lineRule="auto"/>
        <w:jc w:val="both"/>
        <w:rPr>
          <w:rFonts w:ascii="Century Schoolbook" w:hAnsi="Century Schoolbook"/>
          <w:sz w:val="22"/>
          <w:szCs w:val="22"/>
        </w:rPr>
      </w:pPr>
      <w:r>
        <w:rPr>
          <w:rFonts w:ascii="Century Schoolbook" w:hAnsi="Century Schoolbook"/>
          <w:sz w:val="22"/>
          <w:szCs w:val="22"/>
        </w:rPr>
        <w:t>We</w:t>
      </w:r>
      <w:r w:rsidR="00E354EB" w:rsidRPr="00AB75FD">
        <w:rPr>
          <w:rFonts w:ascii="Century Schoolbook" w:hAnsi="Century Schoolbook"/>
          <w:sz w:val="22"/>
          <w:szCs w:val="22"/>
        </w:rPr>
        <w:t xml:space="preserve"> document significant variation in how frequently sell</w:t>
      </w:r>
      <w:r w:rsidR="002C0735">
        <w:rPr>
          <w:rFonts w:ascii="Century Schoolbook" w:hAnsi="Century Schoolbook" w:cs="Times New Roman"/>
          <w:sz w:val="22"/>
          <w:szCs w:val="22"/>
        </w:rPr>
        <w:t>-</w:t>
      </w:r>
      <w:r w:rsidR="00E354EB" w:rsidRPr="00AB75FD">
        <w:rPr>
          <w:rFonts w:ascii="Century Schoolbook" w:hAnsi="Century Schoolbook"/>
          <w:sz w:val="22"/>
          <w:szCs w:val="22"/>
        </w:rPr>
        <w:t xml:space="preserve">side security analysts change their recommendation opinions. We </w:t>
      </w:r>
      <w:r w:rsidR="00E42A92" w:rsidRPr="00AB75FD">
        <w:rPr>
          <w:rFonts w:ascii="Century Schoolbook" w:hAnsi="Century Schoolbook"/>
          <w:sz w:val="22"/>
          <w:szCs w:val="22"/>
        </w:rPr>
        <w:t xml:space="preserve">develop </w:t>
      </w:r>
      <w:r w:rsidR="00E354EB" w:rsidRPr="00AB75FD">
        <w:rPr>
          <w:rFonts w:ascii="Century Schoolbook" w:hAnsi="Century Schoolbook"/>
          <w:sz w:val="22"/>
          <w:szCs w:val="22"/>
        </w:rPr>
        <w:t xml:space="preserve">a simple </w:t>
      </w:r>
      <w:r w:rsidR="00E354EB" w:rsidRPr="002C0735">
        <w:rPr>
          <w:rFonts w:ascii="Century Schoolbook" w:hAnsi="Century Schoolbook"/>
          <w:sz w:val="22"/>
          <w:szCs w:val="22"/>
        </w:rPr>
        <w:t xml:space="preserve">method </w:t>
      </w:r>
      <w:r w:rsidR="00AE2474" w:rsidRPr="002C0735">
        <w:rPr>
          <w:rFonts w:ascii="Century Schoolbook" w:hAnsi="Century Schoolbook"/>
          <w:sz w:val="22"/>
          <w:szCs w:val="22"/>
        </w:rPr>
        <w:t xml:space="preserve">for </w:t>
      </w:r>
      <w:r w:rsidR="00E354EB" w:rsidRPr="002C0735">
        <w:rPr>
          <w:rFonts w:ascii="Century Schoolbook" w:hAnsi="Century Schoolbook"/>
          <w:sz w:val="22"/>
          <w:szCs w:val="22"/>
        </w:rPr>
        <w:t xml:space="preserve">identifying analysts who revise their recommendation distinctly more frequently (versus more slowly) than their peers. </w:t>
      </w:r>
      <w:r w:rsidR="00753342" w:rsidRPr="002C0735">
        <w:rPr>
          <w:rFonts w:ascii="Century Schoolbook" w:hAnsi="Century Schoolbook"/>
          <w:sz w:val="22"/>
          <w:szCs w:val="22"/>
        </w:rPr>
        <w:t xml:space="preserve">We find that </w:t>
      </w:r>
      <w:r w:rsidR="00E354EB" w:rsidRPr="002C0735">
        <w:rPr>
          <w:rFonts w:ascii="Century Schoolbook" w:hAnsi="Century Schoolbook"/>
          <w:sz w:val="22"/>
          <w:szCs w:val="22"/>
        </w:rPr>
        <w:t>recommendations issued by fast</w:t>
      </w:r>
      <w:r w:rsidR="002C0735" w:rsidRPr="002C0735">
        <w:rPr>
          <w:rFonts w:ascii="Century Schoolbook" w:hAnsi="Century Schoolbook"/>
          <w:sz w:val="22"/>
          <w:szCs w:val="22"/>
        </w:rPr>
        <w:t>-</w:t>
      </w:r>
      <w:r w:rsidR="00E354EB" w:rsidRPr="002C0735">
        <w:rPr>
          <w:rFonts w:ascii="Century Schoolbook" w:hAnsi="Century Schoolbook"/>
          <w:sz w:val="22"/>
          <w:szCs w:val="22"/>
        </w:rPr>
        <w:t>revising analysts are heavily discounted by investors</w:t>
      </w:r>
      <w:r w:rsidR="00AC3665" w:rsidRPr="002C0735">
        <w:rPr>
          <w:rFonts w:ascii="Century Schoolbook" w:hAnsi="Century Schoolbook"/>
          <w:sz w:val="22"/>
          <w:szCs w:val="22"/>
        </w:rPr>
        <w:t xml:space="preserve"> and generate significantly </w:t>
      </w:r>
      <w:r w:rsidR="0075562E" w:rsidRPr="002C0735">
        <w:rPr>
          <w:rFonts w:ascii="Century Schoolbook" w:hAnsi="Century Schoolbook"/>
          <w:sz w:val="22"/>
          <w:szCs w:val="22"/>
        </w:rPr>
        <w:t xml:space="preserve">less </w:t>
      </w:r>
      <w:r w:rsidR="00AC3665" w:rsidRPr="002C0735">
        <w:rPr>
          <w:rFonts w:ascii="Century Schoolbook" w:hAnsi="Century Schoolbook"/>
          <w:sz w:val="22"/>
          <w:szCs w:val="22"/>
        </w:rPr>
        <w:t>risk</w:t>
      </w:r>
      <w:r w:rsidR="002C0735" w:rsidRPr="002C0735">
        <w:rPr>
          <w:rFonts w:ascii="Century Schoolbook" w:hAnsi="Century Schoolbook"/>
          <w:sz w:val="22"/>
          <w:szCs w:val="22"/>
        </w:rPr>
        <w:t>-</w:t>
      </w:r>
      <w:r w:rsidR="00AC3665" w:rsidRPr="002C0735">
        <w:rPr>
          <w:rFonts w:ascii="Century Schoolbook" w:hAnsi="Century Schoolbook"/>
          <w:sz w:val="22"/>
          <w:szCs w:val="22"/>
        </w:rPr>
        <w:t>adjusted investment return</w:t>
      </w:r>
      <w:r w:rsidR="00E354EB" w:rsidRPr="002C0735">
        <w:rPr>
          <w:rFonts w:ascii="Century Schoolbook" w:hAnsi="Century Schoolbook"/>
          <w:sz w:val="22"/>
          <w:szCs w:val="22"/>
        </w:rPr>
        <w:t xml:space="preserve">. Less frequent </w:t>
      </w:r>
      <w:r w:rsidR="00AC6BB3" w:rsidRPr="002C0735">
        <w:rPr>
          <w:rFonts w:ascii="Century Schoolbook" w:hAnsi="Century Schoolbook"/>
          <w:sz w:val="22"/>
          <w:szCs w:val="22"/>
        </w:rPr>
        <w:t xml:space="preserve">recommendation </w:t>
      </w:r>
      <w:r w:rsidR="00E354EB" w:rsidRPr="002C0735">
        <w:rPr>
          <w:rFonts w:ascii="Century Schoolbook" w:hAnsi="Century Schoolbook"/>
          <w:sz w:val="22"/>
          <w:szCs w:val="22"/>
        </w:rPr>
        <w:t xml:space="preserve">revisers are more likely to </w:t>
      </w:r>
      <w:r w:rsidR="00D760AB" w:rsidRPr="002C0735">
        <w:rPr>
          <w:rFonts w:ascii="Century Schoolbook" w:hAnsi="Century Schoolbook"/>
          <w:sz w:val="22"/>
          <w:szCs w:val="22"/>
        </w:rPr>
        <w:t>be</w:t>
      </w:r>
      <w:r w:rsidR="00D151E2" w:rsidRPr="002C0735">
        <w:rPr>
          <w:rFonts w:ascii="Century Schoolbook" w:hAnsi="Century Schoolbook"/>
          <w:sz w:val="22"/>
          <w:szCs w:val="22"/>
        </w:rPr>
        <w:t xml:space="preserve"> elected to </w:t>
      </w:r>
      <w:r w:rsidR="00D760AB" w:rsidRPr="002C0735">
        <w:rPr>
          <w:rFonts w:ascii="Century Schoolbook" w:hAnsi="Century Schoolbook"/>
          <w:sz w:val="22"/>
          <w:szCs w:val="22"/>
        </w:rPr>
        <w:t>A</w:t>
      </w:r>
      <w:r w:rsidR="00E354EB" w:rsidRPr="002C0735">
        <w:rPr>
          <w:rFonts w:ascii="Century Schoolbook" w:hAnsi="Century Schoolbook"/>
          <w:sz w:val="22"/>
          <w:szCs w:val="22"/>
        </w:rPr>
        <w:t>ll</w:t>
      </w:r>
      <w:r w:rsidR="002C0735" w:rsidRPr="002C0735">
        <w:rPr>
          <w:rFonts w:ascii="Century Schoolbook" w:hAnsi="Century Schoolbook"/>
          <w:sz w:val="22"/>
          <w:szCs w:val="22"/>
        </w:rPr>
        <w:t>-</w:t>
      </w:r>
      <w:r w:rsidR="00E354EB" w:rsidRPr="002C0735">
        <w:rPr>
          <w:rFonts w:ascii="Century Schoolbook" w:hAnsi="Century Schoolbook"/>
          <w:sz w:val="22"/>
          <w:szCs w:val="22"/>
        </w:rPr>
        <w:t>star</w:t>
      </w:r>
      <w:r w:rsidR="00D760AB" w:rsidRPr="002C0735">
        <w:rPr>
          <w:rFonts w:ascii="Century Schoolbook" w:hAnsi="Century Schoolbook"/>
          <w:sz w:val="22"/>
          <w:szCs w:val="22"/>
        </w:rPr>
        <w:t xml:space="preserve"> status</w:t>
      </w:r>
      <w:r w:rsidR="00E354EB" w:rsidRPr="002C0735">
        <w:rPr>
          <w:rFonts w:ascii="Century Schoolbook" w:hAnsi="Century Schoolbook"/>
          <w:sz w:val="22"/>
          <w:szCs w:val="22"/>
        </w:rPr>
        <w:t xml:space="preserve">, </w:t>
      </w:r>
      <w:r w:rsidR="00106C67">
        <w:rPr>
          <w:rFonts w:ascii="Century Schoolbook" w:hAnsi="Century Schoolbook"/>
          <w:sz w:val="22"/>
          <w:szCs w:val="22"/>
        </w:rPr>
        <w:t>work at top brokerage house</w:t>
      </w:r>
      <w:r w:rsidR="00E354EB" w:rsidRPr="002C0735">
        <w:rPr>
          <w:rFonts w:ascii="Century Schoolbook" w:hAnsi="Century Schoolbook"/>
          <w:sz w:val="22"/>
          <w:szCs w:val="22"/>
        </w:rPr>
        <w:t xml:space="preserve">, and </w:t>
      </w:r>
      <w:r w:rsidR="00106C67">
        <w:rPr>
          <w:rFonts w:ascii="Century Schoolbook" w:hAnsi="Century Schoolbook"/>
          <w:sz w:val="22"/>
          <w:szCs w:val="22"/>
        </w:rPr>
        <w:t>have better career longevity.</w:t>
      </w:r>
      <w:r w:rsidR="00AF66E9">
        <w:rPr>
          <w:rFonts w:ascii="Century Schoolbook" w:hAnsi="Century Schoolbook"/>
          <w:sz w:val="22"/>
          <w:szCs w:val="22"/>
        </w:rPr>
        <w:t xml:space="preserve"> </w:t>
      </w:r>
    </w:p>
    <w:p w14:paraId="04EE7637" w14:textId="5D1DDBF2" w:rsidR="00672757" w:rsidRDefault="00106C67" w:rsidP="00196F82">
      <w:pPr>
        <w:pStyle w:val="Default"/>
        <w:spacing w:after="120" w:line="480" w:lineRule="auto"/>
        <w:ind w:firstLine="360"/>
        <w:jc w:val="both"/>
        <w:rPr>
          <w:rFonts w:ascii="Century Schoolbook" w:hAnsi="Century Schoolbook" w:cs="Times New Roman"/>
          <w:b/>
          <w:sz w:val="21"/>
          <w:szCs w:val="21"/>
        </w:rPr>
      </w:pPr>
      <w:r>
        <w:rPr>
          <w:rFonts w:ascii="Century Schoolbook" w:hAnsi="Century Schoolbook"/>
          <w:sz w:val="22"/>
          <w:szCs w:val="22"/>
        </w:rPr>
        <w:t>Albeit updating</w:t>
      </w:r>
      <w:r w:rsidR="008B6F01" w:rsidRPr="002C0735">
        <w:rPr>
          <w:rFonts w:ascii="Century Schoolbook" w:hAnsi="Century Schoolbook"/>
          <w:sz w:val="22"/>
          <w:szCs w:val="22"/>
        </w:rPr>
        <w:t xml:space="preserve"> their stock picks</w:t>
      </w:r>
      <w:r>
        <w:rPr>
          <w:rFonts w:ascii="Century Schoolbook" w:hAnsi="Century Schoolbook"/>
          <w:sz w:val="22"/>
          <w:szCs w:val="22"/>
        </w:rPr>
        <w:t xml:space="preserve"> less frequently</w:t>
      </w:r>
      <w:r w:rsidR="008B6F01" w:rsidRPr="002C0735">
        <w:rPr>
          <w:rFonts w:ascii="Century Schoolbook" w:hAnsi="Century Schoolbook"/>
          <w:sz w:val="22"/>
          <w:szCs w:val="22"/>
        </w:rPr>
        <w:t>,</w:t>
      </w:r>
      <w:r w:rsidR="00030AB0">
        <w:rPr>
          <w:rFonts w:ascii="Century Schoolbook" w:hAnsi="Century Schoolbook"/>
          <w:sz w:val="22"/>
          <w:szCs w:val="22"/>
        </w:rPr>
        <w:t xml:space="preserve"> we find that</w:t>
      </w:r>
      <w:r w:rsidR="008B6F01" w:rsidRPr="002C0735">
        <w:rPr>
          <w:rFonts w:ascii="Century Schoolbook" w:hAnsi="Century Schoolbook"/>
          <w:sz w:val="22"/>
          <w:szCs w:val="22"/>
        </w:rPr>
        <w:t xml:space="preserve"> slower</w:t>
      </w:r>
      <w:r w:rsidR="002C0735" w:rsidRPr="002C0735">
        <w:rPr>
          <w:rFonts w:ascii="Century Schoolbook" w:hAnsi="Century Schoolbook"/>
          <w:sz w:val="22"/>
          <w:szCs w:val="22"/>
        </w:rPr>
        <w:t>-</w:t>
      </w:r>
      <w:r w:rsidR="008B6F01" w:rsidRPr="002C0735">
        <w:rPr>
          <w:rFonts w:ascii="Century Schoolbook" w:hAnsi="Century Schoolbook"/>
          <w:sz w:val="22"/>
          <w:szCs w:val="22"/>
        </w:rPr>
        <w:t xml:space="preserve">revising analysts tend </w:t>
      </w:r>
      <w:r w:rsidR="00030AB0">
        <w:rPr>
          <w:rFonts w:ascii="Century Schoolbook" w:hAnsi="Century Schoolbook"/>
          <w:sz w:val="22"/>
          <w:szCs w:val="22"/>
        </w:rPr>
        <w:t xml:space="preserve">to issue new recommendations that </w:t>
      </w:r>
      <w:r w:rsidR="008B6F01" w:rsidRPr="002C0735">
        <w:rPr>
          <w:rFonts w:ascii="Century Schoolbook" w:hAnsi="Century Schoolbook"/>
          <w:sz w:val="22"/>
          <w:szCs w:val="22"/>
        </w:rPr>
        <w:t>lead</w:t>
      </w:r>
      <w:r w:rsidR="00030AB0">
        <w:rPr>
          <w:rFonts w:ascii="Century Schoolbook" w:hAnsi="Century Schoolbook"/>
          <w:sz w:val="22"/>
          <w:szCs w:val="22"/>
        </w:rPr>
        <w:t xml:space="preserve"> those of </w:t>
      </w:r>
      <w:r w:rsidR="008B6F01" w:rsidRPr="002C0735">
        <w:rPr>
          <w:rFonts w:ascii="Century Schoolbook" w:hAnsi="Century Schoolbook"/>
          <w:sz w:val="22"/>
          <w:szCs w:val="22"/>
        </w:rPr>
        <w:t>other</w:t>
      </w:r>
      <w:r w:rsidR="00030AB0">
        <w:rPr>
          <w:rFonts w:ascii="Century Schoolbook" w:hAnsi="Century Schoolbook"/>
          <w:sz w:val="22"/>
          <w:szCs w:val="22"/>
        </w:rPr>
        <w:t xml:space="preserve">s, i.e., “lead the pack.” </w:t>
      </w:r>
      <w:r w:rsidR="00045FF4">
        <w:rPr>
          <w:rFonts w:ascii="Century Schoolbook" w:hAnsi="Century Schoolbook"/>
          <w:sz w:val="22"/>
          <w:szCs w:val="22"/>
        </w:rPr>
        <w:t xml:space="preserve">Further, </w:t>
      </w:r>
      <w:r w:rsidR="009038BB">
        <w:rPr>
          <w:rFonts w:ascii="Century Schoolbook" w:hAnsi="Century Schoolbook"/>
          <w:sz w:val="22"/>
          <w:szCs w:val="22"/>
        </w:rPr>
        <w:t xml:space="preserve">recommendations of slower-revising analysts are often revised after corporate disclosures with harder-to-interpret information, </w:t>
      </w:r>
      <w:r w:rsidR="000D4909">
        <w:rPr>
          <w:rFonts w:ascii="Century Schoolbook" w:hAnsi="Century Schoolbook"/>
          <w:sz w:val="22"/>
          <w:szCs w:val="22"/>
        </w:rPr>
        <w:t>suggesting that they play a greater role in facilitating</w:t>
      </w:r>
      <w:r w:rsidR="009038BB">
        <w:rPr>
          <w:rFonts w:ascii="Century Schoolbook" w:hAnsi="Century Schoolbook"/>
          <w:sz w:val="22"/>
          <w:szCs w:val="22"/>
        </w:rPr>
        <w:t xml:space="preserve"> price discovery. </w:t>
      </w:r>
      <w:r w:rsidR="005651A6" w:rsidRPr="002C0735">
        <w:rPr>
          <w:rFonts w:ascii="Century Schoolbook" w:hAnsi="Century Schoolbook"/>
          <w:sz w:val="22"/>
          <w:szCs w:val="22"/>
        </w:rPr>
        <w:t xml:space="preserve">While </w:t>
      </w:r>
      <w:r w:rsidR="00410081" w:rsidRPr="002C0735">
        <w:rPr>
          <w:rFonts w:ascii="Century Schoolbook" w:hAnsi="Century Schoolbook"/>
          <w:sz w:val="22"/>
          <w:szCs w:val="22"/>
        </w:rPr>
        <w:t xml:space="preserve">we find </w:t>
      </w:r>
      <w:r w:rsidR="009038BB">
        <w:rPr>
          <w:rFonts w:ascii="Century Schoolbook" w:hAnsi="Century Schoolbook"/>
          <w:sz w:val="22"/>
          <w:szCs w:val="22"/>
        </w:rPr>
        <w:t xml:space="preserve">a strong evidence </w:t>
      </w:r>
      <w:r w:rsidR="00410081" w:rsidRPr="002C0735">
        <w:rPr>
          <w:rFonts w:ascii="Century Schoolbook" w:hAnsi="Century Schoolbook"/>
          <w:sz w:val="22"/>
          <w:szCs w:val="22"/>
        </w:rPr>
        <w:t xml:space="preserve">that </w:t>
      </w:r>
      <w:r w:rsidR="009038BB">
        <w:rPr>
          <w:rFonts w:ascii="Century Schoolbook" w:hAnsi="Century Schoolbook"/>
          <w:sz w:val="22"/>
          <w:szCs w:val="22"/>
        </w:rPr>
        <w:t>sell-side analysts</w:t>
      </w:r>
      <w:r w:rsidR="008B6F01" w:rsidRPr="002C0735">
        <w:rPr>
          <w:rFonts w:ascii="Century Schoolbook" w:hAnsi="Century Schoolbook"/>
          <w:sz w:val="22"/>
          <w:szCs w:val="22"/>
        </w:rPr>
        <w:t xml:space="preserve"> are slower to change their </w:t>
      </w:r>
      <w:r w:rsidR="009038BB">
        <w:rPr>
          <w:rFonts w:ascii="Century Schoolbook" w:hAnsi="Century Schoolbook"/>
          <w:sz w:val="22"/>
          <w:szCs w:val="22"/>
        </w:rPr>
        <w:t>recommendations</w:t>
      </w:r>
      <w:r w:rsidR="008B6F01" w:rsidRPr="002C0735">
        <w:rPr>
          <w:rFonts w:ascii="Century Schoolbook" w:hAnsi="Century Schoolbook"/>
          <w:sz w:val="22"/>
          <w:szCs w:val="22"/>
        </w:rPr>
        <w:t xml:space="preserve"> as </w:t>
      </w:r>
      <w:r w:rsidR="000D4909">
        <w:rPr>
          <w:rFonts w:ascii="Century Schoolbook" w:hAnsi="Century Schoolbook"/>
          <w:sz w:val="22"/>
          <w:szCs w:val="22"/>
        </w:rPr>
        <w:t>their career tenure increases</w:t>
      </w:r>
      <w:r w:rsidR="008B6F01" w:rsidRPr="002C0735">
        <w:rPr>
          <w:rFonts w:ascii="Century Schoolbook" w:hAnsi="Century Schoolbook"/>
          <w:sz w:val="22"/>
          <w:szCs w:val="22"/>
        </w:rPr>
        <w:t xml:space="preserve">, </w:t>
      </w:r>
      <w:r w:rsidR="00410081" w:rsidRPr="002C0735">
        <w:rPr>
          <w:rFonts w:ascii="Century Schoolbook" w:hAnsi="Century Schoolbook" w:cs="Arial"/>
          <w:color w:val="222222"/>
          <w:sz w:val="22"/>
          <w:szCs w:val="22"/>
        </w:rPr>
        <w:t>decision</w:t>
      </w:r>
      <w:r w:rsidR="002C0735" w:rsidRPr="002C0735">
        <w:rPr>
          <w:rFonts w:ascii="Century Schoolbook" w:hAnsi="Century Schoolbook" w:cs="Times New Roman"/>
          <w:color w:val="222222"/>
          <w:sz w:val="22"/>
          <w:szCs w:val="22"/>
        </w:rPr>
        <w:t>-</w:t>
      </w:r>
      <w:r w:rsidR="00410081" w:rsidRPr="002C0735">
        <w:rPr>
          <w:rFonts w:ascii="Century Schoolbook" w:hAnsi="Century Schoolbook" w:cs="Arial"/>
          <w:color w:val="222222"/>
          <w:sz w:val="22"/>
          <w:szCs w:val="22"/>
        </w:rPr>
        <w:t>speed is the</w:t>
      </w:r>
      <w:r w:rsidR="00410081" w:rsidRPr="004A1944">
        <w:rPr>
          <w:rFonts w:ascii="Century Schoolbook" w:hAnsi="Century Schoolbook" w:cs="Arial"/>
          <w:color w:val="222222"/>
          <w:sz w:val="22"/>
          <w:szCs w:val="22"/>
        </w:rPr>
        <w:t xml:space="preserve"> only characteristic that predicts the investment value of analysts’ recommendations. In other words, older and more experienced analysts </w:t>
      </w:r>
      <w:r w:rsidR="00E05085" w:rsidRPr="003C3E50">
        <w:rPr>
          <w:rFonts w:ascii="Century Schoolbook" w:hAnsi="Century Schoolbook" w:cs="Arial"/>
          <w:color w:val="222222"/>
          <w:sz w:val="22"/>
          <w:szCs w:val="22"/>
        </w:rPr>
        <w:t xml:space="preserve">are “wiser” </w:t>
      </w:r>
      <w:r w:rsidR="00410081" w:rsidRPr="003C3E50">
        <w:rPr>
          <w:rFonts w:ascii="Century Schoolbook" w:hAnsi="Century Schoolbook" w:cs="Arial"/>
          <w:color w:val="222222"/>
          <w:sz w:val="22"/>
          <w:szCs w:val="22"/>
        </w:rPr>
        <w:t xml:space="preserve">only if they </w:t>
      </w:r>
      <w:r w:rsidR="008F721C" w:rsidRPr="00400FF3">
        <w:rPr>
          <w:rFonts w:ascii="Century Schoolbook" w:hAnsi="Century Schoolbook" w:cs="Arial"/>
          <w:color w:val="222222"/>
          <w:sz w:val="22"/>
          <w:szCs w:val="22"/>
        </w:rPr>
        <w:t>are willing</w:t>
      </w:r>
      <w:r w:rsidR="00E05085" w:rsidRPr="00400FF3">
        <w:rPr>
          <w:rFonts w:ascii="Century Schoolbook" w:hAnsi="Century Schoolbook" w:cs="Arial"/>
          <w:color w:val="222222"/>
          <w:sz w:val="22"/>
          <w:szCs w:val="22"/>
        </w:rPr>
        <w:t xml:space="preserve"> to stand by t</w:t>
      </w:r>
      <w:r w:rsidR="0075562E" w:rsidRPr="00F27F5B">
        <w:rPr>
          <w:rFonts w:ascii="Century Schoolbook" w:hAnsi="Century Schoolbook" w:cs="Arial"/>
          <w:color w:val="222222"/>
          <w:sz w:val="22"/>
          <w:szCs w:val="22"/>
        </w:rPr>
        <w:t>o their recommendations longer.</w:t>
      </w:r>
      <w:r w:rsidR="00672757">
        <w:rPr>
          <w:rFonts w:ascii="Century Schoolbook" w:hAnsi="Century Schoolbook" w:cs="Times New Roman"/>
          <w:b/>
          <w:sz w:val="21"/>
          <w:szCs w:val="21"/>
        </w:rPr>
        <w:br w:type="page"/>
      </w:r>
    </w:p>
    <w:p w14:paraId="15CEF7AE" w14:textId="72B0D529" w:rsidR="00E354EB" w:rsidRPr="008718DF" w:rsidRDefault="008718DF" w:rsidP="00672757">
      <w:pPr>
        <w:rPr>
          <w:rFonts w:ascii="Century Schoolbook" w:hAnsi="Century Schoolbook" w:cs="Times New Roman"/>
          <w:b/>
          <w:sz w:val="21"/>
          <w:szCs w:val="21"/>
        </w:rPr>
      </w:pPr>
      <w:r w:rsidRPr="008718DF">
        <w:rPr>
          <w:rFonts w:ascii="Century Schoolbook" w:hAnsi="Century Schoolbook" w:cs="Times New Roman"/>
          <w:b/>
          <w:sz w:val="21"/>
          <w:szCs w:val="21"/>
        </w:rPr>
        <w:lastRenderedPageBreak/>
        <w:t>R</w:t>
      </w:r>
      <w:r w:rsidR="00E354EB" w:rsidRPr="008718DF">
        <w:rPr>
          <w:rFonts w:ascii="Century Schoolbook" w:hAnsi="Century Schoolbook" w:cs="Times New Roman"/>
          <w:b/>
          <w:sz w:val="21"/>
          <w:szCs w:val="21"/>
        </w:rPr>
        <w:t>eferences</w:t>
      </w:r>
      <w:r w:rsidR="00E354EB" w:rsidRPr="008718DF">
        <w:rPr>
          <w:rFonts w:ascii="Century Schoolbook" w:hAnsi="Century Schoolbook" w:cs="Times New Roman"/>
          <w:sz w:val="21"/>
          <w:szCs w:val="21"/>
        </w:rPr>
        <w:fldChar w:fldCharType="begin"/>
      </w:r>
      <w:r w:rsidR="00E354EB" w:rsidRPr="008718DF">
        <w:rPr>
          <w:rFonts w:ascii="Century Schoolbook" w:hAnsi="Century Schoolbook" w:cs="Times New Roman"/>
          <w:sz w:val="21"/>
          <w:szCs w:val="21"/>
        </w:rPr>
        <w:instrText xml:space="preserve"> ADDIN ZOTERO_BIBL {"custom":[]} CSL_BIBLIOGRAPHY </w:instrText>
      </w:r>
      <w:r w:rsidR="00E354EB" w:rsidRPr="008718DF">
        <w:rPr>
          <w:rFonts w:ascii="Century Schoolbook" w:hAnsi="Century Schoolbook" w:cs="Times New Roman"/>
          <w:sz w:val="21"/>
          <w:szCs w:val="21"/>
        </w:rPr>
        <w:fldChar w:fldCharType="separate"/>
      </w:r>
    </w:p>
    <w:p w14:paraId="6FBB2040" w14:textId="529280CC"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sz w:val="21"/>
          <w:szCs w:val="21"/>
        </w:rPr>
        <w:fldChar w:fldCharType="begin"/>
      </w:r>
      <w:r w:rsidRPr="008718DF">
        <w:rPr>
          <w:rFonts w:ascii="Century Schoolbook" w:hAnsi="Century Schoolbook"/>
          <w:sz w:val="21"/>
          <w:szCs w:val="21"/>
        </w:rPr>
        <w:instrText xml:space="preserve"> ADDIN ZOTERO_BIBL {"custom":[]} CSL_BIBLIOGRAPHY </w:instrText>
      </w:r>
      <w:r w:rsidRPr="008718DF">
        <w:rPr>
          <w:rFonts w:ascii="Century Schoolbook" w:hAnsi="Century Schoolbook"/>
          <w:sz w:val="21"/>
          <w:szCs w:val="21"/>
        </w:rPr>
        <w:fldChar w:fldCharType="separate"/>
      </w:r>
      <w:r w:rsidRPr="008718DF">
        <w:rPr>
          <w:rFonts w:ascii="Century Schoolbook" w:hAnsi="Century Schoolbook" w:cs="Times New Roman"/>
          <w:sz w:val="21"/>
          <w:szCs w:val="21"/>
        </w:rPr>
        <w:t xml:space="preserve">Bae, K. H., R. M. Stulz, and H. Tan. 2008. Do Local Analysts Know More? A Cross–Country Study of the Performance of Local Analysts and Foreign Analysts. </w:t>
      </w:r>
      <w:r w:rsidRPr="008718DF">
        <w:rPr>
          <w:rFonts w:ascii="Century Schoolbook" w:hAnsi="Century Schoolbook" w:cs="Times New Roman"/>
          <w:i/>
          <w:iCs/>
          <w:sz w:val="21"/>
          <w:szCs w:val="21"/>
        </w:rPr>
        <w:t>Journal of Financial Economics</w:t>
      </w:r>
      <w:r w:rsidRPr="008718DF">
        <w:rPr>
          <w:rFonts w:ascii="Century Schoolbook" w:hAnsi="Century Schoolbook" w:cs="Times New Roman"/>
          <w:sz w:val="21"/>
          <w:szCs w:val="21"/>
        </w:rPr>
        <w:t xml:space="preserve"> 88:581–606.</w:t>
      </w:r>
    </w:p>
    <w:p w14:paraId="78D139EC"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Barber, B., R. Lehavy, M. McNichols, and B. Trueman. 2001. Can Investors Profit from the Prophets? Security Analyst Recommendations and Stock Returns. </w:t>
      </w:r>
      <w:r w:rsidRPr="008718DF">
        <w:rPr>
          <w:rFonts w:ascii="Century Schoolbook" w:hAnsi="Century Schoolbook" w:cs="Times New Roman"/>
          <w:i/>
          <w:iCs/>
          <w:sz w:val="21"/>
          <w:szCs w:val="21"/>
        </w:rPr>
        <w:t>The Journal of Finance</w:t>
      </w:r>
      <w:r w:rsidRPr="008718DF">
        <w:rPr>
          <w:rFonts w:ascii="Century Schoolbook" w:hAnsi="Century Schoolbook" w:cs="Times New Roman"/>
          <w:sz w:val="21"/>
          <w:szCs w:val="21"/>
        </w:rPr>
        <w:t xml:space="preserve"> 56:531–63.</w:t>
      </w:r>
    </w:p>
    <w:p w14:paraId="3D4F9231" w14:textId="615D39CB" w:rsidR="00223954" w:rsidRPr="008718DF" w:rsidRDefault="00223954" w:rsidP="00672757">
      <w:pPr>
        <w:pStyle w:val="Bibliography"/>
        <w:rPr>
          <w:rFonts w:ascii="Century Schoolbook" w:hAnsi="Century Schoolbook" w:cs="Times New Roman"/>
          <w:sz w:val="21"/>
          <w:szCs w:val="21"/>
        </w:rPr>
      </w:pPr>
      <w:r w:rsidRPr="008718DF">
        <w:rPr>
          <w:rFonts w:ascii="Century Schoolbook" w:hAnsi="Century Schoolbook" w:cs="Times New Roman"/>
          <w:sz w:val="21"/>
          <w:szCs w:val="21"/>
        </w:rPr>
        <w:t xml:space="preserve">Barber, B. M., R. Lehavy, M. McNichols, and B. Trueman. 2006. Buys, Holds, and Sells: The Distribution of Investment Banks’ Stock Ratings and the Implications for the Profitability of Analysts’ Recommendations. </w:t>
      </w:r>
      <w:r w:rsidR="00276D34" w:rsidRPr="008718DF">
        <w:rPr>
          <w:rFonts w:ascii="Century Schoolbook" w:hAnsi="Century Schoolbook" w:cs="Times New Roman"/>
          <w:i/>
          <w:iCs/>
          <w:sz w:val="21"/>
          <w:szCs w:val="21"/>
        </w:rPr>
        <w:t>Journal of A</w:t>
      </w:r>
      <w:r w:rsidRPr="008718DF">
        <w:rPr>
          <w:rFonts w:ascii="Century Schoolbook" w:hAnsi="Century Schoolbook" w:cs="Times New Roman"/>
          <w:i/>
          <w:iCs/>
          <w:sz w:val="21"/>
          <w:szCs w:val="21"/>
        </w:rPr>
        <w:t>ccounting and Economics</w:t>
      </w:r>
      <w:r w:rsidRPr="008718DF">
        <w:rPr>
          <w:rFonts w:ascii="Century Schoolbook" w:hAnsi="Century Schoolbook" w:cs="Times New Roman"/>
          <w:sz w:val="21"/>
          <w:szCs w:val="21"/>
        </w:rPr>
        <w:t xml:space="preserve"> 41:87–117.</w:t>
      </w:r>
    </w:p>
    <w:p w14:paraId="0DA80A8C"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Barber, B., R. Lehavy, and B. Trueman. 2007. Comparing the Stock Recommendation Performance of Investment Banks and Independent Research Firms. </w:t>
      </w:r>
      <w:r w:rsidRPr="008718DF">
        <w:rPr>
          <w:rFonts w:ascii="Century Schoolbook" w:hAnsi="Century Schoolbook" w:cs="Times New Roman"/>
          <w:i/>
          <w:iCs/>
          <w:sz w:val="21"/>
          <w:szCs w:val="21"/>
        </w:rPr>
        <w:t>Journal of Financial Economics</w:t>
      </w:r>
      <w:r w:rsidRPr="008718DF">
        <w:rPr>
          <w:rFonts w:ascii="Century Schoolbook" w:hAnsi="Century Schoolbook" w:cs="Times New Roman"/>
          <w:sz w:val="21"/>
          <w:szCs w:val="21"/>
        </w:rPr>
        <w:t xml:space="preserve"> 85:490–517.</w:t>
      </w:r>
    </w:p>
    <w:p w14:paraId="03BB3A58" w14:textId="77777777" w:rsidR="00233C3D" w:rsidRPr="008718DF" w:rsidRDefault="00233C3D" w:rsidP="00672757">
      <w:pPr>
        <w:pStyle w:val="Bibliography"/>
        <w:rPr>
          <w:rFonts w:ascii="Century Schoolbook" w:hAnsi="Century Schoolbook" w:cs="Calibri"/>
          <w:sz w:val="21"/>
          <w:szCs w:val="21"/>
        </w:rPr>
      </w:pPr>
      <w:r w:rsidRPr="008718DF">
        <w:rPr>
          <w:rFonts w:ascii="Century Schoolbook" w:hAnsi="Century Schoolbook" w:cs="Calibri"/>
          <w:sz w:val="21"/>
          <w:szCs w:val="21"/>
        </w:rPr>
        <w:t xml:space="preserve">Bernhardt, D., C. Wan, and Z. Xiao. 2016. The Reluctant Analyst. </w:t>
      </w:r>
      <w:r w:rsidRPr="008718DF">
        <w:rPr>
          <w:rFonts w:ascii="Century Schoolbook" w:hAnsi="Century Schoolbook" w:cs="Calibri"/>
          <w:i/>
          <w:iCs/>
          <w:sz w:val="21"/>
          <w:szCs w:val="21"/>
        </w:rPr>
        <w:t>Journal of Accounting Research</w:t>
      </w:r>
      <w:r w:rsidRPr="008718DF">
        <w:rPr>
          <w:rFonts w:ascii="Century Schoolbook" w:hAnsi="Century Schoolbook" w:cs="Calibri"/>
          <w:sz w:val="21"/>
          <w:szCs w:val="21"/>
        </w:rPr>
        <w:t xml:space="preserve"> 54:987–1040.</w:t>
      </w:r>
    </w:p>
    <w:p w14:paraId="02A9616C" w14:textId="38FF31B1" w:rsidR="00702AA6" w:rsidRPr="008718DF" w:rsidRDefault="00702AA6" w:rsidP="00672757">
      <w:pPr>
        <w:jc w:val="both"/>
        <w:rPr>
          <w:rFonts w:ascii="Century Schoolbook" w:hAnsi="Century Schoolbook"/>
          <w:sz w:val="21"/>
          <w:szCs w:val="21"/>
        </w:rPr>
      </w:pPr>
      <w:r w:rsidRPr="008718DF">
        <w:rPr>
          <w:rFonts w:ascii="Century Schoolbook" w:hAnsi="Century Schoolbook"/>
          <w:sz w:val="21"/>
          <w:szCs w:val="21"/>
        </w:rPr>
        <w:t>Bradley, D., J. Clarke, S. Lee, and C. Ornthanalai. 2014. Are</w:t>
      </w:r>
      <w:r w:rsidR="004C1BCC" w:rsidRPr="008718DF">
        <w:rPr>
          <w:rFonts w:ascii="Century Schoolbook" w:hAnsi="Century Schoolbook"/>
          <w:sz w:val="21"/>
          <w:szCs w:val="21"/>
        </w:rPr>
        <w:t xml:space="preserve"> Analysts' Recommendations I</w:t>
      </w:r>
      <w:r w:rsidRPr="008718DF">
        <w:rPr>
          <w:rFonts w:ascii="Century Schoolbook" w:hAnsi="Century Schoolbook"/>
          <w:sz w:val="21"/>
          <w:szCs w:val="21"/>
        </w:rPr>
        <w:t xml:space="preserve">nformative: </w:t>
      </w:r>
      <w:r w:rsidR="004C1BCC" w:rsidRPr="008718DF">
        <w:rPr>
          <w:rFonts w:ascii="Century Schoolbook" w:hAnsi="Century Schoolbook"/>
          <w:sz w:val="21"/>
          <w:szCs w:val="21"/>
        </w:rPr>
        <w:t>Intraday Evidence on the I</w:t>
      </w:r>
      <w:r w:rsidRPr="008718DF">
        <w:rPr>
          <w:rFonts w:ascii="Century Schoolbook" w:hAnsi="Century Schoolbook"/>
          <w:sz w:val="21"/>
          <w:szCs w:val="21"/>
        </w:rPr>
        <w:t>mpact of</w:t>
      </w:r>
      <w:r w:rsidR="004C1BCC" w:rsidRPr="008718DF">
        <w:rPr>
          <w:rFonts w:ascii="Century Schoolbook" w:hAnsi="Century Schoolbook"/>
          <w:sz w:val="21"/>
          <w:szCs w:val="21"/>
        </w:rPr>
        <w:t xml:space="preserve"> Timestamp D</w:t>
      </w:r>
      <w:r w:rsidRPr="008718DF">
        <w:rPr>
          <w:rFonts w:ascii="Century Schoolbook" w:hAnsi="Century Schoolbook"/>
          <w:sz w:val="21"/>
          <w:szCs w:val="21"/>
        </w:rPr>
        <w:t xml:space="preserve">elay. </w:t>
      </w:r>
      <w:r w:rsidR="00EF0714" w:rsidRPr="00EF0714">
        <w:rPr>
          <w:rFonts w:ascii="Century Schoolbook" w:hAnsi="Century Schoolbook"/>
          <w:i/>
          <w:sz w:val="21"/>
          <w:szCs w:val="21"/>
        </w:rPr>
        <w:t>The</w:t>
      </w:r>
      <w:r w:rsidR="00EF0714">
        <w:rPr>
          <w:rFonts w:ascii="Century Schoolbook" w:hAnsi="Century Schoolbook"/>
          <w:sz w:val="21"/>
          <w:szCs w:val="21"/>
        </w:rPr>
        <w:t xml:space="preserve"> </w:t>
      </w:r>
      <w:r w:rsidRPr="008718DF">
        <w:rPr>
          <w:rFonts w:ascii="Century Schoolbook" w:hAnsi="Century Schoolbook"/>
          <w:i/>
          <w:sz w:val="21"/>
          <w:szCs w:val="21"/>
        </w:rPr>
        <w:t>Journal of Finance</w:t>
      </w:r>
      <w:r w:rsidR="004C1BCC" w:rsidRPr="008718DF">
        <w:rPr>
          <w:rFonts w:ascii="Century Schoolbook" w:hAnsi="Century Schoolbook"/>
          <w:i/>
          <w:sz w:val="21"/>
          <w:szCs w:val="21"/>
        </w:rPr>
        <w:t xml:space="preserve"> </w:t>
      </w:r>
      <w:r w:rsidR="004C1BCC" w:rsidRPr="008718DF">
        <w:rPr>
          <w:rFonts w:ascii="Century Schoolbook" w:hAnsi="Century Schoolbook"/>
          <w:sz w:val="21"/>
          <w:szCs w:val="21"/>
        </w:rPr>
        <w:t>69: 645–673.</w:t>
      </w:r>
    </w:p>
    <w:p w14:paraId="120411C8" w14:textId="3F71F790" w:rsidR="001136FF" w:rsidRPr="008718DF" w:rsidRDefault="001136FF" w:rsidP="00672757">
      <w:pPr>
        <w:jc w:val="both"/>
        <w:rPr>
          <w:rFonts w:ascii="Century Schoolbook" w:hAnsi="Century Schoolbook"/>
          <w:sz w:val="21"/>
          <w:szCs w:val="21"/>
        </w:rPr>
      </w:pPr>
      <w:r w:rsidRPr="008718DF">
        <w:rPr>
          <w:rFonts w:ascii="Century Schoolbook" w:hAnsi="Century Schoolbook"/>
          <w:sz w:val="21"/>
          <w:szCs w:val="21"/>
        </w:rPr>
        <w:fldChar w:fldCharType="begin"/>
      </w:r>
      <w:r w:rsidRPr="008718DF">
        <w:rPr>
          <w:rFonts w:ascii="Century Schoolbook" w:hAnsi="Century Schoolbook"/>
          <w:sz w:val="21"/>
          <w:szCs w:val="21"/>
        </w:rPr>
        <w:instrText xml:space="preserve"> ADDIN ZOTERO_BIBL {"custom":[]} CSL_BIBLIOGRAPHY </w:instrText>
      </w:r>
      <w:r w:rsidRPr="008718DF">
        <w:rPr>
          <w:rFonts w:ascii="Century Schoolbook" w:hAnsi="Century Schoolbook"/>
          <w:sz w:val="21"/>
          <w:szCs w:val="21"/>
        </w:rPr>
        <w:fldChar w:fldCharType="separate"/>
      </w:r>
      <w:r w:rsidRPr="008718DF">
        <w:rPr>
          <w:rFonts w:ascii="Century Schoolbook" w:hAnsi="Century Schoolbook"/>
          <w:sz w:val="21"/>
          <w:szCs w:val="21"/>
        </w:rPr>
        <w:t>Bradshaw, M. 2011. Analysts’ Forecasts: What Do We Know After Decades of Work? Working paper, Boston College.</w:t>
      </w:r>
    </w:p>
    <w:p w14:paraId="41F46D79" w14:textId="354F0C89" w:rsidR="00E354EB" w:rsidRPr="008718DF" w:rsidRDefault="001136FF" w:rsidP="00672757">
      <w:pPr>
        <w:jc w:val="both"/>
        <w:rPr>
          <w:rFonts w:ascii="Century Schoolbook" w:hAnsi="Century Schoolbook" w:cs="Times New Roman"/>
          <w:sz w:val="21"/>
          <w:szCs w:val="21"/>
        </w:rPr>
      </w:pPr>
      <w:r w:rsidRPr="008718DF">
        <w:rPr>
          <w:rFonts w:ascii="Century Schoolbook" w:hAnsi="Century Schoolbook"/>
          <w:sz w:val="21"/>
          <w:szCs w:val="21"/>
        </w:rPr>
        <w:fldChar w:fldCharType="end"/>
      </w:r>
      <w:r w:rsidR="00E354EB" w:rsidRPr="008718DF">
        <w:rPr>
          <w:rFonts w:ascii="Century Schoolbook" w:hAnsi="Century Schoolbook" w:cs="Times New Roman"/>
          <w:sz w:val="21"/>
          <w:szCs w:val="21"/>
        </w:rPr>
        <w:t xml:space="preserve">Clement, M. B. 1999. Analyst Forecast Accuracy: Do Ability, Resources, and Portfolio Complexity Matter? </w:t>
      </w:r>
      <w:r w:rsidR="00E354EB" w:rsidRPr="008718DF">
        <w:rPr>
          <w:rFonts w:ascii="Century Schoolbook" w:hAnsi="Century Schoolbook" w:cs="Times New Roman"/>
          <w:i/>
          <w:iCs/>
          <w:sz w:val="21"/>
          <w:szCs w:val="21"/>
        </w:rPr>
        <w:t>Journal of Accounting and Economics</w:t>
      </w:r>
      <w:r w:rsidR="00E354EB" w:rsidRPr="008718DF">
        <w:rPr>
          <w:rFonts w:ascii="Century Schoolbook" w:hAnsi="Century Schoolbook" w:cs="Times New Roman"/>
          <w:sz w:val="21"/>
          <w:szCs w:val="21"/>
        </w:rPr>
        <w:t xml:space="preserve"> 27:285–303.</w:t>
      </w:r>
    </w:p>
    <w:p w14:paraId="59188283" w14:textId="5A1BEB22"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Clement, M. B., and S. Y. Tse. 2005. Financial Analyst Characteristics and Herding Behavior in Forecasting. </w:t>
      </w:r>
      <w:r w:rsidR="00735443" w:rsidRPr="008718DF">
        <w:rPr>
          <w:rFonts w:ascii="Century Schoolbook" w:hAnsi="Century Schoolbook" w:cs="Times New Roman"/>
          <w:i/>
          <w:iCs/>
          <w:sz w:val="21"/>
          <w:szCs w:val="21"/>
        </w:rPr>
        <w:t>The Journal of F</w:t>
      </w:r>
      <w:r w:rsidRPr="008718DF">
        <w:rPr>
          <w:rFonts w:ascii="Century Schoolbook" w:hAnsi="Century Schoolbook" w:cs="Times New Roman"/>
          <w:i/>
          <w:iCs/>
          <w:sz w:val="21"/>
          <w:szCs w:val="21"/>
        </w:rPr>
        <w:t>inance</w:t>
      </w:r>
      <w:r w:rsidRPr="008718DF">
        <w:rPr>
          <w:rFonts w:ascii="Century Schoolbook" w:hAnsi="Century Schoolbook" w:cs="Times New Roman"/>
          <w:sz w:val="21"/>
          <w:szCs w:val="21"/>
        </w:rPr>
        <w:t xml:space="preserve"> 60:307–41.</w:t>
      </w:r>
    </w:p>
    <w:p w14:paraId="69B8D04D" w14:textId="167ED40D" w:rsidR="00233C3D" w:rsidRDefault="00233C3D" w:rsidP="00672757">
      <w:pPr>
        <w:pStyle w:val="Bibliography"/>
        <w:rPr>
          <w:rFonts w:ascii="Century Schoolbook" w:hAnsi="Century Schoolbook" w:cs="Calibri"/>
          <w:sz w:val="21"/>
          <w:szCs w:val="21"/>
        </w:rPr>
      </w:pPr>
      <w:r w:rsidRPr="008718DF">
        <w:rPr>
          <w:rFonts w:ascii="Century Schoolbook" w:hAnsi="Century Schoolbook" w:cs="Calibri"/>
          <w:sz w:val="21"/>
          <w:szCs w:val="21"/>
        </w:rPr>
        <w:t>Cohn, J. B., U. G. Gurun, and R. Moussawi. 2014. Micro-Level Value Creation Under CEO Short-Termism. Working Paper, University of Texas at Austin.</w:t>
      </w:r>
    </w:p>
    <w:p w14:paraId="70A87E57" w14:textId="78E4A883" w:rsidR="00014220" w:rsidRPr="00014220" w:rsidRDefault="00014220" w:rsidP="00672757">
      <w:pPr>
        <w:rPr>
          <w:rFonts w:ascii="Century Schoolbook" w:hAnsi="Century Schoolbook" w:cs="Arial"/>
          <w:color w:val="222222"/>
          <w:sz w:val="21"/>
          <w:szCs w:val="21"/>
          <w:shd w:val="clear" w:color="auto" w:fill="FFFFFF"/>
        </w:rPr>
      </w:pPr>
      <w:r w:rsidRPr="00014220">
        <w:rPr>
          <w:rFonts w:ascii="Century Schoolbook" w:hAnsi="Century Schoolbook" w:cs="Arial"/>
          <w:color w:val="222222"/>
          <w:sz w:val="21"/>
          <w:szCs w:val="21"/>
          <w:shd w:val="clear" w:color="auto" w:fill="FFFFFF"/>
        </w:rPr>
        <w:t>Conrad, J.,</w:t>
      </w:r>
      <w:r w:rsidR="00B4129A">
        <w:rPr>
          <w:rFonts w:ascii="Century Schoolbook" w:hAnsi="Century Schoolbook" w:cs="Arial"/>
          <w:color w:val="222222"/>
          <w:sz w:val="21"/>
          <w:szCs w:val="21"/>
          <w:shd w:val="clear" w:color="auto" w:fill="FFFFFF"/>
        </w:rPr>
        <w:t xml:space="preserve"> </w:t>
      </w:r>
      <w:r w:rsidR="00196B40">
        <w:rPr>
          <w:rFonts w:ascii="Century Schoolbook" w:hAnsi="Century Schoolbook" w:cs="Arial"/>
          <w:color w:val="222222"/>
          <w:sz w:val="21"/>
          <w:szCs w:val="21"/>
          <w:shd w:val="clear" w:color="auto" w:fill="FFFFFF"/>
        </w:rPr>
        <w:t xml:space="preserve">B. </w:t>
      </w:r>
      <w:r w:rsidR="00B4129A">
        <w:rPr>
          <w:rFonts w:ascii="Century Schoolbook" w:hAnsi="Century Schoolbook" w:cs="Arial"/>
          <w:color w:val="222222"/>
          <w:sz w:val="21"/>
          <w:szCs w:val="21"/>
          <w:shd w:val="clear" w:color="auto" w:fill="FFFFFF"/>
        </w:rPr>
        <w:t>Cornell,</w:t>
      </w:r>
      <w:r w:rsidR="00196B40">
        <w:rPr>
          <w:rFonts w:ascii="Century Schoolbook" w:hAnsi="Century Schoolbook" w:cs="Arial"/>
          <w:color w:val="222222"/>
          <w:sz w:val="21"/>
          <w:szCs w:val="21"/>
          <w:shd w:val="clear" w:color="auto" w:fill="FFFFFF"/>
        </w:rPr>
        <w:t xml:space="preserve"> W.R.</w:t>
      </w:r>
      <w:r w:rsidR="00B4129A">
        <w:rPr>
          <w:rFonts w:ascii="Century Schoolbook" w:hAnsi="Century Schoolbook" w:cs="Arial"/>
          <w:color w:val="222222"/>
          <w:sz w:val="21"/>
          <w:szCs w:val="21"/>
          <w:shd w:val="clear" w:color="auto" w:fill="FFFFFF"/>
        </w:rPr>
        <w:t xml:space="preserve"> Landsman, and</w:t>
      </w:r>
      <w:r w:rsidR="00196B40">
        <w:rPr>
          <w:rFonts w:ascii="Century Schoolbook" w:hAnsi="Century Schoolbook" w:cs="Arial"/>
          <w:color w:val="222222"/>
          <w:sz w:val="21"/>
          <w:szCs w:val="21"/>
          <w:shd w:val="clear" w:color="auto" w:fill="FFFFFF"/>
        </w:rPr>
        <w:t xml:space="preserve"> B.R.</w:t>
      </w:r>
      <w:r w:rsidRPr="00014220">
        <w:rPr>
          <w:rFonts w:ascii="Century Schoolbook" w:hAnsi="Century Schoolbook" w:cs="Arial"/>
          <w:color w:val="222222"/>
          <w:sz w:val="21"/>
          <w:szCs w:val="21"/>
          <w:shd w:val="clear" w:color="auto" w:fill="FFFFFF"/>
        </w:rPr>
        <w:t xml:space="preserve"> Rountree. 2006. How do analyst recommendations respond to major news? </w:t>
      </w:r>
      <w:r w:rsidRPr="00014220">
        <w:rPr>
          <w:rFonts w:ascii="Century Schoolbook" w:hAnsi="Century Schoolbook" w:cs="Arial"/>
          <w:i/>
          <w:iCs/>
          <w:color w:val="222222"/>
          <w:sz w:val="21"/>
          <w:szCs w:val="21"/>
          <w:shd w:val="clear" w:color="auto" w:fill="FFFFFF"/>
        </w:rPr>
        <w:t>Journal of Financial and Quantitative Analysis</w:t>
      </w:r>
      <w:r w:rsidRPr="00014220">
        <w:rPr>
          <w:rFonts w:ascii="Century Schoolbook" w:hAnsi="Century Schoolbook" w:cs="Arial"/>
          <w:color w:val="222222"/>
          <w:sz w:val="21"/>
          <w:szCs w:val="21"/>
          <w:shd w:val="clear" w:color="auto" w:fill="FFFFFF"/>
        </w:rPr>
        <w:t>, </w:t>
      </w:r>
      <w:r w:rsidRPr="00014220">
        <w:rPr>
          <w:rFonts w:ascii="Century Schoolbook" w:hAnsi="Century Schoolbook" w:cs="Arial"/>
          <w:iCs/>
          <w:color w:val="222222"/>
          <w:sz w:val="21"/>
          <w:szCs w:val="21"/>
          <w:shd w:val="clear" w:color="auto" w:fill="FFFFFF"/>
        </w:rPr>
        <w:t>41</w:t>
      </w:r>
      <w:r w:rsidRPr="00014220">
        <w:rPr>
          <w:rFonts w:ascii="Century Schoolbook" w:hAnsi="Century Schoolbook" w:cs="Arial"/>
          <w:color w:val="222222"/>
          <w:sz w:val="21"/>
          <w:szCs w:val="21"/>
          <w:shd w:val="clear" w:color="auto" w:fill="FFFFFF"/>
        </w:rPr>
        <w:t>: 25-49.</w:t>
      </w:r>
    </w:p>
    <w:p w14:paraId="6667BC7A" w14:textId="1E462520" w:rsidR="000D6AE1" w:rsidRPr="008718DF" w:rsidRDefault="000D6AE1" w:rsidP="00672757">
      <w:pPr>
        <w:jc w:val="both"/>
        <w:rPr>
          <w:rFonts w:ascii="Century Schoolbook" w:hAnsi="Century Schoolbook"/>
          <w:sz w:val="21"/>
          <w:szCs w:val="21"/>
        </w:rPr>
      </w:pPr>
      <w:r w:rsidRPr="008718DF">
        <w:rPr>
          <w:rFonts w:ascii="Century Schoolbook" w:hAnsi="Century Schoolbook"/>
          <w:sz w:val="21"/>
          <w:szCs w:val="21"/>
        </w:rPr>
        <w:t xml:space="preserve">Cooper, R. A., T. E. Days, and C. M. Lewis. 2001. Following the leader: a study of individual analysts' earning forecasts. </w:t>
      </w:r>
      <w:r w:rsidRPr="008718DF">
        <w:rPr>
          <w:rFonts w:ascii="Century Schoolbook" w:hAnsi="Century Schoolbook"/>
          <w:i/>
          <w:sz w:val="21"/>
          <w:szCs w:val="21"/>
        </w:rPr>
        <w:t>Journal of Financial Economics</w:t>
      </w:r>
      <w:r w:rsidRPr="008718DF">
        <w:rPr>
          <w:rFonts w:ascii="Century Schoolbook" w:hAnsi="Century Schoolbook"/>
          <w:sz w:val="21"/>
          <w:szCs w:val="21"/>
        </w:rPr>
        <w:t xml:space="preserve"> 61: 383</w:t>
      </w:r>
      <w:r w:rsidRPr="008718DF">
        <w:rPr>
          <w:rFonts w:ascii="Century Schoolbook" w:hAnsi="Century Schoolbook" w:cs="Times New Roman"/>
          <w:sz w:val="21"/>
          <w:szCs w:val="21"/>
        </w:rPr>
        <w:t>–</w:t>
      </w:r>
      <w:r w:rsidRPr="008718DF">
        <w:rPr>
          <w:rFonts w:ascii="Century Schoolbook" w:hAnsi="Century Schoolbook"/>
          <w:sz w:val="21"/>
          <w:szCs w:val="21"/>
        </w:rPr>
        <w:t>416.</w:t>
      </w:r>
    </w:p>
    <w:p w14:paraId="55130FB9"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Daniel, K., M. Grinblatt, S. Titman, and R. Wermers. 1997. Measuring Mutual Fund Performance with Characteristics–Based Benchmarks. </w:t>
      </w:r>
      <w:r w:rsidRPr="008718DF">
        <w:rPr>
          <w:rFonts w:ascii="Century Schoolbook" w:hAnsi="Century Schoolbook" w:cs="Times New Roman"/>
          <w:i/>
          <w:iCs/>
          <w:sz w:val="21"/>
          <w:szCs w:val="21"/>
        </w:rPr>
        <w:t>The Journal of Finance</w:t>
      </w:r>
      <w:r w:rsidRPr="008718DF">
        <w:rPr>
          <w:rFonts w:ascii="Century Schoolbook" w:hAnsi="Century Schoolbook" w:cs="Times New Roman"/>
          <w:sz w:val="21"/>
          <w:szCs w:val="21"/>
        </w:rPr>
        <w:t xml:space="preserve"> 52:1035–58.</w:t>
      </w:r>
    </w:p>
    <w:p w14:paraId="5005116A" w14:textId="77777777" w:rsidR="00474BA8" w:rsidRPr="008718DF" w:rsidRDefault="00474BA8" w:rsidP="00672757">
      <w:pPr>
        <w:pStyle w:val="Bibliography"/>
        <w:rPr>
          <w:rFonts w:ascii="Century Schoolbook" w:hAnsi="Century Schoolbook"/>
          <w:sz w:val="21"/>
          <w:szCs w:val="21"/>
        </w:rPr>
      </w:pPr>
      <w:r w:rsidRPr="008718DF">
        <w:rPr>
          <w:rFonts w:ascii="Century Schoolbook" w:hAnsi="Century Schoolbook"/>
          <w:sz w:val="21"/>
          <w:szCs w:val="21"/>
        </w:rPr>
        <w:t>Edmans, A., L. Goncalves-Pinto, Y. Wang, and M. Xu. 2016. Strategic News Releases in Equity Vesting Months. Working Paper, London Business School.</w:t>
      </w:r>
    </w:p>
    <w:p w14:paraId="574F121C"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lastRenderedPageBreak/>
        <w:t xml:space="preserve">Fang, L. H., and A. Yasuda. 2009. The Effectiveness of Reputation as a Disciplinary Mechanism in Sell–Side Research. </w:t>
      </w:r>
      <w:r w:rsidRPr="008718DF">
        <w:rPr>
          <w:rFonts w:ascii="Century Schoolbook" w:hAnsi="Century Schoolbook" w:cs="Times New Roman"/>
          <w:i/>
          <w:iCs/>
          <w:sz w:val="21"/>
          <w:szCs w:val="21"/>
        </w:rPr>
        <w:t>Review of Financial Studies</w:t>
      </w:r>
      <w:r w:rsidRPr="008718DF">
        <w:rPr>
          <w:rFonts w:ascii="Century Schoolbook" w:hAnsi="Century Schoolbook" w:cs="Times New Roman"/>
          <w:sz w:val="21"/>
          <w:szCs w:val="21"/>
        </w:rPr>
        <w:t xml:space="preserve"> 22:3735–77.</w:t>
      </w:r>
    </w:p>
    <w:p w14:paraId="0F769737"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Fang, L. H., and A. Yasuda. 2013. Are Stars’ Opinions Worth More? The Relation Between Analyst Reputation and Recommendation Values. </w:t>
      </w:r>
      <w:r w:rsidRPr="008718DF">
        <w:rPr>
          <w:rFonts w:ascii="Century Schoolbook" w:hAnsi="Century Schoolbook" w:cs="Times New Roman"/>
          <w:i/>
          <w:iCs/>
          <w:sz w:val="21"/>
          <w:szCs w:val="21"/>
        </w:rPr>
        <w:t>Journal of Financial Services Research</w:t>
      </w:r>
      <w:r w:rsidRPr="008718DF">
        <w:rPr>
          <w:rFonts w:ascii="Century Schoolbook" w:hAnsi="Century Schoolbook" w:cs="Times New Roman"/>
          <w:sz w:val="21"/>
          <w:szCs w:val="21"/>
        </w:rPr>
        <w:t xml:space="preserve"> :1–35.</w:t>
      </w:r>
    </w:p>
    <w:p w14:paraId="10458AD0" w14:textId="339B4C18" w:rsidR="006C33C0" w:rsidRPr="008718DF" w:rsidRDefault="006C33C0" w:rsidP="00672757">
      <w:pPr>
        <w:jc w:val="both"/>
        <w:rPr>
          <w:rFonts w:ascii="Century Schoolbook" w:hAnsi="Century Schoolbook"/>
          <w:sz w:val="21"/>
          <w:szCs w:val="21"/>
        </w:rPr>
      </w:pPr>
      <w:r w:rsidRPr="008718DF">
        <w:rPr>
          <w:rFonts w:ascii="Century Schoolbook" w:hAnsi="Century Schoolbook"/>
          <w:sz w:val="21"/>
          <w:szCs w:val="21"/>
        </w:rPr>
        <w:t xml:space="preserve">Frankel, R., S. P., Kothari, and J. Weber. 2006. Determinants of the Informativeness of Analysts Research. </w:t>
      </w:r>
      <w:r w:rsidRPr="008718DF">
        <w:rPr>
          <w:rFonts w:ascii="Century Schoolbook" w:hAnsi="Century Schoolbook"/>
          <w:i/>
          <w:sz w:val="21"/>
          <w:szCs w:val="21"/>
        </w:rPr>
        <w:t>Journal of Accounting and Economics</w:t>
      </w:r>
      <w:r w:rsidRPr="008718DF">
        <w:rPr>
          <w:rFonts w:ascii="Century Schoolbook" w:hAnsi="Century Schoolbook"/>
          <w:sz w:val="21"/>
          <w:szCs w:val="21"/>
        </w:rPr>
        <w:t xml:space="preserve"> 41: 29</w:t>
      </w:r>
      <w:r w:rsidRPr="008718DF">
        <w:rPr>
          <w:rFonts w:ascii="Century Schoolbook" w:hAnsi="Century Schoolbook" w:cs="Times New Roman"/>
          <w:sz w:val="21"/>
          <w:szCs w:val="21"/>
        </w:rPr>
        <w:t>–</w:t>
      </w:r>
      <w:r w:rsidRPr="008718DF">
        <w:rPr>
          <w:rFonts w:ascii="Century Schoolbook" w:hAnsi="Century Schoolbook"/>
          <w:sz w:val="21"/>
          <w:szCs w:val="21"/>
        </w:rPr>
        <w:t>54.</w:t>
      </w:r>
    </w:p>
    <w:p w14:paraId="69231EE4" w14:textId="4E848E56" w:rsidR="00E87077" w:rsidRDefault="00E87077" w:rsidP="00672757">
      <w:pPr>
        <w:autoSpaceDE w:val="0"/>
        <w:autoSpaceDN w:val="0"/>
        <w:adjustRightInd w:val="0"/>
        <w:spacing w:after="0"/>
        <w:jc w:val="both"/>
        <w:rPr>
          <w:rFonts w:ascii="Century Schoolbook" w:hAnsi="Century Schoolbook"/>
          <w:sz w:val="21"/>
          <w:szCs w:val="21"/>
        </w:rPr>
      </w:pPr>
      <w:r w:rsidRPr="008718DF">
        <w:rPr>
          <w:rFonts w:ascii="Century Schoolbook" w:hAnsi="Century Schoolbook"/>
          <w:sz w:val="21"/>
          <w:szCs w:val="21"/>
        </w:rPr>
        <w:t xml:space="preserve">George, T.J., Hwang, C.-Y., 2004. The 52-week high and momentum investing. </w:t>
      </w:r>
      <w:r w:rsidRPr="008718DF">
        <w:rPr>
          <w:rFonts w:ascii="Century Schoolbook" w:hAnsi="Century Schoolbook"/>
          <w:i/>
          <w:sz w:val="21"/>
          <w:szCs w:val="21"/>
        </w:rPr>
        <w:t>Journal of Finance</w:t>
      </w:r>
      <w:r w:rsidRPr="008718DF">
        <w:rPr>
          <w:rFonts w:ascii="Century Schoolbook" w:hAnsi="Century Schoolbook"/>
          <w:sz w:val="21"/>
          <w:szCs w:val="21"/>
        </w:rPr>
        <w:t xml:space="preserve"> 59, 2145-2176.</w:t>
      </w:r>
    </w:p>
    <w:p w14:paraId="4E55496A" w14:textId="77777777" w:rsidR="00B573F7" w:rsidRPr="008718DF" w:rsidRDefault="00B573F7" w:rsidP="00672757">
      <w:pPr>
        <w:autoSpaceDE w:val="0"/>
        <w:autoSpaceDN w:val="0"/>
        <w:adjustRightInd w:val="0"/>
        <w:spacing w:after="0"/>
        <w:jc w:val="both"/>
        <w:rPr>
          <w:rFonts w:ascii="Century Schoolbook" w:hAnsi="Century Schoolbook"/>
          <w:sz w:val="21"/>
          <w:szCs w:val="21"/>
        </w:rPr>
      </w:pPr>
    </w:p>
    <w:p w14:paraId="66542A7A" w14:textId="465ACF49"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Hilary, G., and C. Hsu. 2013. Analyst Forecast Consistency. </w:t>
      </w:r>
      <w:r w:rsidRPr="008718DF">
        <w:rPr>
          <w:rFonts w:ascii="Century Schoolbook" w:hAnsi="Century Schoolbook" w:cs="Times New Roman"/>
          <w:i/>
          <w:iCs/>
          <w:sz w:val="21"/>
          <w:szCs w:val="21"/>
        </w:rPr>
        <w:t>The Journal of Finance</w:t>
      </w:r>
      <w:r w:rsidRPr="008718DF">
        <w:rPr>
          <w:rFonts w:ascii="Century Schoolbook" w:hAnsi="Century Schoolbook" w:cs="Times New Roman"/>
          <w:sz w:val="21"/>
          <w:szCs w:val="21"/>
        </w:rPr>
        <w:t xml:space="preserve"> 68:271–97.</w:t>
      </w:r>
    </w:p>
    <w:p w14:paraId="45EE84E7"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Hobbs, J., T. Kovacs, and V. Sharma. 2012. The Investment Value of the Frequency of Analyst Recommendation Changes for the Ordinary Investor. </w:t>
      </w:r>
      <w:r w:rsidRPr="008718DF">
        <w:rPr>
          <w:rFonts w:ascii="Century Schoolbook" w:hAnsi="Century Schoolbook" w:cs="Times New Roman"/>
          <w:i/>
          <w:iCs/>
          <w:sz w:val="21"/>
          <w:szCs w:val="21"/>
        </w:rPr>
        <w:t>Journal of Empirical Finance</w:t>
      </w:r>
      <w:r w:rsidRPr="008718DF">
        <w:rPr>
          <w:rFonts w:ascii="Century Schoolbook" w:hAnsi="Century Schoolbook" w:cs="Times New Roman"/>
          <w:sz w:val="21"/>
          <w:szCs w:val="21"/>
        </w:rPr>
        <w:t xml:space="preserve"> 19:94–108.</w:t>
      </w:r>
    </w:p>
    <w:p w14:paraId="6A6D720C" w14:textId="366444C4"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Hong, H., and J.</w:t>
      </w:r>
      <w:r w:rsidR="00E76BAA" w:rsidRPr="008718DF">
        <w:rPr>
          <w:rFonts w:ascii="Century Schoolbook" w:hAnsi="Century Schoolbook" w:cs="Times New Roman"/>
          <w:sz w:val="21"/>
          <w:szCs w:val="21"/>
        </w:rPr>
        <w:t>D.</w:t>
      </w:r>
      <w:r w:rsidRPr="008718DF">
        <w:rPr>
          <w:rFonts w:ascii="Century Schoolbook" w:hAnsi="Century Schoolbook" w:cs="Times New Roman"/>
          <w:sz w:val="21"/>
          <w:szCs w:val="21"/>
        </w:rPr>
        <w:t xml:space="preserve"> Kubik. 2003. Analyzing the Analysts: Career Concerns and Biased Earnings Forecasts. </w:t>
      </w:r>
      <w:r w:rsidRPr="008718DF">
        <w:rPr>
          <w:rFonts w:ascii="Century Schoolbook" w:hAnsi="Century Schoolbook" w:cs="Times New Roman"/>
          <w:i/>
          <w:iCs/>
          <w:sz w:val="21"/>
          <w:szCs w:val="21"/>
        </w:rPr>
        <w:t>The Journal of Finance</w:t>
      </w:r>
      <w:r w:rsidRPr="008718DF">
        <w:rPr>
          <w:rFonts w:ascii="Century Schoolbook" w:hAnsi="Century Schoolbook" w:cs="Times New Roman"/>
          <w:sz w:val="21"/>
          <w:szCs w:val="21"/>
        </w:rPr>
        <w:t xml:space="preserve"> 58:313–51.</w:t>
      </w:r>
    </w:p>
    <w:p w14:paraId="03BD384A"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Ivković, Z., and N. Jegadeesh. 2004. The Timing and Value of Forecast and Recommendation Revisions. </w:t>
      </w:r>
      <w:r w:rsidRPr="008718DF">
        <w:rPr>
          <w:rFonts w:ascii="Century Schoolbook" w:hAnsi="Century Schoolbook" w:cs="Times New Roman"/>
          <w:i/>
          <w:iCs/>
          <w:sz w:val="21"/>
          <w:szCs w:val="21"/>
        </w:rPr>
        <w:t>Journal of Financial Economics</w:t>
      </w:r>
      <w:r w:rsidRPr="008718DF">
        <w:rPr>
          <w:rFonts w:ascii="Century Schoolbook" w:hAnsi="Century Schoolbook" w:cs="Times New Roman"/>
          <w:sz w:val="21"/>
          <w:szCs w:val="21"/>
        </w:rPr>
        <w:t xml:space="preserve"> 73:433–63.</w:t>
      </w:r>
    </w:p>
    <w:p w14:paraId="0D252103"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Jackson, A. R. 2005. Trade Generation, Reputation, and Sell–Side Analysts. </w:t>
      </w:r>
      <w:r w:rsidRPr="008718DF">
        <w:rPr>
          <w:rFonts w:ascii="Century Schoolbook" w:hAnsi="Century Schoolbook" w:cs="Times New Roman"/>
          <w:i/>
          <w:iCs/>
          <w:sz w:val="21"/>
          <w:szCs w:val="21"/>
        </w:rPr>
        <w:t>The Journal of Finance</w:t>
      </w:r>
      <w:r w:rsidRPr="008718DF">
        <w:rPr>
          <w:rFonts w:ascii="Century Schoolbook" w:hAnsi="Century Schoolbook" w:cs="Times New Roman"/>
          <w:sz w:val="21"/>
          <w:szCs w:val="21"/>
        </w:rPr>
        <w:t xml:space="preserve"> 60:673–717.</w:t>
      </w:r>
    </w:p>
    <w:p w14:paraId="400B0114"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Jegadeesh, N., and W. Kim. 2010. Do Analysts Herd? An Analysis of Recommendations and Market Reactions. </w:t>
      </w:r>
      <w:r w:rsidRPr="008718DF">
        <w:rPr>
          <w:rFonts w:ascii="Century Schoolbook" w:hAnsi="Century Schoolbook" w:cs="Times New Roman"/>
          <w:i/>
          <w:iCs/>
          <w:sz w:val="21"/>
          <w:szCs w:val="21"/>
        </w:rPr>
        <w:t>Review of Financial Studies</w:t>
      </w:r>
      <w:r w:rsidRPr="008718DF">
        <w:rPr>
          <w:rFonts w:ascii="Century Schoolbook" w:hAnsi="Century Schoolbook" w:cs="Times New Roman"/>
          <w:sz w:val="21"/>
          <w:szCs w:val="21"/>
        </w:rPr>
        <w:t xml:space="preserve"> 23:901–37.</w:t>
      </w:r>
    </w:p>
    <w:p w14:paraId="013523C0"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Kadan, O., L. Madureira, R. Wang, and T. Zach. 2009. Conflicts of Interest and Stock Recommendations: The Effects of the Global Settlement and Related Regulations. </w:t>
      </w:r>
      <w:r w:rsidRPr="008718DF">
        <w:rPr>
          <w:rFonts w:ascii="Century Schoolbook" w:hAnsi="Century Schoolbook" w:cs="Times New Roman"/>
          <w:i/>
          <w:iCs/>
          <w:sz w:val="21"/>
          <w:szCs w:val="21"/>
        </w:rPr>
        <w:t>Review of Financial Studies</w:t>
      </w:r>
      <w:r w:rsidRPr="008718DF">
        <w:rPr>
          <w:rFonts w:ascii="Century Schoolbook" w:hAnsi="Century Schoolbook" w:cs="Times New Roman"/>
          <w:sz w:val="21"/>
          <w:szCs w:val="21"/>
        </w:rPr>
        <w:t xml:space="preserve"> 22:4189–4217.</w:t>
      </w:r>
    </w:p>
    <w:p w14:paraId="6AFC8C9F" w14:textId="77777777" w:rsidR="00233C3D" w:rsidRPr="008718DF" w:rsidRDefault="00233C3D" w:rsidP="00672757">
      <w:pPr>
        <w:pStyle w:val="Bibliography"/>
        <w:rPr>
          <w:rFonts w:ascii="Century Schoolbook" w:hAnsi="Century Schoolbook" w:cs="Calibri"/>
          <w:sz w:val="21"/>
          <w:szCs w:val="21"/>
        </w:rPr>
      </w:pPr>
      <w:r w:rsidRPr="008718DF">
        <w:rPr>
          <w:rFonts w:ascii="Century Schoolbook" w:hAnsi="Century Schoolbook" w:cs="Calibri"/>
          <w:sz w:val="21"/>
          <w:szCs w:val="21"/>
        </w:rPr>
        <w:t xml:space="preserve">Kadan, O., L. Madureira, R. Wang, and T. Zach. 2012. Analysts’ Industry Expertise. </w:t>
      </w:r>
      <w:r w:rsidRPr="008718DF">
        <w:rPr>
          <w:rFonts w:ascii="Century Schoolbook" w:hAnsi="Century Schoolbook" w:cs="Calibri"/>
          <w:i/>
          <w:iCs/>
          <w:sz w:val="21"/>
          <w:szCs w:val="21"/>
        </w:rPr>
        <w:t>Journal of Accounting and Economics</w:t>
      </w:r>
      <w:r w:rsidRPr="008718DF">
        <w:rPr>
          <w:rFonts w:ascii="Century Schoolbook" w:hAnsi="Century Schoolbook" w:cs="Calibri"/>
          <w:sz w:val="21"/>
          <w:szCs w:val="21"/>
        </w:rPr>
        <w:t xml:space="preserve"> 54:95–120.</w:t>
      </w:r>
    </w:p>
    <w:p w14:paraId="40B977CE" w14:textId="77777777" w:rsidR="00233C3D" w:rsidRPr="008718DF" w:rsidRDefault="00233C3D" w:rsidP="00672757">
      <w:pPr>
        <w:pStyle w:val="Bibliography"/>
        <w:rPr>
          <w:rFonts w:ascii="Century Schoolbook" w:hAnsi="Century Schoolbook" w:cs="Calibri"/>
          <w:sz w:val="21"/>
          <w:szCs w:val="21"/>
        </w:rPr>
      </w:pPr>
      <w:r w:rsidRPr="008718DF">
        <w:rPr>
          <w:rFonts w:ascii="Century Schoolbook" w:hAnsi="Century Schoolbook" w:cs="Calibri"/>
          <w:sz w:val="21"/>
          <w:szCs w:val="21"/>
        </w:rPr>
        <w:t xml:space="preserve">Kahneman, D. 2011. </w:t>
      </w:r>
      <w:r w:rsidRPr="008718DF">
        <w:rPr>
          <w:rFonts w:ascii="Century Schoolbook" w:hAnsi="Century Schoolbook" w:cs="Calibri"/>
          <w:i/>
          <w:iCs/>
          <w:sz w:val="21"/>
          <w:szCs w:val="21"/>
        </w:rPr>
        <w:t>Thinking, Fast and Slow</w:t>
      </w:r>
      <w:r w:rsidRPr="008718DF">
        <w:rPr>
          <w:rFonts w:ascii="Century Schoolbook" w:hAnsi="Century Schoolbook" w:cs="Calibri"/>
          <w:sz w:val="21"/>
          <w:szCs w:val="21"/>
        </w:rPr>
        <w:t>. Macmillan.</w:t>
      </w:r>
    </w:p>
    <w:p w14:paraId="6D4F9FDC" w14:textId="77777777" w:rsidR="00E354EB" w:rsidRPr="008718DF" w:rsidRDefault="00E354EB" w:rsidP="00672757">
      <w:pPr>
        <w:jc w:val="both"/>
        <w:rPr>
          <w:rFonts w:ascii="Century Schoolbook" w:hAnsi="Century Schoolbook"/>
          <w:sz w:val="21"/>
          <w:szCs w:val="21"/>
        </w:rPr>
      </w:pPr>
      <w:r w:rsidRPr="008718DF">
        <w:rPr>
          <w:rFonts w:ascii="Century Schoolbook" w:hAnsi="Century Schoolbook"/>
          <w:sz w:val="21"/>
          <w:szCs w:val="21"/>
        </w:rPr>
        <w:t xml:space="preserve">Kumar, A. 2010. Self–Selection and the Forecasting Abilities of Female Equity Analysts. </w:t>
      </w:r>
      <w:r w:rsidRPr="008718DF">
        <w:rPr>
          <w:rFonts w:ascii="Century Schoolbook" w:hAnsi="Century Schoolbook"/>
          <w:i/>
          <w:sz w:val="21"/>
          <w:szCs w:val="21"/>
        </w:rPr>
        <w:t>Journal of Accounting Research</w:t>
      </w:r>
      <w:r w:rsidRPr="008718DF">
        <w:rPr>
          <w:rFonts w:ascii="Century Schoolbook" w:hAnsi="Century Schoolbook"/>
          <w:sz w:val="21"/>
          <w:szCs w:val="21"/>
        </w:rPr>
        <w:t xml:space="preserve"> 48:393–453.</w:t>
      </w:r>
    </w:p>
    <w:p w14:paraId="22B4ABFE" w14:textId="5D8BAD79" w:rsidR="00E354EB" w:rsidRPr="008718DF" w:rsidRDefault="00E354EB" w:rsidP="00672757">
      <w:pPr>
        <w:jc w:val="both"/>
        <w:rPr>
          <w:rFonts w:ascii="Century Schoolbook" w:hAnsi="Century Schoolbook"/>
          <w:sz w:val="21"/>
          <w:szCs w:val="21"/>
        </w:rPr>
      </w:pPr>
      <w:r w:rsidRPr="008718DF">
        <w:rPr>
          <w:rFonts w:ascii="Century Schoolbook" w:hAnsi="Century Schoolbook"/>
          <w:sz w:val="21"/>
          <w:szCs w:val="21"/>
        </w:rPr>
        <w:t>Law, K. 2013. Career Imprinting: The Influence of Coworkers in Early Career. Working paper, Tilburg Uni</w:t>
      </w:r>
      <w:r w:rsidR="001136FF" w:rsidRPr="008718DF">
        <w:rPr>
          <w:rFonts w:ascii="Century Schoolbook" w:hAnsi="Century Schoolbook"/>
          <w:sz w:val="21"/>
          <w:szCs w:val="21"/>
        </w:rPr>
        <w:t>v</w:t>
      </w:r>
      <w:r w:rsidRPr="008718DF">
        <w:rPr>
          <w:rFonts w:ascii="Century Schoolbook" w:hAnsi="Century Schoolbook"/>
          <w:sz w:val="21"/>
          <w:szCs w:val="21"/>
        </w:rPr>
        <w:t>ersity.</w:t>
      </w:r>
    </w:p>
    <w:p w14:paraId="6BE42ED0" w14:textId="457AF17C" w:rsidR="00233C3D" w:rsidRDefault="00233C3D" w:rsidP="00672757">
      <w:pPr>
        <w:pStyle w:val="Bibliography"/>
        <w:rPr>
          <w:rFonts w:ascii="Century Schoolbook" w:hAnsi="Century Schoolbook" w:cs="Calibri"/>
          <w:sz w:val="21"/>
          <w:szCs w:val="21"/>
        </w:rPr>
      </w:pPr>
      <w:r w:rsidRPr="008718DF">
        <w:rPr>
          <w:rFonts w:ascii="Century Schoolbook" w:hAnsi="Century Schoolbook" w:cs="Calibri"/>
          <w:sz w:val="21"/>
          <w:szCs w:val="21"/>
        </w:rPr>
        <w:t>Li, E. X., K. Ramesh, M. Shen, and J. S. Wu. 2015. Do Analyst Stock Recommendations Piggyback on Recent Corporate News? An Analysis of Regular</w:t>
      </w:r>
      <w:r w:rsidRPr="008718DF">
        <w:rPr>
          <w:rFonts w:ascii="Cambria Math" w:hAnsi="Cambria Math" w:cs="Cambria Math"/>
          <w:sz w:val="21"/>
          <w:szCs w:val="21"/>
        </w:rPr>
        <w:t>‐</w:t>
      </w:r>
      <w:r w:rsidRPr="008718DF">
        <w:rPr>
          <w:rFonts w:ascii="Century Schoolbook" w:hAnsi="Century Schoolbook" w:cs="Calibri"/>
          <w:sz w:val="21"/>
          <w:szCs w:val="21"/>
        </w:rPr>
        <w:t>Hour and After</w:t>
      </w:r>
      <w:r w:rsidRPr="008718DF">
        <w:rPr>
          <w:rFonts w:ascii="Cambria Math" w:hAnsi="Cambria Math" w:cs="Cambria Math"/>
          <w:sz w:val="21"/>
          <w:szCs w:val="21"/>
        </w:rPr>
        <w:t>‐</w:t>
      </w:r>
      <w:r w:rsidRPr="008718DF">
        <w:rPr>
          <w:rFonts w:ascii="Century Schoolbook" w:hAnsi="Century Schoolbook" w:cs="Calibri"/>
          <w:sz w:val="21"/>
          <w:szCs w:val="21"/>
        </w:rPr>
        <w:t xml:space="preserve">Hours Revisions. </w:t>
      </w:r>
      <w:r w:rsidRPr="008718DF">
        <w:rPr>
          <w:rFonts w:ascii="Century Schoolbook" w:hAnsi="Century Schoolbook" w:cs="Calibri"/>
          <w:i/>
          <w:iCs/>
          <w:sz w:val="21"/>
          <w:szCs w:val="21"/>
        </w:rPr>
        <w:t>Journal of Accounting Research</w:t>
      </w:r>
      <w:r w:rsidRPr="008718DF">
        <w:rPr>
          <w:rFonts w:ascii="Century Schoolbook" w:hAnsi="Century Schoolbook" w:cs="Calibri"/>
          <w:sz w:val="21"/>
          <w:szCs w:val="21"/>
        </w:rPr>
        <w:t xml:space="preserve"> 53:821–61.</w:t>
      </w:r>
    </w:p>
    <w:p w14:paraId="2121CD2A" w14:textId="0B2F64AB" w:rsidR="005F0AEE" w:rsidRPr="005F0AEE" w:rsidRDefault="005F0AEE" w:rsidP="00672757">
      <w:pPr>
        <w:autoSpaceDE w:val="0"/>
        <w:autoSpaceDN w:val="0"/>
        <w:adjustRightInd w:val="0"/>
        <w:spacing w:after="0"/>
        <w:rPr>
          <w:rFonts w:ascii="Century Schoolbook" w:hAnsi="Century Schoolbook" w:cs="TimesNewRomanPSMT"/>
          <w:sz w:val="21"/>
          <w:szCs w:val="21"/>
          <w:lang w:val="fr-FR"/>
        </w:rPr>
      </w:pPr>
      <w:r>
        <w:rPr>
          <w:rFonts w:ascii="Century Schoolbook" w:hAnsi="Century Schoolbook" w:cs="TimesNewRomanPSMT"/>
          <w:sz w:val="21"/>
          <w:szCs w:val="21"/>
          <w:lang w:val="fr-FR"/>
        </w:rPr>
        <w:t>Livnat, J., Y.</w:t>
      </w:r>
      <w:r w:rsidRPr="005F0AEE">
        <w:rPr>
          <w:rFonts w:ascii="Century Schoolbook" w:hAnsi="Century Schoolbook" w:cs="TimesNewRomanPSMT"/>
          <w:sz w:val="21"/>
          <w:szCs w:val="21"/>
          <w:lang w:val="fr-FR"/>
        </w:rPr>
        <w:t xml:space="preserve"> Zhang. 2012. Information interpretation or information discovery: which role of</w:t>
      </w:r>
    </w:p>
    <w:p w14:paraId="188F0375" w14:textId="2E2F6460" w:rsidR="005F0AEE" w:rsidRPr="005F0AEE" w:rsidRDefault="005F0AEE" w:rsidP="00672757">
      <w:pPr>
        <w:rPr>
          <w:rFonts w:ascii="Century Schoolbook" w:hAnsi="Century Schoolbook"/>
          <w:sz w:val="21"/>
          <w:szCs w:val="21"/>
        </w:rPr>
      </w:pPr>
      <w:r w:rsidRPr="005F0AEE">
        <w:rPr>
          <w:rFonts w:ascii="Century Schoolbook" w:hAnsi="Century Schoolbook" w:cs="TimesNewRomanPSMT"/>
          <w:sz w:val="21"/>
          <w:szCs w:val="21"/>
          <w:lang w:val="fr-FR"/>
        </w:rPr>
        <w:t xml:space="preserve">analysts do investors value more? </w:t>
      </w:r>
      <w:r>
        <w:rPr>
          <w:rFonts w:ascii="Century Schoolbook" w:hAnsi="Century Schoolbook" w:cs="Times New Roman"/>
          <w:i/>
          <w:iCs/>
          <w:sz w:val="21"/>
          <w:szCs w:val="21"/>
          <w:lang w:val="fr-FR"/>
        </w:rPr>
        <w:t xml:space="preserve">Review of Accounting Studies </w:t>
      </w:r>
      <w:r>
        <w:rPr>
          <w:rFonts w:ascii="Century Schoolbook" w:hAnsi="Century Schoolbook" w:cs="TimesNewRomanPSMT"/>
          <w:sz w:val="21"/>
          <w:szCs w:val="21"/>
          <w:lang w:val="fr-FR"/>
        </w:rPr>
        <w:t>17:</w:t>
      </w:r>
      <w:r w:rsidRPr="005F0AEE">
        <w:rPr>
          <w:rFonts w:ascii="Century Schoolbook" w:hAnsi="Century Schoolbook" w:cs="TimesNewRomanPSMT"/>
          <w:sz w:val="21"/>
          <w:szCs w:val="21"/>
          <w:lang w:val="fr-FR"/>
        </w:rPr>
        <w:t xml:space="preserve"> 612-641.</w:t>
      </w:r>
    </w:p>
    <w:p w14:paraId="0836E680" w14:textId="77777777" w:rsidR="00E354EB" w:rsidRPr="008718DF" w:rsidRDefault="00E354EB"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lastRenderedPageBreak/>
        <w:t xml:space="preserve">Ljungqvist, A., C. Malloy, and F. Marston. 2009. Rewriting History. </w:t>
      </w:r>
      <w:r w:rsidRPr="008718DF">
        <w:rPr>
          <w:rFonts w:ascii="Century Schoolbook" w:hAnsi="Century Schoolbook" w:cs="Times New Roman"/>
          <w:i/>
          <w:iCs/>
          <w:sz w:val="21"/>
          <w:szCs w:val="21"/>
        </w:rPr>
        <w:t>The Journal of Finance</w:t>
      </w:r>
      <w:r w:rsidRPr="008718DF">
        <w:rPr>
          <w:rFonts w:ascii="Century Schoolbook" w:hAnsi="Century Schoolbook" w:cs="Times New Roman"/>
          <w:sz w:val="21"/>
          <w:szCs w:val="21"/>
        </w:rPr>
        <w:t xml:space="preserve"> 64:1935–60.</w:t>
      </w:r>
    </w:p>
    <w:p w14:paraId="684BE1CA" w14:textId="2727613E" w:rsidR="002011D8" w:rsidRPr="008718DF" w:rsidRDefault="002011D8" w:rsidP="00672757">
      <w:pPr>
        <w:pStyle w:val="Bibliography"/>
        <w:jc w:val="both"/>
        <w:rPr>
          <w:rFonts w:ascii="Century Schoolbook" w:hAnsi="Century Schoolbook" w:cs="Times New Roman"/>
          <w:sz w:val="21"/>
          <w:szCs w:val="21"/>
        </w:rPr>
      </w:pPr>
      <w:r w:rsidRPr="008718DF">
        <w:rPr>
          <w:rFonts w:ascii="Century Schoolbook" w:hAnsi="Century Schoolbook" w:cs="Times New Roman"/>
          <w:sz w:val="21"/>
          <w:szCs w:val="21"/>
        </w:rPr>
        <w:t xml:space="preserve">Loh, R. K., G. M. Mian. 2006. Do Accurate Earnings Forecasts Facilitate Superior Investment Recommendations? </w:t>
      </w:r>
      <w:r w:rsidRPr="008718DF">
        <w:rPr>
          <w:rFonts w:ascii="Century Schoolbook" w:hAnsi="Century Schoolbook" w:cs="Times New Roman"/>
          <w:i/>
          <w:sz w:val="21"/>
          <w:szCs w:val="21"/>
        </w:rPr>
        <w:t>Journal of Financial Economics</w:t>
      </w:r>
      <w:r w:rsidRPr="008718DF">
        <w:rPr>
          <w:rFonts w:ascii="Century Schoolbook" w:hAnsi="Century Schoolbook" w:cs="Times New Roman"/>
          <w:sz w:val="21"/>
          <w:szCs w:val="21"/>
        </w:rPr>
        <w:t xml:space="preserve"> 80:</w:t>
      </w:r>
      <w:r w:rsidR="006B574C" w:rsidRPr="008718DF">
        <w:rPr>
          <w:rFonts w:ascii="Century Schoolbook" w:hAnsi="Century Schoolbook" w:cs="Times New Roman"/>
          <w:sz w:val="21"/>
          <w:szCs w:val="21"/>
        </w:rPr>
        <w:t xml:space="preserve"> 455–483.</w:t>
      </w:r>
    </w:p>
    <w:p w14:paraId="3D356AF5" w14:textId="74A23AB0" w:rsidR="00E354EB" w:rsidRPr="008718DF" w:rsidRDefault="00E354EB" w:rsidP="00672757">
      <w:pPr>
        <w:pStyle w:val="Bibliography"/>
        <w:jc w:val="both"/>
        <w:rPr>
          <w:rStyle w:val="slug-pages"/>
          <w:rFonts w:ascii="Century Schoolbook" w:hAnsi="Century Schoolbook"/>
          <w:sz w:val="21"/>
          <w:szCs w:val="21"/>
          <w:bdr w:val="none" w:sz="0" w:space="0" w:color="auto" w:frame="1"/>
          <w:shd w:val="clear" w:color="auto" w:fill="FFFFFF"/>
        </w:rPr>
      </w:pPr>
      <w:r w:rsidRPr="008718DF">
        <w:rPr>
          <w:rFonts w:ascii="Century Schoolbook" w:hAnsi="Century Schoolbook" w:cs="Times New Roman"/>
          <w:sz w:val="21"/>
          <w:szCs w:val="21"/>
        </w:rPr>
        <w:t>L</w:t>
      </w:r>
      <w:r w:rsidR="00BC2B10" w:rsidRPr="008718DF">
        <w:rPr>
          <w:rFonts w:ascii="Century Schoolbook" w:hAnsi="Century Schoolbook" w:cs="Times New Roman"/>
          <w:sz w:val="21"/>
          <w:szCs w:val="21"/>
        </w:rPr>
        <w:t>oh, R. K., and R. M. Stulz. 2011</w:t>
      </w:r>
      <w:r w:rsidRPr="008718DF">
        <w:rPr>
          <w:rFonts w:ascii="Century Schoolbook" w:hAnsi="Century Schoolbook" w:cs="Times New Roman"/>
          <w:sz w:val="21"/>
          <w:szCs w:val="21"/>
        </w:rPr>
        <w:t xml:space="preserve">. When Are Analyst Recommendation Changes Influential? </w:t>
      </w:r>
      <w:r w:rsidRPr="008718DF">
        <w:rPr>
          <w:rFonts w:ascii="Century Schoolbook" w:hAnsi="Century Schoolbook" w:cs="Times New Roman"/>
          <w:i/>
          <w:iCs/>
          <w:sz w:val="21"/>
          <w:szCs w:val="21"/>
        </w:rPr>
        <w:t>Review of Financial Studies</w:t>
      </w:r>
      <w:r w:rsidR="00BC2B10" w:rsidRPr="008718DF">
        <w:rPr>
          <w:rFonts w:ascii="Century Schoolbook" w:hAnsi="Century Schoolbook" w:cs="Times New Roman"/>
          <w:sz w:val="21"/>
          <w:szCs w:val="21"/>
        </w:rPr>
        <w:t xml:space="preserve"> </w:t>
      </w:r>
      <w:r w:rsidR="00BC2B10" w:rsidRPr="008718DF">
        <w:rPr>
          <w:rStyle w:val="slug-vol"/>
          <w:rFonts w:ascii="Century Schoolbook" w:hAnsi="Century Schoolbook"/>
          <w:sz w:val="21"/>
          <w:szCs w:val="21"/>
          <w:bdr w:val="none" w:sz="0" w:space="0" w:color="auto" w:frame="1"/>
          <w:shd w:val="clear" w:color="auto" w:fill="FFFFFF"/>
        </w:rPr>
        <w:t>24</w:t>
      </w:r>
      <w:r w:rsidR="00BC2B10" w:rsidRPr="008718DF">
        <w:rPr>
          <w:rStyle w:val="slug-issue"/>
          <w:rFonts w:ascii="Century Schoolbook" w:hAnsi="Century Schoolbook"/>
          <w:sz w:val="21"/>
          <w:szCs w:val="21"/>
          <w:bdr w:val="none" w:sz="0" w:space="0" w:color="auto" w:frame="1"/>
          <w:shd w:val="clear" w:color="auto" w:fill="FFFFFF"/>
        </w:rPr>
        <w:t>:</w:t>
      </w:r>
      <w:r w:rsidR="00BC2B10" w:rsidRPr="008718DF">
        <w:rPr>
          <w:rStyle w:val="slug-pages"/>
          <w:rFonts w:ascii="Century Schoolbook" w:hAnsi="Century Schoolbook"/>
          <w:sz w:val="21"/>
          <w:szCs w:val="21"/>
          <w:bdr w:val="none" w:sz="0" w:space="0" w:color="auto" w:frame="1"/>
          <w:shd w:val="clear" w:color="auto" w:fill="FFFFFF"/>
        </w:rPr>
        <w:t>593</w:t>
      </w:r>
      <w:r w:rsidR="00BC2B10" w:rsidRPr="008718DF">
        <w:rPr>
          <w:rFonts w:ascii="Century Schoolbook" w:hAnsi="Century Schoolbook" w:cs="Times New Roman"/>
          <w:sz w:val="21"/>
          <w:szCs w:val="21"/>
        </w:rPr>
        <w:t>–</w:t>
      </w:r>
      <w:r w:rsidR="00BC2B10" w:rsidRPr="008718DF">
        <w:rPr>
          <w:rStyle w:val="slug-pages"/>
          <w:rFonts w:ascii="Century Schoolbook" w:hAnsi="Century Schoolbook"/>
          <w:sz w:val="21"/>
          <w:szCs w:val="21"/>
          <w:bdr w:val="none" w:sz="0" w:space="0" w:color="auto" w:frame="1"/>
          <w:shd w:val="clear" w:color="auto" w:fill="FFFFFF"/>
        </w:rPr>
        <w:t>627.</w:t>
      </w:r>
    </w:p>
    <w:p w14:paraId="20743522" w14:textId="3649CF39" w:rsidR="00233C3D" w:rsidRPr="008718DF" w:rsidRDefault="00ED448C" w:rsidP="00672757">
      <w:pPr>
        <w:pStyle w:val="Bibliography"/>
        <w:rPr>
          <w:rFonts w:ascii="Century Schoolbook" w:hAnsi="Century Schoolbook" w:cs="Calibri"/>
          <w:sz w:val="21"/>
          <w:szCs w:val="21"/>
        </w:rPr>
      </w:pPr>
      <w:r w:rsidRPr="008718DF">
        <w:rPr>
          <w:rFonts w:ascii="Century Schoolbook" w:hAnsi="Century Schoolbook" w:cs="Calibri"/>
          <w:sz w:val="21"/>
          <w:szCs w:val="21"/>
        </w:rPr>
        <w:t>Long, J. S., and J. Freese. 2014</w:t>
      </w:r>
      <w:r w:rsidR="00233C3D" w:rsidRPr="008718DF">
        <w:rPr>
          <w:rFonts w:ascii="Century Schoolbook" w:hAnsi="Century Schoolbook" w:cs="Calibri"/>
          <w:sz w:val="21"/>
          <w:szCs w:val="21"/>
        </w:rPr>
        <w:t xml:space="preserve">. </w:t>
      </w:r>
      <w:r w:rsidR="00233C3D" w:rsidRPr="008718DF">
        <w:rPr>
          <w:rFonts w:ascii="Century Schoolbook" w:hAnsi="Century Schoolbook" w:cs="Calibri"/>
          <w:i/>
          <w:iCs/>
          <w:sz w:val="21"/>
          <w:szCs w:val="21"/>
        </w:rPr>
        <w:t>Regression Models for Categorical Dependent Variables Using Stata, Third Edition</w:t>
      </w:r>
      <w:r w:rsidR="00233C3D" w:rsidRPr="008718DF">
        <w:rPr>
          <w:rFonts w:ascii="Century Schoolbook" w:hAnsi="Century Schoolbook" w:cs="Calibri"/>
          <w:sz w:val="21"/>
          <w:szCs w:val="21"/>
        </w:rPr>
        <w:t>. Stata Press.</w:t>
      </w:r>
    </w:p>
    <w:p w14:paraId="42DE7E94" w14:textId="77777777" w:rsidR="00233C3D" w:rsidRPr="008718DF" w:rsidRDefault="00233C3D" w:rsidP="00672757">
      <w:pPr>
        <w:pStyle w:val="Bibliography"/>
        <w:rPr>
          <w:rFonts w:ascii="Century Schoolbook" w:hAnsi="Century Schoolbook" w:cs="Calibri"/>
          <w:sz w:val="21"/>
          <w:szCs w:val="21"/>
        </w:rPr>
      </w:pPr>
      <w:r w:rsidRPr="008718DF">
        <w:rPr>
          <w:rFonts w:ascii="Century Schoolbook" w:hAnsi="Century Schoolbook"/>
          <w:sz w:val="21"/>
          <w:szCs w:val="21"/>
        </w:rPr>
        <w:fldChar w:fldCharType="begin"/>
      </w:r>
      <w:r w:rsidRPr="008718DF">
        <w:rPr>
          <w:rFonts w:ascii="Century Schoolbook" w:hAnsi="Century Schoolbook"/>
          <w:sz w:val="21"/>
          <w:szCs w:val="21"/>
        </w:rPr>
        <w:instrText xml:space="preserve"> ADDIN ZOTERO_BIBL {"custom":[]} CSL_BIBLIOGRAPHY </w:instrText>
      </w:r>
      <w:r w:rsidRPr="008718DF">
        <w:rPr>
          <w:rFonts w:ascii="Century Schoolbook" w:hAnsi="Century Schoolbook"/>
          <w:sz w:val="21"/>
          <w:szCs w:val="21"/>
        </w:rPr>
        <w:fldChar w:fldCharType="separate"/>
      </w:r>
      <w:r w:rsidRPr="008718DF">
        <w:rPr>
          <w:rFonts w:ascii="Century Schoolbook" w:hAnsi="Century Schoolbook" w:cs="Calibri"/>
          <w:sz w:val="21"/>
          <w:szCs w:val="21"/>
        </w:rPr>
        <w:t>Nichols, D. C. 2009. Proprietary Costs and Other Determinants of Nonfinancial Disclosures. Working Paper, Cornell University.</w:t>
      </w:r>
    </w:p>
    <w:p w14:paraId="4929F214" w14:textId="6050CAB5" w:rsidR="00E354EB" w:rsidRDefault="00233C3D" w:rsidP="00672757">
      <w:pPr>
        <w:rPr>
          <w:rFonts w:ascii="Century Schoolbook" w:hAnsi="Century Schoolbook" w:cs="Times New Roman"/>
          <w:sz w:val="21"/>
          <w:szCs w:val="21"/>
        </w:rPr>
      </w:pPr>
      <w:r w:rsidRPr="008718DF">
        <w:rPr>
          <w:rFonts w:ascii="Century Schoolbook" w:hAnsi="Century Schoolbook"/>
          <w:sz w:val="21"/>
          <w:szCs w:val="21"/>
        </w:rPr>
        <w:fldChar w:fldCharType="end"/>
      </w:r>
      <w:r w:rsidR="00E354EB" w:rsidRPr="008718DF">
        <w:rPr>
          <w:rFonts w:ascii="Century Schoolbook" w:hAnsi="Century Schoolbook"/>
          <w:sz w:val="21"/>
          <w:szCs w:val="21"/>
        </w:rPr>
        <w:t>Pre</w:t>
      </w:r>
      <w:r w:rsidR="003211A7" w:rsidRPr="008718DF">
        <w:rPr>
          <w:rFonts w:ascii="Century Schoolbook" w:hAnsi="Century Schoolbook"/>
          <w:sz w:val="21"/>
          <w:szCs w:val="21"/>
        </w:rPr>
        <w:t>n</w:t>
      </w:r>
      <w:r w:rsidR="00E354EB" w:rsidRPr="008718DF">
        <w:rPr>
          <w:rFonts w:ascii="Century Schoolbook" w:hAnsi="Century Schoolbook"/>
          <w:sz w:val="21"/>
          <w:szCs w:val="21"/>
        </w:rPr>
        <w:t>dergast, C., and  L. Stole.</w:t>
      </w:r>
      <w:r w:rsidR="00D4476B">
        <w:rPr>
          <w:rFonts w:ascii="Century Schoolbook" w:hAnsi="Century Schoolbook"/>
          <w:sz w:val="21"/>
          <w:szCs w:val="21"/>
        </w:rPr>
        <w:t>1996.</w:t>
      </w:r>
      <w:r w:rsidR="00E354EB" w:rsidRPr="008718DF">
        <w:rPr>
          <w:rFonts w:ascii="Century Schoolbook" w:hAnsi="Century Schoolbook"/>
          <w:sz w:val="21"/>
          <w:szCs w:val="21"/>
        </w:rPr>
        <w:t xml:space="preserve"> Impetuous Youngsters and Jaded Old–Timers: Acquiring a Reputation for Learning. </w:t>
      </w:r>
      <w:r w:rsidR="00E354EB" w:rsidRPr="008718DF">
        <w:rPr>
          <w:rFonts w:ascii="Century Schoolbook" w:hAnsi="Century Schoolbook"/>
          <w:i/>
          <w:sz w:val="21"/>
          <w:szCs w:val="21"/>
        </w:rPr>
        <w:t>Journal of Political Economy</w:t>
      </w:r>
      <w:r w:rsidR="00E354EB" w:rsidRPr="008718DF">
        <w:rPr>
          <w:rFonts w:ascii="Century Schoolbook" w:hAnsi="Century Schoolbook"/>
          <w:sz w:val="21"/>
          <w:szCs w:val="21"/>
        </w:rPr>
        <w:t xml:space="preserve"> 104: 1105</w:t>
      </w:r>
      <w:r w:rsidR="00E354EB" w:rsidRPr="008718DF">
        <w:rPr>
          <w:rFonts w:ascii="Century Schoolbook" w:hAnsi="Century Schoolbook" w:cs="Times New Roman"/>
          <w:sz w:val="21"/>
          <w:szCs w:val="21"/>
        </w:rPr>
        <w:t>–1134.</w:t>
      </w:r>
    </w:p>
    <w:p w14:paraId="663897B2" w14:textId="6CDC853D" w:rsidR="00CF4051" w:rsidRPr="009B26EF" w:rsidRDefault="00CF4051" w:rsidP="00672757">
      <w:pPr>
        <w:jc w:val="both"/>
        <w:rPr>
          <w:rFonts w:ascii="Century Schoolbook" w:hAnsi="Century Schoolbook"/>
          <w:sz w:val="21"/>
          <w:szCs w:val="21"/>
        </w:rPr>
      </w:pPr>
      <w:r w:rsidRPr="009B26EF">
        <w:rPr>
          <w:rFonts w:ascii="Century Schoolbook" w:hAnsi="Century Schoolbook"/>
          <w:sz w:val="21"/>
          <w:szCs w:val="21"/>
        </w:rPr>
        <w:t>Rubin, A., B. Segal, and D. Segal. 2017. The Interpretation of Unanticipated News Arrival nd Analysts’ Skill. </w:t>
      </w:r>
      <w:r w:rsidRPr="00EF0714">
        <w:rPr>
          <w:rFonts w:ascii="Century Schoolbook" w:hAnsi="Century Schoolbook"/>
          <w:i/>
          <w:sz w:val="21"/>
          <w:szCs w:val="21"/>
        </w:rPr>
        <w:t>Journal of Financial and Quantitative Analysis</w:t>
      </w:r>
      <w:r w:rsidRPr="009B26EF">
        <w:rPr>
          <w:rFonts w:ascii="Century Schoolbook" w:hAnsi="Century Schoolbook"/>
          <w:sz w:val="21"/>
          <w:szCs w:val="21"/>
        </w:rPr>
        <w:t xml:space="preserve">, 52:1491-1518. </w:t>
      </w:r>
    </w:p>
    <w:p w14:paraId="6938B4B7" w14:textId="77777777" w:rsidR="00E354EB" w:rsidRPr="008718DF" w:rsidRDefault="00E354EB" w:rsidP="00672757">
      <w:pPr>
        <w:jc w:val="both"/>
        <w:rPr>
          <w:rFonts w:ascii="Century Schoolbook" w:hAnsi="Century Schoolbook"/>
          <w:sz w:val="21"/>
          <w:szCs w:val="21"/>
        </w:rPr>
      </w:pPr>
      <w:r w:rsidRPr="008718DF">
        <w:rPr>
          <w:rFonts w:ascii="Century Schoolbook" w:hAnsi="Century Schoolbook"/>
          <w:sz w:val="21"/>
          <w:szCs w:val="21"/>
        </w:rPr>
        <w:t xml:space="preserve">Sonney, F. 2009. Financial Analysts' Performance: Sector Versus Country Specialization. </w:t>
      </w:r>
      <w:r w:rsidRPr="008718DF">
        <w:rPr>
          <w:rFonts w:ascii="Century Schoolbook" w:hAnsi="Century Schoolbook"/>
          <w:i/>
          <w:sz w:val="21"/>
          <w:szCs w:val="21"/>
        </w:rPr>
        <w:t xml:space="preserve">Review of Financial Studies </w:t>
      </w:r>
      <w:r w:rsidRPr="008718DF">
        <w:rPr>
          <w:rFonts w:ascii="Century Schoolbook" w:hAnsi="Century Schoolbook"/>
          <w:sz w:val="21"/>
          <w:szCs w:val="21"/>
        </w:rPr>
        <w:t>22: 2087–131.</w:t>
      </w:r>
    </w:p>
    <w:p w14:paraId="29782AF3" w14:textId="167758A2" w:rsidR="00AF3188" w:rsidRPr="00AB75FD" w:rsidRDefault="00E354EB" w:rsidP="00672757">
      <w:pPr>
        <w:pStyle w:val="Bibliography"/>
        <w:jc w:val="both"/>
        <w:rPr>
          <w:rFonts w:ascii="Century Schoolbook" w:hAnsi="Century Schoolbook" w:cs="Times New Roman"/>
          <w:szCs w:val="20"/>
        </w:rPr>
      </w:pPr>
      <w:r w:rsidRPr="008718DF">
        <w:rPr>
          <w:rFonts w:ascii="Century Schoolbook" w:hAnsi="Century Schoolbook" w:cs="Times New Roman"/>
          <w:sz w:val="21"/>
          <w:szCs w:val="21"/>
        </w:rPr>
        <w:t xml:space="preserve">Womack, K. 1996. Do Brokerage Analysts’ Recommendations Have Investment Value? </w:t>
      </w:r>
      <w:r w:rsidRPr="008718DF">
        <w:rPr>
          <w:rFonts w:ascii="Century Schoolbook" w:hAnsi="Century Schoolbook" w:cs="Times New Roman"/>
          <w:i/>
          <w:iCs/>
          <w:sz w:val="21"/>
          <w:szCs w:val="21"/>
        </w:rPr>
        <w:t>The Journal of Finance</w:t>
      </w:r>
      <w:r w:rsidRPr="008718DF">
        <w:rPr>
          <w:rFonts w:ascii="Century Schoolbook" w:hAnsi="Century Schoolbook" w:cs="Times New Roman"/>
          <w:sz w:val="21"/>
          <w:szCs w:val="21"/>
        </w:rPr>
        <w:t xml:space="preserve"> 51:137–67.</w:t>
      </w:r>
      <w:r w:rsidRPr="008718DF">
        <w:rPr>
          <w:rFonts w:ascii="Century Schoolbook" w:hAnsi="Century Schoolbook" w:cs="Times New Roman"/>
          <w:sz w:val="21"/>
          <w:szCs w:val="21"/>
        </w:rPr>
        <w:fldChar w:fldCharType="end"/>
      </w:r>
      <w:r w:rsidRPr="008718DF">
        <w:rPr>
          <w:rFonts w:ascii="Century Schoolbook" w:hAnsi="Century Schoolbook" w:cs="Times New Roman"/>
          <w:sz w:val="21"/>
          <w:szCs w:val="21"/>
        </w:rPr>
        <w:fldChar w:fldCharType="end"/>
      </w:r>
      <w:r w:rsidR="00AF3188" w:rsidRPr="00AB75FD">
        <w:rPr>
          <w:rFonts w:ascii="Century Schoolbook" w:hAnsi="Century Schoolbook" w:cs="Times New Roman"/>
          <w:szCs w:val="20"/>
        </w:rPr>
        <w:br w:type="page"/>
      </w:r>
    </w:p>
    <w:p w14:paraId="6EA76316" w14:textId="4C0B9186" w:rsidR="00E354EB" w:rsidRPr="000F4D18" w:rsidRDefault="00E354EB" w:rsidP="006B4265">
      <w:pPr>
        <w:jc w:val="center"/>
        <w:rPr>
          <w:rFonts w:ascii="Century Schoolbook" w:eastAsia="Times New Roman" w:hAnsi="Century Schoolbook" w:cs="Times New Roman"/>
          <w:b/>
          <w:sz w:val="20"/>
          <w:szCs w:val="20"/>
          <w:lang w:eastAsia="fr-FR"/>
        </w:rPr>
      </w:pPr>
      <w:r w:rsidRPr="000F4D18">
        <w:rPr>
          <w:rFonts w:ascii="Century Schoolbook" w:eastAsia="Times New Roman" w:hAnsi="Century Schoolbook" w:cs="Times New Roman"/>
          <w:b/>
          <w:sz w:val="20"/>
          <w:szCs w:val="20"/>
          <w:lang w:eastAsia="fr-FR"/>
        </w:rPr>
        <w:lastRenderedPageBreak/>
        <w:t>Figure 1</w:t>
      </w:r>
    </w:p>
    <w:p w14:paraId="26912C1E" w14:textId="77777777" w:rsidR="00E354EB" w:rsidRPr="000F4D18" w:rsidRDefault="00E354EB" w:rsidP="00E354EB">
      <w:pPr>
        <w:autoSpaceDE w:val="0"/>
        <w:autoSpaceDN w:val="0"/>
        <w:adjustRightInd w:val="0"/>
        <w:spacing w:after="0" w:line="360" w:lineRule="auto"/>
        <w:jc w:val="center"/>
        <w:rPr>
          <w:rFonts w:ascii="Century Schoolbook" w:eastAsia="Times New Roman" w:hAnsi="Century Schoolbook" w:cs="Times New Roman"/>
          <w:b/>
          <w:i/>
          <w:sz w:val="20"/>
          <w:szCs w:val="20"/>
          <w:lang w:eastAsia="fr-FR"/>
        </w:rPr>
      </w:pPr>
      <w:r w:rsidRPr="000F4D18">
        <w:rPr>
          <w:rFonts w:ascii="Century Schoolbook" w:eastAsia="Times New Roman" w:hAnsi="Century Schoolbook" w:cs="Times New Roman"/>
          <w:b/>
          <w:i/>
          <w:sz w:val="20"/>
          <w:szCs w:val="20"/>
          <w:lang w:eastAsia="fr-FR"/>
        </w:rPr>
        <w:t>Correction for bias due to right–truncation</w:t>
      </w:r>
    </w:p>
    <w:p w14:paraId="2A564EBF" w14:textId="77777777" w:rsidR="00E354EB" w:rsidRPr="000F4D18" w:rsidRDefault="00E354EB" w:rsidP="00E354EB">
      <w:pPr>
        <w:autoSpaceDE w:val="0"/>
        <w:autoSpaceDN w:val="0"/>
        <w:adjustRightInd w:val="0"/>
        <w:spacing w:after="0" w:line="360" w:lineRule="auto"/>
        <w:jc w:val="center"/>
        <w:rPr>
          <w:rFonts w:ascii="Century Schoolbook" w:eastAsia="Times New Roman" w:hAnsi="Century Schoolbook" w:cs="Times New Roman"/>
          <w:sz w:val="20"/>
          <w:szCs w:val="20"/>
          <w:lang w:eastAsia="fr-FR"/>
        </w:rPr>
      </w:pPr>
      <w:r w:rsidRPr="00DB2794">
        <w:rPr>
          <w:rFonts w:ascii="Century Schoolbook" w:eastAsia="Times New Roman" w:hAnsi="Century Schoolbook" w:cs="Times New Roman"/>
          <w:noProof/>
          <w:sz w:val="20"/>
          <w:szCs w:val="20"/>
        </w:rPr>
        <mc:AlternateContent>
          <mc:Choice Requires="wps">
            <w:drawing>
              <wp:anchor distT="0" distB="0" distL="114300" distR="114300" simplePos="0" relativeHeight="251662336" behindDoc="0" locked="0" layoutInCell="1" allowOverlap="1" wp14:anchorId="31BA0B89" wp14:editId="49596268">
                <wp:simplePos x="0" y="0"/>
                <wp:positionH relativeFrom="column">
                  <wp:posOffset>4570095</wp:posOffset>
                </wp:positionH>
                <wp:positionV relativeFrom="paragraph">
                  <wp:posOffset>186690</wp:posOffset>
                </wp:positionV>
                <wp:extent cx="45085" cy="258445"/>
                <wp:effectExtent l="19050" t="0" r="31115" b="46355"/>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5844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C2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26" type="#_x0000_t67" style="position:absolute;margin-left:359.85pt;margin-top:14.7pt;width:3.5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" adj="19716" fillcolor="black [3213]" strokecolor="black [3213]" strokeweight="2pt">
                <v:path arrowok="t"/>
              </v:shape>
            </w:pict>
          </mc:Fallback>
        </mc:AlternateContent>
      </w:r>
      <w:r w:rsidRPr="000F4D18">
        <w:rPr>
          <w:rFonts w:ascii="Century Schoolbook" w:eastAsia="Times New Roman" w:hAnsi="Century Schoolbook" w:cs="Times New Roman"/>
          <w:sz w:val="20"/>
          <w:szCs w:val="20"/>
          <w:lang w:eastAsia="fr-FR"/>
        </w:rPr>
        <w:t xml:space="preserve">                                                                                                December 31</w:t>
      </w:r>
      <w:r w:rsidRPr="000F4D18">
        <w:rPr>
          <w:rFonts w:ascii="Century Schoolbook" w:eastAsia="Times New Roman" w:hAnsi="Century Schoolbook" w:cs="Times New Roman"/>
          <w:sz w:val="20"/>
          <w:szCs w:val="20"/>
          <w:vertAlign w:val="superscript"/>
          <w:lang w:eastAsia="fr-FR"/>
        </w:rPr>
        <w:t>st</w:t>
      </w:r>
      <w:r w:rsidRPr="000F4D18">
        <w:rPr>
          <w:rFonts w:ascii="Century Schoolbook" w:eastAsia="Times New Roman" w:hAnsi="Century Schoolbook" w:cs="Times New Roman"/>
          <w:sz w:val="20"/>
          <w:szCs w:val="20"/>
          <w:lang w:eastAsia="fr-FR"/>
        </w:rPr>
        <w:t>1999</w:t>
      </w:r>
    </w:p>
    <w:p w14:paraId="4C17B2AD" w14:textId="77777777" w:rsidR="00E354EB" w:rsidRPr="000F4D18" w:rsidRDefault="00E354EB" w:rsidP="00E354EB">
      <w:pPr>
        <w:autoSpaceDE w:val="0"/>
        <w:autoSpaceDN w:val="0"/>
        <w:adjustRightInd w:val="0"/>
        <w:spacing w:after="0" w:line="360" w:lineRule="auto"/>
        <w:jc w:val="both"/>
        <w:rPr>
          <w:rFonts w:ascii="Century Schoolbook" w:eastAsia="Times New Roman" w:hAnsi="Century Schoolbook" w:cs="Times New Roman"/>
          <w:sz w:val="20"/>
          <w:szCs w:val="20"/>
          <w:lang w:eastAsia="fr-FR"/>
        </w:rPr>
      </w:pPr>
    </w:p>
    <w:p w14:paraId="442E8704" w14:textId="77777777" w:rsidR="00E354EB" w:rsidRPr="000F4D18" w:rsidRDefault="00E354EB" w:rsidP="00E354EB">
      <w:pPr>
        <w:autoSpaceDE w:val="0"/>
        <w:autoSpaceDN w:val="0"/>
        <w:adjustRightInd w:val="0"/>
        <w:spacing w:after="0" w:line="360" w:lineRule="auto"/>
        <w:jc w:val="both"/>
        <w:rPr>
          <w:rFonts w:ascii="Century Schoolbook" w:eastAsia="Times New Roman" w:hAnsi="Century Schoolbook" w:cs="Times New Roman"/>
          <w:sz w:val="20"/>
          <w:szCs w:val="20"/>
          <w:lang w:eastAsia="fr-FR"/>
        </w:rPr>
      </w:pPr>
      <w:r w:rsidRPr="00DB2794">
        <w:rPr>
          <w:rFonts w:ascii="Century Schoolbook" w:hAnsi="Century Schoolbook"/>
          <w:noProof/>
          <w:sz w:val="20"/>
          <w:szCs w:val="20"/>
        </w:rPr>
        <mc:AlternateContent>
          <mc:Choice Requires="wpg">
            <w:drawing>
              <wp:anchor distT="0" distB="0" distL="114300" distR="114300" simplePos="0" relativeHeight="251658240" behindDoc="0" locked="0" layoutInCell="1" allowOverlap="1" wp14:anchorId="05210F3E" wp14:editId="605280BC">
                <wp:simplePos x="0" y="0"/>
                <wp:positionH relativeFrom="column">
                  <wp:posOffset>46355</wp:posOffset>
                </wp:positionH>
                <wp:positionV relativeFrom="paragraph">
                  <wp:posOffset>17145</wp:posOffset>
                </wp:positionV>
                <wp:extent cx="5835650" cy="739140"/>
                <wp:effectExtent l="38100" t="0" r="50800" b="228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5650" cy="739140"/>
                          <a:chOff x="0" y="0"/>
                          <a:chExt cx="5835650" cy="739883"/>
                        </a:xfrm>
                      </wpg:grpSpPr>
                      <wps:wsp>
                        <wps:cNvPr id="1" name="5-Point Star 1"/>
                        <wps:cNvSpPr/>
                        <wps:spPr>
                          <a:xfrm>
                            <a:off x="5011947" y="276132"/>
                            <a:ext cx="106045" cy="1168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0"/>
                            <a:ext cx="5835650" cy="739883"/>
                            <a:chOff x="0" y="0"/>
                            <a:chExt cx="5835650" cy="739883"/>
                          </a:xfrm>
                        </wpg:grpSpPr>
                        <wps:wsp>
                          <wps:cNvPr id="40" name="Straight Connector 40"/>
                          <wps:cNvCnPr/>
                          <wps:spPr>
                            <a:xfrm flipV="1">
                              <a:off x="465795" y="338030"/>
                              <a:ext cx="4546152" cy="15307"/>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cNvPr id="24" name="Group 24"/>
                          <wpg:cNvGrpSpPr/>
                          <wpg:grpSpPr>
                            <a:xfrm>
                              <a:off x="0" y="0"/>
                              <a:ext cx="5835650" cy="386121"/>
                              <a:chOff x="0" y="-33852"/>
                              <a:chExt cx="5835724" cy="386977"/>
                            </a:xfrm>
                          </wpg:grpSpPr>
                          <wps:wsp>
                            <wps:cNvPr id="25" name="Straight Arrow Connector 25"/>
                            <wps:cNvCnPr/>
                            <wps:spPr>
                              <a:xfrm flipV="1">
                                <a:off x="0" y="120635"/>
                                <a:ext cx="5835724" cy="761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6" name="Straight Connector 26"/>
                            <wps:cNvCnPr/>
                            <wps:spPr>
                              <a:xfrm>
                                <a:off x="3451240" y="-10968"/>
                                <a:ext cx="0" cy="3640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4545048" y="-33852"/>
                                <a:ext cx="0" cy="386976"/>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5-Point Star 45"/>
                          <wps:cNvSpPr/>
                          <wps:spPr>
                            <a:xfrm>
                              <a:off x="2216988" y="284792"/>
                              <a:ext cx="106045" cy="1168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5-Point Star 46"/>
                          <wps:cNvSpPr/>
                          <wps:spPr>
                            <a:xfrm>
                              <a:off x="3165894" y="284108"/>
                              <a:ext cx="106045" cy="1168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Brace 50"/>
                          <wps:cNvSpPr/>
                          <wps:spPr>
                            <a:xfrm rot="5400000">
                              <a:off x="3782682" y="-21873"/>
                              <a:ext cx="197827" cy="13256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Point Star 51"/>
                          <wps:cNvSpPr/>
                          <wps:spPr>
                            <a:xfrm>
                              <a:off x="1552754" y="284775"/>
                              <a:ext cx="106045" cy="1168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Brace 23"/>
                          <wps:cNvSpPr/>
                          <wps:spPr>
                            <a:xfrm rot="5400000">
                              <a:off x="1733909" y="-733553"/>
                              <a:ext cx="190429" cy="275633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655E5B" id="Group 29" o:spid="_x0000_s1026" style="position:absolute;margin-left:3.65pt;margin-top:1.35pt;width:459.5pt;height:58.2pt;z-index:251658240;mso-width-relative:margin;mso-height-relative:margin" coordsize="58356,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">
                <v:shape id="5-Point Star 1" o:spid="_x0000_s1027" style="position:absolute;left:50119;top:2761;width:1060;height:1168;visibility:visible;mso-wrap-style:square;v-text-anchor:middle" coordsize="106045,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" path="m,44629r40506,l53023,,65539,44629r40506,l73275,72211r12517,44629l53023,89257,20253,116840,32770,72211,,44629xe" fillcolor="#4f81bd [3204]" strokecolor="#243f60 [1604]" strokeweight="2pt">
                  <v:path arrowok="t" o:connecttype="custom" o:connectlocs="0,44629;40506,44629;53023,0;65539,44629;106045,44629;73275,72211;85792,116840;53023,89257;20253,116840;32770,72211;0,44629" o:connectangles="0,0,0,0,0,0,0,0,0,0,0"/>
                </v:shape>
                <v:group id="Group 28" o:spid="_x0000_s1028" style="position:absolute;width:58356;height:7398" coordsize="58356,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40" o:spid="_x0000_s1029" style="position:absolute;flip:y;visibility:visible;mso-wrap-style:square" from="4657,3380" to="50119,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" strokecolor="black [3040]" strokeweight="1pt">
                    <v:stroke dashstyle="dash"/>
                  </v:line>
                  <v:group id="Group 24" o:spid="_x0000_s1030" style="position:absolute;width:58356;height:3861" coordorigin=",-338" coordsize="58357,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5" o:spid="_x0000_s1031" type="#_x0000_t32" style="position:absolute;top:1206;width:58357;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" strokecolor="black [3200]" strokeweight="2pt">
                      <v:stroke endarrow="open"/>
                      <v:shadow on="t" color="black" opacity="24903f" origin=",.5" offset="0,.55556mm"/>
                    </v:shape>
                    <v:line id="Straight Connector 26" o:spid="_x0000_s1032" style="position:absolute;visibility:visible;mso-wrap-style:square" from="34512,-109" to="3451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" strokecolor="#4579b8 [3044]"/>
                    <v:line id="Straight Connector 27" o:spid="_x0000_s1033" style="position:absolute;visibility:visible;mso-wrap-style:square" from="45450,-338" to="45450,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" strokecolor="#4579b8 [3044]"/>
                  </v:group>
                  <v:shape id="5-Point Star 45" o:spid="_x0000_s1034" style="position:absolute;left:22169;top:2847;width:1061;height:1169;visibility:visible;mso-wrap-style:square;v-text-anchor:middle" coordsize="106045,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" path="m,44629r40506,l53023,,65539,44629r40506,l73275,72211r12517,44629l53023,89257,20253,116840,32770,72211,,44629xe" fillcolor="#4f81bd [3204]" strokecolor="#243f60 [1604]" strokeweight="2pt">
                    <v:path arrowok="t" o:connecttype="custom" o:connectlocs="0,44629;40506,44629;53023,0;65539,44629;106045,44629;73275,72211;85792,116840;53023,89257;20253,116840;32770,72211;0,44629" o:connectangles="0,0,0,0,0,0,0,0,0,0,0"/>
                  </v:shape>
                  <v:shape id="5-Point Star 46" o:spid="_x0000_s1035" style="position:absolute;left:31658;top:2841;width:1061;height:1168;visibility:visible;mso-wrap-style:square;v-text-anchor:middle" coordsize="106045,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" path="m,44629r40506,l53023,,65539,44629r40506,l73275,72211r12517,44629l53023,89257,20253,116840,32770,72211,,44629xe" fillcolor="#4f81bd [3204]" strokecolor="#243f60 [1604]" strokeweight="2pt">
                    <v:path arrowok="t" o:connecttype="custom" o:connectlocs="0,44629;40506,44629;53023,0;65539,44629;106045,44629;73275,72211;85792,116840;53023,89257;20253,116840;32770,72211;0,44629" o:connectangles="0,0,0,0,0,0,0,0,0,0,0"/>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0" o:spid="_x0000_s1036" type="#_x0000_t88" style="position:absolute;left:37827;top:-220;width:1978;height:132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" adj="269" strokecolor="black [3213]"/>
                  <v:shape id="5-Point Star 51" o:spid="_x0000_s1037" style="position:absolute;left:15527;top:2847;width:1060;height:1169;visibility:visible;mso-wrap-style:square;v-text-anchor:middle" coordsize="106045,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" path="m,44629r40506,l53023,,65539,44629r40506,l73275,72211r12517,44629l53023,89257,20253,116840,32770,72211,,44629xe" fillcolor="#4f81bd [3204]" strokecolor="#243f60 [1604]" strokeweight="2pt">
                    <v:path arrowok="t" o:connecttype="custom" o:connectlocs="0,44629;40506,44629;53023,0;65539,44629;106045,44629;73275,72211;85792,116840;53023,89257;20253,116840;32770,72211;0,44629" o:connectangles="0,0,0,0,0,0,0,0,0,0,0"/>
                  </v:shape>
                  <v:shape id="Right Brace 23" o:spid="_x0000_s1038" type="#_x0000_t88" style="position:absolute;left:17338;top:-7336;width:1905;height:2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" adj="124" strokecolor="black [3213]"/>
                </v:group>
              </v:group>
            </w:pict>
          </mc:Fallback>
        </mc:AlternateContent>
      </w:r>
      <w:r w:rsidRPr="000F4D18">
        <w:rPr>
          <w:rFonts w:ascii="Century Schoolbook" w:hAnsi="Century Schoolbook"/>
          <w:noProof/>
          <w:sz w:val="20"/>
          <w:szCs w:val="20"/>
        </w:rPr>
        <mc:AlternateContent>
          <mc:Choice Requires="wps">
            <w:drawing>
              <wp:anchor distT="0" distB="0" distL="114299" distR="114299" simplePos="0" relativeHeight="251654144" behindDoc="0" locked="0" layoutInCell="1" allowOverlap="1" wp14:anchorId="58218383" wp14:editId="18BF22EA">
                <wp:simplePos x="0" y="0"/>
                <wp:positionH relativeFrom="column">
                  <wp:posOffset>2378074</wp:posOffset>
                </wp:positionH>
                <wp:positionV relativeFrom="paragraph">
                  <wp:posOffset>44450</wp:posOffset>
                </wp:positionV>
                <wp:extent cx="0" cy="360045"/>
                <wp:effectExtent l="0" t="0" r="19050" b="209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7D588" id="Straight Connector 36"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25pt,3.5pt" to="187.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" strokecolor="#4579b8 [3044]">
                <o:lock v:ext="edit" shapetype="f"/>
              </v:line>
            </w:pict>
          </mc:Fallback>
        </mc:AlternateContent>
      </w:r>
      <w:r w:rsidRPr="000F4D18">
        <w:rPr>
          <w:rFonts w:ascii="Century Schoolbook" w:hAnsi="Century Schoolbook"/>
          <w:noProof/>
          <w:sz w:val="20"/>
          <w:szCs w:val="20"/>
        </w:rPr>
        <mc:AlternateContent>
          <mc:Choice Requires="wps">
            <w:drawing>
              <wp:anchor distT="0" distB="0" distL="114299" distR="114299" simplePos="0" relativeHeight="251656192" behindDoc="0" locked="0" layoutInCell="1" allowOverlap="1" wp14:anchorId="77AB3B2E" wp14:editId="7F0A3B2F">
                <wp:simplePos x="0" y="0"/>
                <wp:positionH relativeFrom="column">
                  <wp:posOffset>1170304</wp:posOffset>
                </wp:positionH>
                <wp:positionV relativeFrom="paragraph">
                  <wp:posOffset>45085</wp:posOffset>
                </wp:positionV>
                <wp:extent cx="0" cy="360680"/>
                <wp:effectExtent l="0" t="0" r="19050" b="203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233C2" id="Straight Connector 4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2.15pt,3.55pt" to="92.1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" strokecolor="#4579b8 [3044]">
                <o:lock v:ext="edit" shapetype="f"/>
              </v:line>
            </w:pict>
          </mc:Fallback>
        </mc:AlternateContent>
      </w:r>
      <w:r w:rsidRPr="000F4D18">
        <w:rPr>
          <w:rFonts w:ascii="Century Schoolbook" w:eastAsia="Times New Roman" w:hAnsi="Century Schoolbook" w:cs="Times New Roman"/>
          <w:sz w:val="20"/>
          <w:szCs w:val="20"/>
          <w:lang w:eastAsia="fr-FR"/>
        </w:rPr>
        <w:t xml:space="preserve">  1996                        1997                          1998</w:t>
      </w:r>
      <w:r w:rsidRPr="000F4D18">
        <w:rPr>
          <w:rFonts w:ascii="Century Schoolbook" w:eastAsia="Times New Roman" w:hAnsi="Century Schoolbook" w:cs="Times New Roman"/>
          <w:sz w:val="20"/>
          <w:szCs w:val="20"/>
          <w:lang w:eastAsia="fr-FR"/>
        </w:rPr>
        <w:tab/>
        <w:t xml:space="preserve">                      1999                         2000        Timeline</w:t>
      </w:r>
    </w:p>
    <w:p w14:paraId="47FE7B12" w14:textId="77777777" w:rsidR="00E354EB" w:rsidRPr="000F4D18"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r w:rsidRPr="00DB2794">
        <w:rPr>
          <w:rFonts w:ascii="Century Schoolbook" w:eastAsia="Times New Roman" w:hAnsi="Century Schoolbook" w:cs="Times New Roman"/>
          <w:noProof/>
          <w:sz w:val="20"/>
          <w:szCs w:val="20"/>
        </w:rPr>
        <mc:AlternateContent>
          <mc:Choice Requires="wps">
            <w:drawing>
              <wp:anchor distT="0" distB="0" distL="114300" distR="114300" simplePos="0" relativeHeight="251660288" behindDoc="0" locked="0" layoutInCell="1" allowOverlap="1" wp14:anchorId="468D746F" wp14:editId="3BB891A1">
                <wp:simplePos x="0" y="0"/>
                <wp:positionH relativeFrom="column">
                  <wp:posOffset>483870</wp:posOffset>
                </wp:positionH>
                <wp:positionV relativeFrom="paragraph">
                  <wp:posOffset>69850</wp:posOffset>
                </wp:positionV>
                <wp:extent cx="51435" cy="60325"/>
                <wp:effectExtent l="0" t="0" r="24765" b="1587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 cy="60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41A781" id="Oval 31" o:spid="_x0000_s1026" style="position:absolute;margin-left:38.1pt;margin-top:5.5pt;width:4.0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" fillcolor="#4f81bd [3204]" strokecolor="#243f60 [1604]" strokeweight="2pt">
                <v:path arrowok="t"/>
              </v:oval>
            </w:pict>
          </mc:Fallback>
        </mc:AlternateContent>
      </w:r>
    </w:p>
    <w:p w14:paraId="08C43A7C" w14:textId="77777777" w:rsidR="00E354EB" w:rsidRPr="000F4D18"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r w:rsidRPr="000F4D18">
        <w:rPr>
          <w:rFonts w:ascii="Century Schoolbook" w:eastAsia="Times New Roman" w:hAnsi="Century Schoolbook" w:cs="Times New Roman"/>
          <w:sz w:val="20"/>
          <w:szCs w:val="20"/>
          <w:lang w:eastAsia="fr-FR"/>
        </w:rPr>
        <w:t xml:space="preserve">    Initiation</w:t>
      </w:r>
    </w:p>
    <w:p w14:paraId="6B044B76" w14:textId="77777777" w:rsidR="00E354EB" w:rsidRPr="000F4D18"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p>
    <w:p w14:paraId="1ECFD259" w14:textId="77777777" w:rsidR="00E354EB" w:rsidRPr="000F4D18"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r w:rsidRPr="000F4D18">
        <w:rPr>
          <w:rFonts w:ascii="Century Schoolbook" w:eastAsia="Times New Roman" w:hAnsi="Century Schoolbook" w:cs="Times New Roman"/>
          <w:sz w:val="20"/>
          <w:szCs w:val="20"/>
          <w:lang w:eastAsia="fr-FR"/>
        </w:rPr>
        <w:t xml:space="preserve">                                         </w:t>
      </w:r>
    </w:p>
    <w:p w14:paraId="25C56A23" w14:textId="77777777" w:rsidR="00E354EB" w:rsidRPr="000F4D18"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r w:rsidRPr="000F4D18">
        <w:rPr>
          <w:rFonts w:ascii="Century Schoolbook" w:eastAsia="Times New Roman" w:hAnsi="Century Schoolbook" w:cs="Times New Roman"/>
          <w:sz w:val="20"/>
          <w:szCs w:val="20"/>
          <w:lang w:eastAsia="fr-FR"/>
        </w:rPr>
        <w:t xml:space="preserve">                                              790 days                                           380 days</w:t>
      </w:r>
    </w:p>
    <w:p w14:paraId="21859756" w14:textId="77777777" w:rsidR="00E354EB" w:rsidRPr="000F4D18"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p>
    <w:p w14:paraId="1D0B70D2" w14:textId="77777777" w:rsidR="00E354EB" w:rsidRPr="000F4D18"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p>
    <w:p w14:paraId="5AF3F311" w14:textId="741AB8F1" w:rsidR="00E354EB" w:rsidRPr="00CD6E7F"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r w:rsidRPr="00CD6E7F">
        <w:rPr>
          <w:rFonts w:ascii="Century Schoolbook" w:eastAsia="Times New Roman" w:hAnsi="Century Schoolbook" w:cs="Times New Roman"/>
          <w:sz w:val="20"/>
          <w:szCs w:val="20"/>
          <w:lang w:eastAsia="fr-FR"/>
        </w:rPr>
        <w:t>This figure illustrates the importance of adjusting for the right</w:t>
      </w:r>
      <w:r w:rsidR="00F24E35">
        <w:rPr>
          <w:rFonts w:ascii="Century Schoolbook" w:eastAsia="Times New Roman" w:hAnsi="Century Schoolbook" w:cs="Times New Roman"/>
          <w:sz w:val="20"/>
          <w:szCs w:val="20"/>
          <w:lang w:eastAsia="fr-FR"/>
        </w:rPr>
        <w:t>-</w:t>
      </w:r>
      <w:r w:rsidRPr="00CD6E7F">
        <w:rPr>
          <w:rFonts w:ascii="Century Schoolbook" w:eastAsia="Times New Roman" w:hAnsi="Century Schoolbook" w:cs="Times New Roman"/>
          <w:sz w:val="20"/>
          <w:szCs w:val="20"/>
          <w:lang w:eastAsia="fr-FR"/>
        </w:rPr>
        <w:t>truncation bias when calculating the average time between recommendation revisions. In this example, the objective is to calculate an analyst’s average time to revise his recommendation on a stock as viewed on December 31</w:t>
      </w:r>
      <w:r w:rsidRPr="00CD6E7F">
        <w:rPr>
          <w:rFonts w:ascii="Century Schoolbook" w:eastAsia="Times New Roman" w:hAnsi="Century Schoolbook" w:cs="Times New Roman"/>
          <w:sz w:val="20"/>
          <w:szCs w:val="20"/>
          <w:vertAlign w:val="superscript"/>
          <w:lang w:eastAsia="fr-FR"/>
        </w:rPr>
        <w:t>st</w:t>
      </w:r>
      <w:r w:rsidRPr="00CD6E7F">
        <w:rPr>
          <w:rFonts w:ascii="Century Schoolbook" w:eastAsia="Times New Roman" w:hAnsi="Century Schoolbook" w:cs="Times New Roman"/>
          <w:sz w:val="20"/>
          <w:szCs w:val="20"/>
          <w:lang w:eastAsia="fr-FR"/>
        </w:rPr>
        <w:t xml:space="preserve">, 1999. Stock coverage is initiated in 1996, and we observe three revisions by </w:t>
      </w:r>
      <w:r w:rsidR="00E87F63" w:rsidRPr="00CD6E7F">
        <w:rPr>
          <w:rFonts w:ascii="Century Schoolbook" w:eastAsia="Times New Roman" w:hAnsi="Century Schoolbook" w:cs="Times New Roman"/>
          <w:sz w:val="20"/>
          <w:szCs w:val="20"/>
          <w:lang w:eastAsia="fr-FR"/>
        </w:rPr>
        <w:t xml:space="preserve">the end </w:t>
      </w:r>
      <w:r w:rsidRPr="00CD6E7F">
        <w:rPr>
          <w:rFonts w:ascii="Century Schoolbook" w:eastAsia="Times New Roman" w:hAnsi="Century Schoolbook" w:cs="Times New Roman"/>
          <w:sz w:val="20"/>
          <w:szCs w:val="20"/>
          <w:lang w:eastAsia="fr-FR"/>
        </w:rPr>
        <w:t>of 1999. However, this figure shows that on December 31</w:t>
      </w:r>
      <w:r w:rsidRPr="00CD6E7F">
        <w:rPr>
          <w:rFonts w:ascii="Century Schoolbook" w:eastAsia="Times New Roman" w:hAnsi="Century Schoolbook" w:cs="Times New Roman"/>
          <w:sz w:val="20"/>
          <w:szCs w:val="20"/>
          <w:vertAlign w:val="superscript"/>
          <w:lang w:eastAsia="fr-FR"/>
        </w:rPr>
        <w:t>st</w:t>
      </w:r>
      <w:r w:rsidRPr="00CD6E7F">
        <w:rPr>
          <w:rFonts w:ascii="Century Schoolbook" w:eastAsia="Times New Roman" w:hAnsi="Century Schoolbook" w:cs="Times New Roman"/>
          <w:sz w:val="20"/>
          <w:szCs w:val="20"/>
          <w:lang w:eastAsia="fr-FR"/>
        </w:rPr>
        <w:t>, 1999, there is an outstanding recommendation, which will not be revised until the following year. Therefore, if we ignore this outstanding recommendation, one would conclude that the average time between revisions is</w:t>
      </w:r>
      <w:r w:rsidR="007A4D59" w:rsidRPr="00CD6E7F">
        <w:rPr>
          <w:rFonts w:ascii="Century Schoolbook" w:eastAsia="Times New Roman" w:hAnsi="Century Schoolbook" w:cs="Times New Roman"/>
          <w:sz w:val="20"/>
          <w:szCs w:val="20"/>
          <w:lang w:eastAsia="fr-FR"/>
        </w:rPr>
        <w:t xml:space="preserve"> 790/3 </w:t>
      </w:r>
      <w:r w:rsidR="007A4D59" w:rsidRPr="00CD6E7F">
        <w:rPr>
          <w:rFonts w:ascii="Calibri" w:eastAsia="Times New Roman" w:hAnsi="Calibri" w:cs="Times New Roman"/>
          <w:sz w:val="20"/>
          <w:szCs w:val="20"/>
          <w:lang w:eastAsia="fr-FR"/>
        </w:rPr>
        <w:t>≈</w:t>
      </w:r>
      <w:r w:rsidR="007A4D59" w:rsidRPr="00CD6E7F">
        <w:rPr>
          <w:rFonts w:ascii="Century Schoolbook" w:eastAsia="Times New Roman" w:hAnsi="Century Schoolbook" w:cs="Times New Roman"/>
          <w:sz w:val="20"/>
          <w:szCs w:val="20"/>
          <w:lang w:eastAsia="fr-FR"/>
        </w:rPr>
        <w:t xml:space="preserve"> 263 </w:t>
      </w:r>
      <w:r w:rsidRPr="00CD6E7F">
        <w:rPr>
          <w:rFonts w:ascii="Century Schoolbook" w:eastAsia="Times New Roman" w:hAnsi="Century Schoolbook" w:cs="Times New Roman"/>
          <w:sz w:val="20"/>
          <w:szCs w:val="20"/>
          <w:lang w:eastAsia="fr-FR"/>
        </w:rPr>
        <w:t>days. This method of calculation is, however, downward-biased due to the exclusion of the 380 days associated with the outstanding recommendation. We refer to this as the right</w:t>
      </w:r>
      <w:r w:rsidRPr="00CD6E7F">
        <w:rPr>
          <w:rFonts w:ascii="Century Schoolbook" w:eastAsia="Times New Roman" w:hAnsi="Century Schoolbook" w:cs="Times New Roman"/>
          <w:b/>
          <w:i/>
          <w:sz w:val="20"/>
          <w:szCs w:val="20"/>
          <w:lang w:eastAsia="fr-FR"/>
        </w:rPr>
        <w:t>–</w:t>
      </w:r>
      <w:r w:rsidRPr="00CD6E7F">
        <w:rPr>
          <w:rFonts w:ascii="Century Schoolbook" w:eastAsia="Times New Roman" w:hAnsi="Century Schoolbook" w:cs="Times New Roman"/>
          <w:sz w:val="20"/>
          <w:szCs w:val="20"/>
          <w:lang w:eastAsia="fr-FR"/>
        </w:rPr>
        <w:t xml:space="preserve">truncation bias. </w:t>
      </w:r>
      <w:r w:rsidR="00F24E35">
        <w:rPr>
          <w:rFonts w:ascii="Century Schoolbook" w:eastAsia="Times New Roman" w:hAnsi="Century Schoolbook" w:cs="Times New Roman"/>
          <w:sz w:val="20"/>
          <w:szCs w:val="20"/>
          <w:lang w:eastAsia="fr-FR"/>
        </w:rPr>
        <w:t xml:space="preserve">In the </w:t>
      </w:r>
      <w:r w:rsidR="005A6FD7">
        <w:rPr>
          <w:rFonts w:ascii="Century Schoolbook" w:eastAsia="Times New Roman" w:hAnsi="Century Schoolbook" w:cs="Times New Roman"/>
          <w:sz w:val="20"/>
          <w:szCs w:val="20"/>
          <w:lang w:eastAsia="fr-FR"/>
        </w:rPr>
        <w:t xml:space="preserve">Online </w:t>
      </w:r>
      <w:r w:rsidR="00F24E35">
        <w:rPr>
          <w:rFonts w:ascii="Century Schoolbook" w:eastAsia="Times New Roman" w:hAnsi="Century Schoolbook" w:cs="Times New Roman"/>
          <w:sz w:val="20"/>
          <w:szCs w:val="20"/>
          <w:lang w:eastAsia="fr-FR"/>
        </w:rPr>
        <w:t xml:space="preserve">Appendix, </w:t>
      </w:r>
      <w:r w:rsidR="005A6FD7">
        <w:rPr>
          <w:rFonts w:ascii="Century Schoolbook" w:eastAsia="Times New Roman" w:hAnsi="Century Schoolbook" w:cs="Times New Roman"/>
          <w:sz w:val="20"/>
          <w:szCs w:val="20"/>
          <w:lang w:eastAsia="fr-FR"/>
        </w:rPr>
        <w:t xml:space="preserve">Section </w:t>
      </w:r>
      <w:r w:rsidR="005A6FD7" w:rsidRPr="005A6FD7">
        <w:rPr>
          <w:rFonts w:ascii="Century Schoolbook" w:eastAsia="Times New Roman" w:hAnsi="Century Schoolbook" w:cs="Times New Roman"/>
          <w:sz w:val="20"/>
          <w:szCs w:val="20"/>
          <w:lang w:eastAsia="fr-FR"/>
        </w:rPr>
        <w:t>B</w:t>
      </w:r>
      <w:r w:rsidRPr="00CD6E7F">
        <w:rPr>
          <w:rFonts w:ascii="Century Schoolbook" w:eastAsia="Times New Roman" w:hAnsi="Century Schoolbook" w:cs="Times New Roman"/>
          <w:sz w:val="20"/>
          <w:szCs w:val="20"/>
          <w:lang w:eastAsia="fr-FR"/>
        </w:rPr>
        <w:t>, we show how to adjust for the right</w:t>
      </w:r>
      <w:r w:rsidR="00AD486C" w:rsidRPr="00CD6E7F">
        <w:rPr>
          <w:rFonts w:ascii="Century Schoolbook" w:eastAsia="Times New Roman" w:hAnsi="Century Schoolbook" w:cs="Times New Roman"/>
          <w:b/>
          <w:i/>
          <w:sz w:val="20"/>
          <w:szCs w:val="20"/>
          <w:lang w:eastAsia="fr-FR"/>
        </w:rPr>
        <w:t>-</w:t>
      </w:r>
      <w:r w:rsidRPr="00CD6E7F">
        <w:rPr>
          <w:rFonts w:ascii="Century Schoolbook" w:eastAsia="Times New Roman" w:hAnsi="Century Schoolbook" w:cs="Times New Roman"/>
          <w:sz w:val="20"/>
          <w:szCs w:val="20"/>
          <w:lang w:eastAsia="fr-FR"/>
        </w:rPr>
        <w:t>truncation bias by estimating a Poisson</w:t>
      </w:r>
      <w:r w:rsidR="00AD486C" w:rsidRPr="00CD6E7F">
        <w:rPr>
          <w:rFonts w:ascii="Century Schoolbook" w:eastAsia="Times New Roman" w:hAnsi="Century Schoolbook" w:cs="Times New Roman"/>
          <w:b/>
          <w:i/>
          <w:sz w:val="20"/>
          <w:szCs w:val="20"/>
          <w:lang w:eastAsia="fr-FR"/>
        </w:rPr>
        <w:t>-</w:t>
      </w:r>
      <w:r w:rsidRPr="00CD6E7F">
        <w:rPr>
          <w:rFonts w:ascii="Century Schoolbook" w:eastAsia="Times New Roman" w:hAnsi="Century Schoolbook" w:cs="Times New Roman"/>
          <w:sz w:val="20"/>
          <w:szCs w:val="20"/>
          <w:lang w:eastAsia="fr-FR"/>
        </w:rPr>
        <w:t xml:space="preserve">likelihood model. </w:t>
      </w:r>
    </w:p>
    <w:p w14:paraId="5BC0B7A7" w14:textId="77777777" w:rsidR="00E354EB" w:rsidRPr="000F4D18"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p>
    <w:p w14:paraId="0B5271C4" w14:textId="77777777" w:rsidR="00E354EB" w:rsidRPr="000F4D18" w:rsidRDefault="00E354EB" w:rsidP="00E354EB">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r w:rsidRPr="000F4D18">
        <w:rPr>
          <w:rFonts w:ascii="Century Schoolbook" w:eastAsia="Times New Roman" w:hAnsi="Century Schoolbook" w:cs="Times New Roman"/>
          <w:sz w:val="20"/>
          <w:szCs w:val="20"/>
          <w:lang w:eastAsia="fr-FR"/>
        </w:rPr>
        <w:br w:type="page"/>
      </w:r>
      <w:r w:rsidRPr="000F4D18">
        <w:rPr>
          <w:rFonts w:ascii="Century Schoolbook" w:eastAsia="Times New Roman" w:hAnsi="Century Schoolbook" w:cs="Times New Roman"/>
          <w:b/>
          <w:sz w:val="20"/>
          <w:szCs w:val="20"/>
          <w:lang w:eastAsia="fr-FR"/>
        </w:rPr>
        <w:lastRenderedPageBreak/>
        <w:t>Figure 2</w:t>
      </w:r>
    </w:p>
    <w:p w14:paraId="74E3157C" w14:textId="77777777" w:rsidR="00E354EB" w:rsidRPr="000F4D18" w:rsidRDefault="00E354EB" w:rsidP="00E354EB">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p>
    <w:p w14:paraId="46BC3979" w14:textId="77777777" w:rsidR="00E354EB" w:rsidRPr="000F4D18" w:rsidRDefault="00E354EB" w:rsidP="00E354EB">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r w:rsidRPr="000F4D18">
        <w:rPr>
          <w:rFonts w:ascii="Century Schoolbook" w:eastAsia="Times New Roman" w:hAnsi="Century Schoolbook" w:cs="Times New Roman"/>
          <w:b/>
          <w:i/>
          <w:sz w:val="20"/>
          <w:szCs w:val="20"/>
          <w:lang w:eastAsia="fr-FR"/>
        </w:rPr>
        <w:t>Slow vs. Fast recommendation turnover analysts: Examples</w:t>
      </w:r>
    </w:p>
    <w:p w14:paraId="3DF5A183" w14:textId="77777777" w:rsidR="00E354EB" w:rsidRPr="000F4D18" w:rsidRDefault="00E354EB" w:rsidP="00E354EB">
      <w:pPr>
        <w:autoSpaceDE w:val="0"/>
        <w:autoSpaceDN w:val="0"/>
        <w:adjustRightInd w:val="0"/>
        <w:spacing w:after="0" w:line="240" w:lineRule="auto"/>
        <w:rPr>
          <w:rFonts w:ascii="Century Schoolbook" w:eastAsia="Times New Roman" w:hAnsi="Century Schoolbook" w:cs="Times New Roman"/>
          <w:b/>
          <w:sz w:val="20"/>
          <w:szCs w:val="20"/>
          <w:lang w:eastAsia="fr-FR"/>
        </w:rPr>
      </w:pPr>
    </w:p>
    <w:p w14:paraId="1341EE2B" w14:textId="77777777" w:rsidR="00E354EB" w:rsidRPr="000F4D18" w:rsidRDefault="00E354EB" w:rsidP="00E354EB">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r w:rsidRPr="00DB2794">
        <w:rPr>
          <w:rFonts w:ascii="Century Schoolbook" w:eastAsia="Times New Roman" w:hAnsi="Century Schoolbook" w:cs="Times New Roman"/>
          <w:b/>
          <w:noProof/>
          <w:sz w:val="20"/>
          <w:szCs w:val="20"/>
        </w:rPr>
        <w:drawing>
          <wp:inline distT="0" distB="0" distL="0" distR="0" wp14:anchorId="32B79605" wp14:editId="06CDB7F1">
            <wp:extent cx="5739385" cy="4200525"/>
            <wp:effectExtent l="19050" t="0" r="0" b="666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7452" cy="4213748"/>
                    </a:xfrm>
                    <a:prstGeom prst="rect">
                      <a:avLst/>
                    </a:prstGeom>
                    <a:noFill/>
                    <a:ln>
                      <a:noFill/>
                    </a:ln>
                    <a:effectLst>
                      <a:outerShdw blurRad="50800" dist="50800" dir="5400000" algn="ctr" rotWithShape="0">
                        <a:schemeClr val="bg1"/>
                      </a:outerShdw>
                    </a:effectLst>
                  </pic:spPr>
                </pic:pic>
              </a:graphicData>
            </a:graphic>
          </wp:inline>
        </w:drawing>
      </w:r>
    </w:p>
    <w:p w14:paraId="635A9759" w14:textId="77777777" w:rsidR="00E354EB" w:rsidRPr="000F4D18" w:rsidRDefault="00E354EB" w:rsidP="00E354EB">
      <w:pPr>
        <w:autoSpaceDE w:val="0"/>
        <w:autoSpaceDN w:val="0"/>
        <w:adjustRightInd w:val="0"/>
        <w:spacing w:after="0" w:line="240" w:lineRule="auto"/>
        <w:rPr>
          <w:rFonts w:ascii="Century Schoolbook" w:eastAsia="Times New Roman" w:hAnsi="Century Schoolbook" w:cs="Times New Roman"/>
          <w:b/>
          <w:sz w:val="20"/>
          <w:szCs w:val="20"/>
          <w:lang w:eastAsia="fr-FR"/>
        </w:rPr>
      </w:pPr>
    </w:p>
    <w:p w14:paraId="256D2639" w14:textId="77777777" w:rsidR="00E354EB" w:rsidRPr="000F4D18" w:rsidRDefault="00E354EB" w:rsidP="00E354EB">
      <w:pPr>
        <w:autoSpaceDE w:val="0"/>
        <w:autoSpaceDN w:val="0"/>
        <w:adjustRightInd w:val="0"/>
        <w:spacing w:after="0" w:line="240" w:lineRule="auto"/>
        <w:rPr>
          <w:rFonts w:ascii="Century Schoolbook" w:eastAsia="Times New Roman" w:hAnsi="Century Schoolbook" w:cs="Times New Roman"/>
          <w:b/>
          <w:sz w:val="20"/>
          <w:szCs w:val="20"/>
          <w:lang w:eastAsia="fr-FR"/>
        </w:rPr>
      </w:pPr>
    </w:p>
    <w:p w14:paraId="676019F8" w14:textId="5666382B" w:rsidR="00E354EB" w:rsidRPr="00CD6E7F" w:rsidRDefault="00E354EB" w:rsidP="00E354EB">
      <w:pPr>
        <w:autoSpaceDE w:val="0"/>
        <w:autoSpaceDN w:val="0"/>
        <w:adjustRightInd w:val="0"/>
        <w:spacing w:after="0" w:line="240" w:lineRule="auto"/>
        <w:jc w:val="both"/>
        <w:rPr>
          <w:rFonts w:ascii="Century Schoolbook" w:eastAsia="Times New Roman" w:hAnsi="Century Schoolbook" w:cs="Times New Roman"/>
          <w:sz w:val="20"/>
          <w:szCs w:val="20"/>
          <w:lang w:eastAsia="fr-FR"/>
        </w:rPr>
      </w:pPr>
      <w:r w:rsidRPr="00CD6E7F">
        <w:rPr>
          <w:rFonts w:ascii="Century Schoolbook" w:eastAsia="Times New Roman" w:hAnsi="Century Schoolbook" w:cs="Times New Roman"/>
          <w:sz w:val="20"/>
          <w:szCs w:val="20"/>
          <w:lang w:eastAsia="fr-FR"/>
        </w:rPr>
        <w:t>This figure illustrates an example of recommendation revision made on two stocks by two different types of analysts: (1) slow</w:t>
      </w:r>
      <w:r w:rsidR="006128BA" w:rsidRPr="00CD6E7F">
        <w:rPr>
          <w:rFonts w:ascii="Century Schoolbook" w:eastAsia="Times New Roman" w:hAnsi="Century Schoolbook" w:cs="Times New Roman"/>
          <w:sz w:val="20"/>
          <w:szCs w:val="20"/>
          <w:lang w:eastAsia="fr-FR"/>
        </w:rPr>
        <w:t>-</w:t>
      </w:r>
      <w:r w:rsidRPr="00CD6E7F">
        <w:rPr>
          <w:rFonts w:ascii="Century Schoolbook" w:eastAsia="Times New Roman" w:hAnsi="Century Schoolbook" w:cs="Times New Roman"/>
          <w:sz w:val="20"/>
          <w:szCs w:val="20"/>
          <w:lang w:eastAsia="fr-FR"/>
        </w:rPr>
        <w:t>turnover analyst (solid line), and (2) fast</w:t>
      </w:r>
      <w:r w:rsidR="006128BA" w:rsidRPr="00CD6E7F">
        <w:rPr>
          <w:rFonts w:ascii="Century Schoolbook" w:eastAsia="Times New Roman" w:hAnsi="Century Schoolbook" w:cs="Times New Roman"/>
          <w:sz w:val="20"/>
          <w:szCs w:val="20"/>
          <w:lang w:eastAsia="fr-FR"/>
        </w:rPr>
        <w:t>-</w:t>
      </w:r>
      <w:r w:rsidRPr="00CD6E7F">
        <w:rPr>
          <w:rFonts w:ascii="Century Schoolbook" w:eastAsia="Times New Roman" w:hAnsi="Century Schoolbook" w:cs="Times New Roman"/>
          <w:sz w:val="20"/>
          <w:szCs w:val="20"/>
          <w:lang w:eastAsia="fr-FR"/>
        </w:rPr>
        <w:t xml:space="preserve">turnover analyst (dashed line). Slow (fast) turnover analysts are those that revise their recommendations significantly less (more) often than their comparable </w:t>
      </w:r>
      <w:r w:rsidR="00E01FF9" w:rsidRPr="00CD6E7F">
        <w:rPr>
          <w:rFonts w:ascii="Century Schoolbook" w:eastAsia="Times New Roman" w:hAnsi="Century Schoolbook" w:cs="Times New Roman"/>
          <w:sz w:val="20"/>
          <w:szCs w:val="20"/>
          <w:lang w:eastAsia="fr-FR"/>
        </w:rPr>
        <w:t>peers do</w:t>
      </w:r>
      <w:r w:rsidRPr="00CD6E7F">
        <w:rPr>
          <w:rFonts w:ascii="Century Schoolbook" w:eastAsia="Times New Roman" w:hAnsi="Century Schoolbook" w:cs="Times New Roman"/>
          <w:sz w:val="20"/>
          <w:szCs w:val="20"/>
          <w:lang w:eastAsia="fr-FR"/>
        </w:rPr>
        <w:t>. We classify analysts in our sample at the end of the cale</w:t>
      </w:r>
      <w:r w:rsidR="00836DB3">
        <w:rPr>
          <w:rFonts w:ascii="Century Schoolbook" w:eastAsia="Times New Roman" w:hAnsi="Century Schoolbook" w:cs="Times New Roman"/>
          <w:sz w:val="20"/>
          <w:szCs w:val="20"/>
          <w:lang w:eastAsia="fr-FR"/>
        </w:rPr>
        <w:t>ndar year from 1996 through 2013</w:t>
      </w:r>
      <w:r w:rsidRPr="00CD6E7F">
        <w:rPr>
          <w:rFonts w:ascii="Century Schoolbook" w:eastAsia="Times New Roman" w:hAnsi="Century Schoolbook" w:cs="Times New Roman"/>
          <w:sz w:val="20"/>
          <w:szCs w:val="20"/>
          <w:lang w:eastAsia="fr-FR"/>
        </w:rPr>
        <w:t xml:space="preserve">. See text for more details. The </w:t>
      </w:r>
      <w:r w:rsidRPr="00CD6E7F">
        <w:rPr>
          <w:rFonts w:ascii="Century Schoolbook" w:eastAsia="Times New Roman" w:hAnsi="Century Schoolbook" w:cs="Times New Roman"/>
          <w:i/>
          <w:sz w:val="20"/>
          <w:szCs w:val="20"/>
          <w:lang w:eastAsia="fr-FR"/>
        </w:rPr>
        <w:t>x</w:t>
      </w:r>
      <w:r w:rsidRPr="00CD6E7F">
        <w:rPr>
          <w:rFonts w:ascii="Century Schoolbook" w:eastAsia="Times New Roman" w:hAnsi="Century Schoolbook" w:cs="Times New Roman"/>
          <w:sz w:val="20"/>
          <w:szCs w:val="20"/>
          <w:lang w:eastAsia="fr-FR"/>
        </w:rPr>
        <w:t>-axis represents the number of years elapsed since an analyst made his first recommendation on that stock.</w:t>
      </w:r>
    </w:p>
    <w:p w14:paraId="6CD120F3" w14:textId="77777777" w:rsidR="00E354EB" w:rsidRPr="000F4D18" w:rsidRDefault="00E354EB" w:rsidP="00E354EB">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p>
    <w:p w14:paraId="4E950557" w14:textId="369D9E88" w:rsidR="00185EB9" w:rsidRDefault="00185EB9">
      <w:pPr>
        <w:rPr>
          <w:rFonts w:ascii="Century Schoolbook" w:eastAsia="Times New Roman" w:hAnsi="Century Schoolbook" w:cs="Times New Roman"/>
          <w:b/>
          <w:sz w:val="20"/>
          <w:szCs w:val="20"/>
          <w:lang w:eastAsia="fr-FR"/>
        </w:rPr>
      </w:pPr>
      <w:r>
        <w:rPr>
          <w:rFonts w:ascii="Century Schoolbook" w:eastAsia="Times New Roman" w:hAnsi="Century Schoolbook" w:cs="Times New Roman"/>
          <w:b/>
          <w:sz w:val="20"/>
          <w:szCs w:val="20"/>
          <w:lang w:eastAsia="fr-FR"/>
        </w:rPr>
        <w:br w:type="page"/>
      </w:r>
    </w:p>
    <w:p w14:paraId="79F28245" w14:textId="1227321C" w:rsidR="00801507" w:rsidRPr="0001476D" w:rsidRDefault="00801507" w:rsidP="00801507">
      <w:pPr>
        <w:autoSpaceDE w:val="0"/>
        <w:autoSpaceDN w:val="0"/>
        <w:adjustRightInd w:val="0"/>
        <w:spacing w:after="0" w:line="240" w:lineRule="auto"/>
        <w:jc w:val="both"/>
        <w:rPr>
          <w:rFonts w:ascii="Century Schoolbook" w:hAnsi="Century Schoolbook" w:cs="Times New Roman"/>
          <w:sz w:val="20"/>
        </w:rPr>
      </w:pPr>
    </w:p>
    <w:p w14:paraId="5D678B4B" w14:textId="77777777" w:rsidR="00F770FF" w:rsidRPr="000F4D18" w:rsidRDefault="00F770FF" w:rsidP="00F770FF">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r w:rsidRPr="000F4D18">
        <w:rPr>
          <w:rFonts w:ascii="Century Schoolbook" w:eastAsia="Times New Roman" w:hAnsi="Century Schoolbook" w:cs="Times New Roman"/>
          <w:b/>
          <w:sz w:val="20"/>
          <w:szCs w:val="20"/>
          <w:lang w:eastAsia="fr-FR"/>
        </w:rPr>
        <w:t>Table 1</w:t>
      </w:r>
    </w:p>
    <w:p w14:paraId="68579675" w14:textId="77777777" w:rsidR="00F770FF" w:rsidRPr="000F4D18" w:rsidRDefault="00F770FF" w:rsidP="00F770FF">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r w:rsidRPr="000F4D18">
        <w:rPr>
          <w:rFonts w:ascii="Century Schoolbook" w:eastAsia="Times New Roman" w:hAnsi="Century Schoolbook" w:cs="Times New Roman"/>
          <w:b/>
          <w:i/>
          <w:sz w:val="20"/>
          <w:szCs w:val="20"/>
          <w:lang w:eastAsia="fr-FR"/>
        </w:rPr>
        <w:t>Analyst characteristics</w:t>
      </w:r>
    </w:p>
    <w:p w14:paraId="0333FB05" w14:textId="77777777" w:rsidR="00F770FF" w:rsidRPr="000F4D18" w:rsidRDefault="00F770FF" w:rsidP="00F770FF">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p>
    <w:p w14:paraId="7C31B399" w14:textId="549BFCA7" w:rsidR="00F770FF" w:rsidRPr="00F24E35" w:rsidRDefault="00F770FF" w:rsidP="00F770FF">
      <w:pPr>
        <w:spacing w:after="0" w:line="240" w:lineRule="auto"/>
        <w:jc w:val="both"/>
        <w:rPr>
          <w:rFonts w:ascii="Century Schoolbook" w:eastAsia="Times New Roman" w:hAnsi="Century Schoolbook" w:cs="Times New Roman"/>
          <w:sz w:val="21"/>
          <w:szCs w:val="21"/>
          <w:lang w:eastAsia="fr-FR"/>
        </w:rPr>
      </w:pPr>
      <w:r w:rsidRPr="00F24E35">
        <w:rPr>
          <w:rFonts w:ascii="Century Schoolbook" w:eastAsia="Times New Roman" w:hAnsi="Century Schoolbook" w:cs="Times New Roman"/>
          <w:sz w:val="21"/>
          <w:szCs w:val="21"/>
          <w:lang w:eastAsia="fr-FR"/>
        </w:rPr>
        <w:t xml:space="preserve">This table reports a sample descriptive of analyst characteristics. The sample consists of analysts that provide active recommendations coverage between 1996 through 2013. Recommendations and earnings forecasts data are obtained from I/B/E/S. We require that an analyst provides active recommendation coverage on at least three stocks to remain the sample each year. Details of filters used to construct the sample can be found in the main text. The sample consists of 4,563 unique analysts providing active recommendation coverage in 1996–2013, resulting in </w:t>
      </w:r>
      <w:r w:rsidRPr="00F24E35">
        <w:rPr>
          <w:rFonts w:ascii="Century Schoolbook" w:eastAsia="Times New Roman" w:hAnsi="Century Schoolbook" w:cs="Times New Roman"/>
          <w:color w:val="000000"/>
          <w:sz w:val="21"/>
          <w:szCs w:val="21"/>
        </w:rPr>
        <w:t xml:space="preserve">25,678 </w:t>
      </w:r>
      <w:r w:rsidRPr="00F24E35">
        <w:rPr>
          <w:rFonts w:ascii="Century Schoolbook" w:eastAsia="Times New Roman" w:hAnsi="Century Schoolbook" w:cs="Times New Roman"/>
          <w:sz w:val="21"/>
          <w:szCs w:val="21"/>
          <w:lang w:eastAsia="fr-FR"/>
        </w:rPr>
        <w:t>analyst-year observations. We summarize analyst characteristics calculated at the analyst</w:t>
      </w:r>
      <w:r w:rsidR="0000113B" w:rsidRPr="00F24E35">
        <w:rPr>
          <w:rFonts w:ascii="Century Schoolbook" w:eastAsia="Times New Roman" w:hAnsi="Century Schoolbook" w:cs="Times New Roman"/>
          <w:sz w:val="21"/>
          <w:szCs w:val="21"/>
          <w:lang w:eastAsia="fr-FR"/>
        </w:rPr>
        <w:t>-</w:t>
      </w:r>
      <w:r w:rsidRPr="00F24E35">
        <w:rPr>
          <w:rFonts w:ascii="Century Schoolbook" w:eastAsia="Times New Roman" w:hAnsi="Century Schoolbook" w:cs="Times New Roman"/>
          <w:sz w:val="21"/>
          <w:szCs w:val="21"/>
          <w:lang w:eastAsia="fr-FR"/>
        </w:rPr>
        <w:t xml:space="preserve">year level. Most of the variables are defined in Appendix </w:t>
      </w:r>
      <w:r w:rsidRPr="00F24E35">
        <w:rPr>
          <w:rFonts w:ascii="Century Schoolbook" w:eastAsia="Times New Roman" w:hAnsi="Century Schoolbook" w:cs="Times New Roman"/>
          <w:b/>
          <w:sz w:val="21"/>
          <w:szCs w:val="21"/>
          <w:lang w:eastAsia="fr-FR"/>
        </w:rPr>
        <w:t>A</w:t>
      </w:r>
      <w:r w:rsidRPr="00F24E35">
        <w:rPr>
          <w:rFonts w:ascii="Century Schoolbook" w:eastAsia="Times New Roman" w:hAnsi="Century Schoolbook" w:cs="Times New Roman"/>
          <w:sz w:val="21"/>
          <w:szCs w:val="21"/>
          <w:lang w:eastAsia="fr-FR"/>
        </w:rPr>
        <w:t xml:space="preserve">. </w:t>
      </w:r>
      <w:r w:rsidRPr="00F24E35">
        <w:rPr>
          <w:rFonts w:ascii="Century Schoolbook" w:eastAsia="Times New Roman" w:hAnsi="Century Schoolbook" w:cs="Times New Roman"/>
          <w:i/>
          <w:color w:val="000000"/>
          <w:sz w:val="21"/>
          <w:szCs w:val="21"/>
          <w:lang w:eastAsia="en-CA"/>
        </w:rPr>
        <w:t xml:space="preserve">General experience </w:t>
      </w:r>
      <w:r w:rsidRPr="00F24E35">
        <w:rPr>
          <w:rFonts w:ascii="Century Schoolbook" w:eastAsia="Times New Roman" w:hAnsi="Century Schoolbook" w:cs="Times New Roman"/>
          <w:sz w:val="21"/>
          <w:szCs w:val="21"/>
          <w:lang w:eastAsia="fr-FR"/>
        </w:rPr>
        <w:t xml:space="preserve">is the number of years since the analyst’s first recommendation appears in the I/B/E/S database. </w:t>
      </w:r>
      <w:r w:rsidRPr="00F24E35">
        <w:rPr>
          <w:rFonts w:ascii="Century Schoolbook" w:eastAsia="Times New Roman" w:hAnsi="Century Schoolbook" w:cs="Times New Roman"/>
          <w:i/>
          <w:sz w:val="21"/>
          <w:szCs w:val="21"/>
          <w:lang w:eastAsia="fr-FR"/>
        </w:rPr>
        <w:t>Breadth</w:t>
      </w:r>
      <w:r w:rsidRPr="00F24E35">
        <w:rPr>
          <w:rFonts w:ascii="Century Schoolbook" w:eastAsia="Times New Roman" w:hAnsi="Century Schoolbook" w:cs="Times New Roman"/>
          <w:sz w:val="21"/>
          <w:szCs w:val="21"/>
          <w:lang w:eastAsia="fr-FR"/>
        </w:rPr>
        <w:t xml:space="preserve"> is the number of stocks for which an analyst provides active recommendation coverage. </w:t>
      </w:r>
      <w:r w:rsidRPr="00F24E35">
        <w:rPr>
          <w:rFonts w:ascii="Century Schoolbook" w:eastAsia="Times New Roman" w:hAnsi="Century Schoolbook" w:cs="Times New Roman"/>
          <w:i/>
          <w:color w:val="000000"/>
          <w:sz w:val="21"/>
          <w:szCs w:val="21"/>
          <w:lang w:eastAsia="en-CA"/>
        </w:rPr>
        <w:t xml:space="preserve"> All–star </w:t>
      </w:r>
      <w:r w:rsidRPr="00F24E35">
        <w:rPr>
          <w:rFonts w:ascii="Century Schoolbook" w:eastAsia="Times New Roman" w:hAnsi="Century Schoolbook" w:cs="Times New Roman"/>
          <w:sz w:val="21"/>
          <w:szCs w:val="21"/>
          <w:lang w:eastAsia="fr-FR"/>
        </w:rPr>
        <w:t>is the indicator variable equal to one if analyst is elected to t</w:t>
      </w:r>
      <w:r w:rsidRPr="00F24E35">
        <w:rPr>
          <w:rFonts w:ascii="Century Schoolbook" w:hAnsi="Century Schoolbook" w:cs="Times New Roman"/>
          <w:sz w:val="21"/>
          <w:szCs w:val="21"/>
        </w:rPr>
        <w:t xml:space="preserve">he </w:t>
      </w:r>
      <w:r w:rsidRPr="00F24E35">
        <w:rPr>
          <w:rFonts w:ascii="Century Schoolbook" w:hAnsi="Century Schoolbook" w:cs="Times New Roman"/>
          <w:i/>
          <w:sz w:val="21"/>
          <w:szCs w:val="21"/>
        </w:rPr>
        <w:t xml:space="preserve">Institutional Investor’s </w:t>
      </w:r>
      <w:r w:rsidRPr="00F24E35">
        <w:rPr>
          <w:rFonts w:ascii="Century Schoolbook" w:hAnsi="Century Schoolbook" w:cs="Times New Roman"/>
          <w:sz w:val="21"/>
          <w:szCs w:val="21"/>
        </w:rPr>
        <w:t xml:space="preserve">annual All-American team (Fang and Yasuda, 2014). </w:t>
      </w:r>
      <w:r w:rsidRPr="00F24E35">
        <w:rPr>
          <w:rFonts w:ascii="Century Schoolbook" w:hAnsi="Century Schoolbook" w:cs="Times New Roman"/>
          <w:i/>
          <w:sz w:val="21"/>
          <w:szCs w:val="21"/>
        </w:rPr>
        <w:t xml:space="preserve">Male </w:t>
      </w:r>
      <w:r w:rsidRPr="00F24E35">
        <w:rPr>
          <w:rFonts w:ascii="Century Schoolbook" w:hAnsi="Century Schoolbook" w:cs="Times New Roman"/>
          <w:sz w:val="21"/>
          <w:szCs w:val="21"/>
        </w:rPr>
        <w:t xml:space="preserve">is the indicator variable equal to one if analyst is a male. </w:t>
      </w:r>
      <w:r w:rsidRPr="00F24E35">
        <w:rPr>
          <w:rFonts w:ascii="Century Schoolbook" w:eastAsia="Times New Roman" w:hAnsi="Century Schoolbook" w:cs="Times New Roman"/>
          <w:i/>
          <w:color w:val="000000"/>
          <w:sz w:val="21"/>
          <w:szCs w:val="21"/>
          <w:lang w:eastAsia="en-CA"/>
        </w:rPr>
        <w:t xml:space="preserve">Top broker </w:t>
      </w:r>
      <w:r w:rsidRPr="00F24E35">
        <w:rPr>
          <w:rFonts w:ascii="Century Schoolbook" w:eastAsia="Times New Roman" w:hAnsi="Century Schoolbook" w:cs="Times New Roman"/>
          <w:sz w:val="21"/>
          <w:szCs w:val="21"/>
          <w:lang w:eastAsia="fr-FR"/>
        </w:rPr>
        <w:t xml:space="preserve">is the indicator variable equal to one if </w:t>
      </w:r>
      <w:r w:rsidRPr="00F24E35">
        <w:rPr>
          <w:rFonts w:ascii="Century Schoolbook" w:hAnsi="Century Schoolbook" w:cs="Times New Roman"/>
          <w:sz w:val="21"/>
          <w:szCs w:val="21"/>
        </w:rPr>
        <w:t xml:space="preserve">analysts are working for the largest brokerage house defined as those in top tenth size decile measured by the number of analysts employed in a given year. </w:t>
      </w:r>
      <w:r w:rsidRPr="00F24E35">
        <w:rPr>
          <w:rFonts w:ascii="Century Schoolbook" w:hAnsi="Century Schoolbook" w:cs="Times New Roman"/>
          <w:i/>
          <w:sz w:val="21"/>
          <w:szCs w:val="21"/>
        </w:rPr>
        <w:t>Recommendation boldness</w:t>
      </w:r>
      <w:r w:rsidRPr="00F24E35">
        <w:rPr>
          <w:rFonts w:ascii="Century Schoolbook" w:hAnsi="Century Schoolbook" w:cs="Times New Roman"/>
          <w:sz w:val="21"/>
          <w:szCs w:val="21"/>
        </w:rPr>
        <w:t xml:space="preserve"> is the indicator variable equal to one if an analyst’s recommendation revision is away from the consensus as defined by </w:t>
      </w:r>
      <w:proofErr w:type="spellStart"/>
      <w:r w:rsidRPr="00F24E35">
        <w:rPr>
          <w:rFonts w:ascii="Century Schoolbook" w:hAnsi="Century Schoolbook" w:cs="Times New Roman"/>
          <w:sz w:val="21"/>
          <w:szCs w:val="21"/>
        </w:rPr>
        <w:t>Jegadeesh</w:t>
      </w:r>
      <w:proofErr w:type="spellEnd"/>
      <w:r w:rsidRPr="00F24E35">
        <w:rPr>
          <w:rFonts w:ascii="Century Schoolbook" w:hAnsi="Century Schoolbook" w:cs="Times New Roman"/>
          <w:sz w:val="21"/>
          <w:szCs w:val="21"/>
        </w:rPr>
        <w:t xml:space="preserve"> and Kim (2010). </w:t>
      </w:r>
      <w:r w:rsidRPr="00F24E35">
        <w:rPr>
          <w:rFonts w:ascii="Century Schoolbook" w:hAnsi="Century Schoolbook" w:cs="Times New Roman"/>
          <w:i/>
          <w:sz w:val="21"/>
          <w:szCs w:val="21"/>
        </w:rPr>
        <w:t>Recommendation</w:t>
      </w:r>
      <w:r w:rsidRPr="00F24E35">
        <w:rPr>
          <w:rFonts w:ascii="Century Schoolbook" w:hAnsi="Century Schoolbook" w:cs="Times New Roman"/>
          <w:sz w:val="21"/>
          <w:szCs w:val="21"/>
        </w:rPr>
        <w:t xml:space="preserve"> </w:t>
      </w:r>
      <w:r w:rsidRPr="00F24E35">
        <w:rPr>
          <w:rFonts w:ascii="Century Schoolbook" w:eastAsia="Times New Roman" w:hAnsi="Century Schoolbook" w:cs="Times New Roman"/>
          <w:i/>
          <w:color w:val="000000"/>
          <w:sz w:val="21"/>
          <w:szCs w:val="21"/>
          <w:lang w:eastAsia="en-CA"/>
        </w:rPr>
        <w:t xml:space="preserve">optimism </w:t>
      </w:r>
      <w:r w:rsidRPr="00F24E35">
        <w:rPr>
          <w:rFonts w:ascii="Century Schoolbook" w:eastAsia="Times New Roman" w:hAnsi="Century Schoolbook" w:cs="Times New Roman"/>
          <w:sz w:val="21"/>
          <w:szCs w:val="21"/>
          <w:lang w:eastAsia="fr-FR"/>
        </w:rPr>
        <w:t>is the indicator variable equal to one if an analyst’s recommendation is more optimistic than the prevailing consensus (</w:t>
      </w:r>
      <w:r w:rsidRPr="00F24E35">
        <w:rPr>
          <w:rFonts w:ascii="Century Schoolbook" w:eastAsia="Times New Roman" w:hAnsi="Century Schoolbook" w:cs="Times New Roman"/>
          <w:sz w:val="21"/>
          <w:szCs w:val="21"/>
          <w:shd w:val="clear" w:color="auto" w:fill="FFFFFF" w:themeFill="background1"/>
          <w:lang w:eastAsia="fr-FR"/>
        </w:rPr>
        <w:t xml:space="preserve">Clement, 1999). </w:t>
      </w:r>
      <w:r w:rsidRPr="00F24E35">
        <w:rPr>
          <w:rFonts w:ascii="Century Schoolbook" w:eastAsia="Times New Roman" w:hAnsi="Century Schoolbook" w:cs="Times New Roman"/>
          <w:i/>
          <w:color w:val="000000"/>
          <w:sz w:val="21"/>
          <w:szCs w:val="21"/>
          <w:shd w:val="clear" w:color="auto" w:fill="FFFFFF" w:themeFill="background1"/>
          <w:lang w:eastAsia="en-CA"/>
        </w:rPr>
        <w:t xml:space="preserve">EPS optimism </w:t>
      </w:r>
      <w:r w:rsidRPr="00F24E35">
        <w:rPr>
          <w:rFonts w:ascii="Century Schoolbook" w:eastAsia="Times New Roman" w:hAnsi="Century Schoolbook" w:cs="Times New Roman"/>
          <w:sz w:val="21"/>
          <w:szCs w:val="21"/>
          <w:lang w:eastAsia="fr-FR"/>
        </w:rPr>
        <w:t>is the indicator variable to one if an analyst’s quarterly earnings forecast is more optimistic than the prevailing consensus</w:t>
      </w:r>
      <w:r w:rsidRPr="00F24E35">
        <w:rPr>
          <w:rFonts w:ascii="Century Schoolbook" w:eastAsia="Times New Roman" w:hAnsi="Century Schoolbook" w:cs="Times New Roman"/>
          <w:i/>
          <w:color w:val="000000"/>
          <w:sz w:val="21"/>
          <w:szCs w:val="21"/>
          <w:shd w:val="clear" w:color="auto" w:fill="FFFFFF" w:themeFill="background1"/>
          <w:lang w:eastAsia="en-CA"/>
        </w:rPr>
        <w:t xml:space="preserve">. EPS precision </w:t>
      </w:r>
      <w:r w:rsidRPr="00F24E35">
        <w:rPr>
          <w:rFonts w:ascii="Century Schoolbook" w:eastAsia="Times New Roman" w:hAnsi="Century Schoolbook" w:cs="Times New Roman"/>
          <w:sz w:val="21"/>
          <w:szCs w:val="21"/>
          <w:shd w:val="clear" w:color="auto" w:fill="FFFFFF" w:themeFill="background1"/>
          <w:lang w:eastAsia="fr-FR"/>
        </w:rPr>
        <w:t>is the average earnings forecast error made by an analyst on all quarterly forecasts (</w:t>
      </w:r>
      <w:r w:rsidRPr="00F24E35">
        <w:rPr>
          <w:rFonts w:ascii="Century Schoolbook" w:hAnsi="Century Schoolbook" w:cs="Times New Roman"/>
          <w:sz w:val="21"/>
          <w:szCs w:val="21"/>
        </w:rPr>
        <w:t xml:space="preserve">Clement and Tse, 2005). </w:t>
      </w:r>
      <w:r w:rsidRPr="00F24E35">
        <w:rPr>
          <w:rFonts w:ascii="Century Schoolbook" w:eastAsia="Times New Roman" w:hAnsi="Century Schoolbook" w:cs="Times New Roman"/>
          <w:i/>
          <w:color w:val="000000"/>
          <w:sz w:val="21"/>
          <w:szCs w:val="21"/>
          <w:shd w:val="clear" w:color="auto" w:fill="FFFFFF" w:themeFill="background1"/>
          <w:lang w:eastAsia="en-CA"/>
        </w:rPr>
        <w:t xml:space="preserve">Forecast frequency </w:t>
      </w:r>
      <w:r w:rsidRPr="00F24E35">
        <w:rPr>
          <w:rFonts w:ascii="Century Schoolbook" w:eastAsia="Times New Roman" w:hAnsi="Century Schoolbook" w:cs="Times New Roman"/>
          <w:sz w:val="21"/>
          <w:szCs w:val="21"/>
          <w:shd w:val="clear" w:color="auto" w:fill="FFFFFF" w:themeFill="background1"/>
          <w:lang w:eastAsia="fr-FR"/>
        </w:rPr>
        <w:t xml:space="preserve">is the average number of earnings forecasts made per quarter by an analyst on all the stocks that she actively covers. </w:t>
      </w:r>
      <w:r w:rsidRPr="00F24E35">
        <w:rPr>
          <w:rFonts w:ascii="Century Schoolbook" w:eastAsia="Times New Roman" w:hAnsi="Century Schoolbook" w:cs="Times New Roman"/>
          <w:i/>
          <w:sz w:val="21"/>
          <w:szCs w:val="21"/>
          <w:shd w:val="clear" w:color="auto" w:fill="FFFFFF" w:themeFill="background1"/>
          <w:lang w:eastAsia="fr-FR"/>
        </w:rPr>
        <w:t>Lead</w:t>
      </w:r>
      <w:r w:rsidRPr="00F24E35">
        <w:rPr>
          <w:rFonts w:ascii="Century Schoolbook" w:eastAsia="Times New Roman" w:hAnsi="Century Schoolbook" w:cs="Times New Roman"/>
          <w:color w:val="000000"/>
          <w:sz w:val="21"/>
          <w:szCs w:val="21"/>
        </w:rPr>
        <w:t>−</w:t>
      </w:r>
      <w:r w:rsidRPr="00F24E35">
        <w:rPr>
          <w:rFonts w:ascii="Century Schoolbook" w:eastAsia="Times New Roman" w:hAnsi="Century Schoolbook" w:cs="Times New Roman"/>
          <w:i/>
          <w:color w:val="000000"/>
          <w:sz w:val="21"/>
          <w:szCs w:val="21"/>
        </w:rPr>
        <w:t xml:space="preserve">follower </w:t>
      </w:r>
      <w:r w:rsidRPr="00F24E35">
        <w:rPr>
          <w:rFonts w:ascii="Century Schoolbook" w:eastAsia="Times New Roman" w:hAnsi="Century Schoolbook" w:cs="Times New Roman"/>
          <w:i/>
          <w:sz w:val="21"/>
          <w:szCs w:val="21"/>
          <w:shd w:val="clear" w:color="auto" w:fill="FFFFFF" w:themeFill="background1"/>
          <w:lang w:eastAsia="fr-FR"/>
        </w:rPr>
        <w:t>ratio (LFR)</w:t>
      </w:r>
      <w:r w:rsidRPr="00F24E35">
        <w:rPr>
          <w:rFonts w:ascii="Century Schoolbook" w:eastAsia="Times New Roman" w:hAnsi="Century Schoolbook" w:cs="Times New Roman"/>
          <w:sz w:val="21"/>
          <w:szCs w:val="21"/>
          <w:shd w:val="clear" w:color="auto" w:fill="FFFFFF" w:themeFill="background1"/>
          <w:lang w:eastAsia="fr-FR"/>
        </w:rPr>
        <w:t xml:space="preserve"> </w:t>
      </w:r>
      <w:r w:rsidRPr="00F24E35">
        <w:rPr>
          <w:rFonts w:ascii="Century Schoolbook" w:eastAsia="Times New Roman" w:hAnsi="Century Schoolbook" w:cs="Times New Roman"/>
          <w:color w:val="000000"/>
          <w:sz w:val="21"/>
          <w:szCs w:val="21"/>
          <w:lang w:eastAsia="en-CA"/>
        </w:rPr>
        <w:t xml:space="preserve">measures the timeliness of an analyst recommendation revision relative to others analysts (Cooper, Day, and Lewis, 2001). A higher LFR ratio implies that an analyst issues more timely recommendations. </w:t>
      </w:r>
      <w:proofErr w:type="spellStart"/>
      <w:r w:rsidRPr="00F24E35">
        <w:rPr>
          <w:rFonts w:ascii="Century Schoolbook" w:eastAsia="Times New Roman" w:hAnsi="Century Schoolbook"/>
          <w:i/>
          <w:sz w:val="21"/>
          <w:szCs w:val="21"/>
          <w:lang w:eastAsia="fr-FR"/>
        </w:rPr>
        <w:t>Herfindahl</w:t>
      </w:r>
      <w:proofErr w:type="spellEnd"/>
      <w:r w:rsidRPr="00F24E35">
        <w:rPr>
          <w:rFonts w:ascii="Century Schoolbook" w:eastAsia="Times New Roman" w:hAnsi="Century Schoolbook"/>
          <w:i/>
          <w:sz w:val="21"/>
          <w:szCs w:val="21"/>
          <w:lang w:eastAsia="fr-FR"/>
        </w:rPr>
        <w:t>-Hirschman index (HHI)</w:t>
      </w:r>
      <w:r w:rsidRPr="00F24E35">
        <w:rPr>
          <w:rFonts w:ascii="Century Schoolbook" w:eastAsia="Times New Roman" w:hAnsi="Century Schoolbook"/>
          <w:sz w:val="21"/>
          <w:szCs w:val="21"/>
          <w:lang w:eastAsia="fr-FR"/>
        </w:rPr>
        <w:t xml:space="preserve"> measures the industry concentration of an analyst’s portfolio. </w:t>
      </w:r>
      <w:r w:rsidRPr="00F24E35">
        <w:rPr>
          <w:rFonts w:ascii="Century Schoolbook" w:eastAsia="Times New Roman" w:hAnsi="Century Schoolbook" w:cs="Times New Roman"/>
          <w:i/>
          <w:color w:val="000000"/>
          <w:sz w:val="21"/>
          <w:szCs w:val="21"/>
          <w:lang w:eastAsia="en-CA"/>
        </w:rPr>
        <w:t xml:space="preserve">Months a recommendation is in place </w:t>
      </w:r>
      <w:r w:rsidRPr="00F24E35">
        <w:rPr>
          <w:rFonts w:ascii="Century Schoolbook" w:eastAsia="Times New Roman" w:hAnsi="Century Schoolbook" w:cs="Times New Roman"/>
          <w:sz w:val="21"/>
          <w:szCs w:val="21"/>
          <w:shd w:val="clear" w:color="auto" w:fill="FFFFFF" w:themeFill="background1"/>
          <w:lang w:eastAsia="fr-FR"/>
        </w:rPr>
        <w:t xml:space="preserve">is the number of </w:t>
      </w:r>
      <w:r w:rsidRPr="00F24E35">
        <w:rPr>
          <w:rFonts w:ascii="Century Schoolbook" w:eastAsia="Times New Roman" w:hAnsi="Century Schoolbook" w:cs="Times New Roman"/>
          <w:sz w:val="21"/>
          <w:szCs w:val="21"/>
          <w:lang w:eastAsia="fr-FR"/>
        </w:rPr>
        <w:t xml:space="preserve">months between recommendation revisions issued during the current year and when they were last revised. </w:t>
      </w:r>
    </w:p>
    <w:p w14:paraId="19C3EB0C" w14:textId="77777777" w:rsidR="00F770FF" w:rsidRPr="00082CBA" w:rsidRDefault="00F770FF" w:rsidP="00F770FF">
      <w:pPr>
        <w:rPr>
          <w:rFonts w:ascii="Century Schoolbook" w:eastAsia="Times New Roman" w:hAnsi="Century Schoolbook" w:cs="Times New Roman"/>
          <w:sz w:val="20"/>
          <w:szCs w:val="20"/>
          <w:lang w:eastAsia="fr-FR"/>
        </w:rPr>
      </w:pPr>
    </w:p>
    <w:tbl>
      <w:tblPr>
        <w:tblW w:w="5057" w:type="pct"/>
        <w:tblLook w:val="04A0" w:firstRow="1" w:lastRow="0" w:firstColumn="1" w:lastColumn="0" w:noHBand="0" w:noVBand="1"/>
      </w:tblPr>
      <w:tblGrid>
        <w:gridCol w:w="3599"/>
        <w:gridCol w:w="727"/>
        <w:gridCol w:w="881"/>
        <w:gridCol w:w="984"/>
        <w:gridCol w:w="728"/>
        <w:gridCol w:w="938"/>
        <w:gridCol w:w="938"/>
        <w:gridCol w:w="730"/>
      </w:tblGrid>
      <w:tr w:rsidR="00F770FF" w:rsidRPr="000C482C" w14:paraId="7D9D4127" w14:textId="77777777" w:rsidTr="009704E4">
        <w:trPr>
          <w:trHeight w:val="435"/>
        </w:trPr>
        <w:tc>
          <w:tcPr>
            <w:tcW w:w="1890" w:type="pct"/>
            <w:tcBorders>
              <w:top w:val="single" w:sz="4" w:space="0" w:color="auto"/>
              <w:left w:val="nil"/>
              <w:bottom w:val="single" w:sz="4" w:space="0" w:color="auto"/>
              <w:right w:val="nil"/>
            </w:tcBorders>
            <w:shd w:val="clear" w:color="000000" w:fill="FFFFFF"/>
            <w:noWrap/>
            <w:vAlign w:val="center"/>
            <w:hideMark/>
          </w:tcPr>
          <w:p w14:paraId="0C1CFC83"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0C482C">
              <w:rPr>
                <w:rFonts w:ascii="Century Schoolbook" w:eastAsia="Times New Roman" w:hAnsi="Century Schoolbook" w:cs="Times New Roman"/>
                <w:sz w:val="19"/>
                <w:szCs w:val="19"/>
                <w:u w:val="single"/>
                <w:lang w:eastAsia="fr-FR"/>
              </w:rPr>
              <w:br w:type="page"/>
            </w:r>
            <w:r w:rsidRPr="000C482C">
              <w:rPr>
                <w:rFonts w:ascii="Century Schoolbook" w:eastAsia="Times New Roman" w:hAnsi="Century Schoolbook" w:cs="Times New Roman"/>
                <w:sz w:val="19"/>
                <w:szCs w:val="19"/>
                <w:u w:val="single"/>
                <w:lang w:eastAsia="fr-FR"/>
              </w:rPr>
              <w:br w:type="page"/>
            </w:r>
            <w:r w:rsidRPr="002616D5">
              <w:rPr>
                <w:rFonts w:ascii="Century Schoolbook" w:eastAsia="Times New Roman" w:hAnsi="Century Schoolbook" w:cs="Times New Roman"/>
                <w:color w:val="000000"/>
                <w:sz w:val="19"/>
                <w:szCs w:val="19"/>
              </w:rPr>
              <w:t>Variable</w:t>
            </w:r>
          </w:p>
        </w:tc>
        <w:tc>
          <w:tcPr>
            <w:tcW w:w="382" w:type="pct"/>
            <w:tcBorders>
              <w:top w:val="single" w:sz="4" w:space="0" w:color="auto"/>
              <w:left w:val="nil"/>
              <w:bottom w:val="single" w:sz="4" w:space="0" w:color="auto"/>
              <w:right w:val="nil"/>
            </w:tcBorders>
            <w:shd w:val="clear" w:color="000000" w:fill="FFFFFF"/>
            <w:noWrap/>
            <w:vAlign w:val="center"/>
            <w:hideMark/>
          </w:tcPr>
          <w:p w14:paraId="4F0FD633"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Mean</w:t>
            </w:r>
          </w:p>
        </w:tc>
        <w:tc>
          <w:tcPr>
            <w:tcW w:w="462" w:type="pct"/>
            <w:tcBorders>
              <w:top w:val="single" w:sz="4" w:space="0" w:color="auto"/>
              <w:left w:val="nil"/>
              <w:bottom w:val="single" w:sz="4" w:space="0" w:color="auto"/>
              <w:right w:val="nil"/>
            </w:tcBorders>
            <w:shd w:val="clear" w:color="000000" w:fill="FFFFFF"/>
            <w:noWrap/>
            <w:vAlign w:val="center"/>
            <w:hideMark/>
          </w:tcPr>
          <w:p w14:paraId="2D994D9A"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Median</w:t>
            </w:r>
          </w:p>
        </w:tc>
        <w:tc>
          <w:tcPr>
            <w:tcW w:w="516" w:type="pct"/>
            <w:tcBorders>
              <w:top w:val="single" w:sz="4" w:space="0" w:color="auto"/>
              <w:left w:val="nil"/>
              <w:bottom w:val="single" w:sz="4" w:space="0" w:color="auto"/>
              <w:right w:val="nil"/>
            </w:tcBorders>
            <w:shd w:val="clear" w:color="000000" w:fill="FFFFFF"/>
            <w:noWrap/>
            <w:vAlign w:val="center"/>
            <w:hideMark/>
          </w:tcPr>
          <w:p w14:paraId="6D42D613"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Std. dev.</w:t>
            </w:r>
          </w:p>
        </w:tc>
        <w:tc>
          <w:tcPr>
            <w:tcW w:w="382" w:type="pct"/>
            <w:tcBorders>
              <w:top w:val="single" w:sz="4" w:space="0" w:color="auto"/>
              <w:left w:val="nil"/>
              <w:bottom w:val="single" w:sz="4" w:space="0" w:color="auto"/>
              <w:right w:val="nil"/>
            </w:tcBorders>
            <w:shd w:val="clear" w:color="000000" w:fill="FFFFFF"/>
            <w:noWrap/>
            <w:vAlign w:val="center"/>
            <w:hideMark/>
          </w:tcPr>
          <w:p w14:paraId="381B7B88"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Min.</w:t>
            </w:r>
          </w:p>
        </w:tc>
        <w:tc>
          <w:tcPr>
            <w:tcW w:w="492" w:type="pct"/>
            <w:tcBorders>
              <w:top w:val="single" w:sz="4" w:space="0" w:color="auto"/>
              <w:left w:val="nil"/>
              <w:bottom w:val="single" w:sz="4" w:space="0" w:color="auto"/>
              <w:right w:val="nil"/>
            </w:tcBorders>
            <w:shd w:val="clear" w:color="000000" w:fill="FFFFFF"/>
            <w:noWrap/>
            <w:vAlign w:val="center"/>
            <w:hideMark/>
          </w:tcPr>
          <w:p w14:paraId="115EE827"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 xml:space="preserve">25th </w:t>
            </w:r>
            <w:proofErr w:type="spellStart"/>
            <w:r w:rsidRPr="002616D5">
              <w:rPr>
                <w:rFonts w:ascii="Century Schoolbook" w:eastAsia="Times New Roman" w:hAnsi="Century Schoolbook" w:cs="Times New Roman"/>
                <w:color w:val="000000"/>
                <w:sz w:val="19"/>
                <w:szCs w:val="19"/>
              </w:rPr>
              <w:t>pct</w:t>
            </w:r>
            <w:proofErr w:type="spellEnd"/>
          </w:p>
        </w:tc>
        <w:tc>
          <w:tcPr>
            <w:tcW w:w="492" w:type="pct"/>
            <w:tcBorders>
              <w:top w:val="single" w:sz="4" w:space="0" w:color="auto"/>
              <w:left w:val="nil"/>
              <w:bottom w:val="single" w:sz="4" w:space="0" w:color="auto"/>
              <w:right w:val="nil"/>
            </w:tcBorders>
            <w:shd w:val="clear" w:color="000000" w:fill="FFFFFF"/>
            <w:noWrap/>
            <w:vAlign w:val="center"/>
            <w:hideMark/>
          </w:tcPr>
          <w:p w14:paraId="00FCC82F"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 xml:space="preserve">75th </w:t>
            </w:r>
            <w:proofErr w:type="spellStart"/>
            <w:r w:rsidRPr="002616D5">
              <w:rPr>
                <w:rFonts w:ascii="Century Schoolbook" w:eastAsia="Times New Roman" w:hAnsi="Century Schoolbook" w:cs="Times New Roman"/>
                <w:color w:val="000000"/>
                <w:sz w:val="19"/>
                <w:szCs w:val="19"/>
              </w:rPr>
              <w:t>pct</w:t>
            </w:r>
            <w:proofErr w:type="spellEnd"/>
          </w:p>
        </w:tc>
        <w:tc>
          <w:tcPr>
            <w:tcW w:w="383" w:type="pct"/>
            <w:tcBorders>
              <w:top w:val="single" w:sz="4" w:space="0" w:color="auto"/>
              <w:left w:val="nil"/>
              <w:bottom w:val="single" w:sz="4" w:space="0" w:color="auto"/>
              <w:right w:val="nil"/>
            </w:tcBorders>
            <w:shd w:val="clear" w:color="000000" w:fill="FFFFFF"/>
            <w:noWrap/>
            <w:vAlign w:val="center"/>
            <w:hideMark/>
          </w:tcPr>
          <w:p w14:paraId="7C98666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Max.</w:t>
            </w:r>
          </w:p>
        </w:tc>
      </w:tr>
      <w:tr w:rsidR="00F770FF" w:rsidRPr="000C482C" w14:paraId="7A5EC997" w14:textId="77777777" w:rsidTr="009704E4">
        <w:trPr>
          <w:trHeight w:val="276"/>
        </w:trPr>
        <w:tc>
          <w:tcPr>
            <w:tcW w:w="1890" w:type="pct"/>
            <w:tcBorders>
              <w:top w:val="nil"/>
              <w:left w:val="nil"/>
              <w:bottom w:val="nil"/>
              <w:right w:val="nil"/>
            </w:tcBorders>
            <w:shd w:val="clear" w:color="000000" w:fill="FFFFFF"/>
            <w:noWrap/>
            <w:vAlign w:val="center"/>
            <w:hideMark/>
          </w:tcPr>
          <w:p w14:paraId="14D96257"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General experience</w:t>
            </w:r>
          </w:p>
        </w:tc>
        <w:tc>
          <w:tcPr>
            <w:tcW w:w="382" w:type="pct"/>
            <w:tcBorders>
              <w:top w:val="nil"/>
              <w:left w:val="nil"/>
              <w:bottom w:val="nil"/>
              <w:right w:val="nil"/>
            </w:tcBorders>
            <w:shd w:val="clear" w:color="000000" w:fill="FFFFFF"/>
            <w:noWrap/>
            <w:vAlign w:val="bottom"/>
            <w:hideMark/>
          </w:tcPr>
          <w:p w14:paraId="729E701B"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6.78</w:t>
            </w:r>
          </w:p>
        </w:tc>
        <w:tc>
          <w:tcPr>
            <w:tcW w:w="462" w:type="pct"/>
            <w:tcBorders>
              <w:top w:val="nil"/>
              <w:left w:val="nil"/>
              <w:bottom w:val="nil"/>
              <w:right w:val="nil"/>
            </w:tcBorders>
            <w:shd w:val="clear" w:color="000000" w:fill="FFFFFF"/>
            <w:noWrap/>
            <w:vAlign w:val="bottom"/>
            <w:hideMark/>
          </w:tcPr>
          <w:p w14:paraId="433FA71B"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6.00</w:t>
            </w:r>
          </w:p>
        </w:tc>
        <w:tc>
          <w:tcPr>
            <w:tcW w:w="516" w:type="pct"/>
            <w:tcBorders>
              <w:top w:val="nil"/>
              <w:left w:val="nil"/>
              <w:bottom w:val="nil"/>
              <w:right w:val="nil"/>
            </w:tcBorders>
            <w:shd w:val="clear" w:color="000000" w:fill="FFFFFF"/>
            <w:noWrap/>
            <w:vAlign w:val="bottom"/>
            <w:hideMark/>
          </w:tcPr>
          <w:p w14:paraId="7BFA94D7"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3.99</w:t>
            </w:r>
          </w:p>
        </w:tc>
        <w:tc>
          <w:tcPr>
            <w:tcW w:w="382" w:type="pct"/>
            <w:tcBorders>
              <w:top w:val="nil"/>
              <w:left w:val="nil"/>
              <w:bottom w:val="nil"/>
              <w:right w:val="nil"/>
            </w:tcBorders>
            <w:shd w:val="clear" w:color="000000" w:fill="FFFFFF"/>
            <w:noWrap/>
            <w:vAlign w:val="bottom"/>
            <w:hideMark/>
          </w:tcPr>
          <w:p w14:paraId="572CFABC"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92" w:type="pct"/>
            <w:tcBorders>
              <w:top w:val="nil"/>
              <w:left w:val="nil"/>
              <w:bottom w:val="nil"/>
              <w:right w:val="nil"/>
            </w:tcBorders>
            <w:shd w:val="clear" w:color="000000" w:fill="FFFFFF"/>
            <w:noWrap/>
            <w:vAlign w:val="bottom"/>
            <w:hideMark/>
          </w:tcPr>
          <w:p w14:paraId="739BD73C"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4.00</w:t>
            </w:r>
          </w:p>
        </w:tc>
        <w:tc>
          <w:tcPr>
            <w:tcW w:w="492" w:type="pct"/>
            <w:tcBorders>
              <w:top w:val="nil"/>
              <w:left w:val="nil"/>
              <w:bottom w:val="nil"/>
              <w:right w:val="nil"/>
            </w:tcBorders>
            <w:shd w:val="clear" w:color="000000" w:fill="FFFFFF"/>
            <w:noWrap/>
            <w:vAlign w:val="bottom"/>
            <w:hideMark/>
          </w:tcPr>
          <w:p w14:paraId="3C9D09F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9.00</w:t>
            </w:r>
          </w:p>
        </w:tc>
        <w:tc>
          <w:tcPr>
            <w:tcW w:w="383" w:type="pct"/>
            <w:tcBorders>
              <w:top w:val="nil"/>
              <w:left w:val="nil"/>
              <w:bottom w:val="nil"/>
              <w:right w:val="nil"/>
            </w:tcBorders>
            <w:shd w:val="clear" w:color="000000" w:fill="FFFFFF"/>
            <w:noWrap/>
            <w:vAlign w:val="bottom"/>
            <w:hideMark/>
          </w:tcPr>
          <w:p w14:paraId="6F9320D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19.00</w:t>
            </w:r>
          </w:p>
        </w:tc>
      </w:tr>
      <w:tr w:rsidR="00F770FF" w:rsidRPr="000C482C" w14:paraId="5BB3821C" w14:textId="77777777" w:rsidTr="009704E4">
        <w:trPr>
          <w:trHeight w:val="276"/>
        </w:trPr>
        <w:tc>
          <w:tcPr>
            <w:tcW w:w="1890" w:type="pct"/>
            <w:tcBorders>
              <w:top w:val="nil"/>
              <w:left w:val="nil"/>
              <w:bottom w:val="nil"/>
              <w:right w:val="nil"/>
            </w:tcBorders>
            <w:shd w:val="clear" w:color="000000" w:fill="FFFFFF"/>
            <w:noWrap/>
            <w:vAlign w:val="center"/>
            <w:hideMark/>
          </w:tcPr>
          <w:p w14:paraId="216893C7"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Breadth</w:t>
            </w:r>
          </w:p>
        </w:tc>
        <w:tc>
          <w:tcPr>
            <w:tcW w:w="382" w:type="pct"/>
            <w:tcBorders>
              <w:top w:val="nil"/>
              <w:left w:val="nil"/>
              <w:bottom w:val="nil"/>
              <w:right w:val="nil"/>
            </w:tcBorders>
            <w:shd w:val="clear" w:color="000000" w:fill="FFFFFF"/>
            <w:noWrap/>
            <w:vAlign w:val="bottom"/>
            <w:hideMark/>
          </w:tcPr>
          <w:p w14:paraId="43F9FEC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6.93</w:t>
            </w:r>
          </w:p>
        </w:tc>
        <w:tc>
          <w:tcPr>
            <w:tcW w:w="462" w:type="pct"/>
            <w:tcBorders>
              <w:top w:val="nil"/>
              <w:left w:val="nil"/>
              <w:bottom w:val="nil"/>
              <w:right w:val="nil"/>
            </w:tcBorders>
            <w:shd w:val="clear" w:color="000000" w:fill="FFFFFF"/>
            <w:noWrap/>
            <w:vAlign w:val="bottom"/>
            <w:hideMark/>
          </w:tcPr>
          <w:p w14:paraId="68AEF433"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6.00</w:t>
            </w:r>
          </w:p>
        </w:tc>
        <w:tc>
          <w:tcPr>
            <w:tcW w:w="516" w:type="pct"/>
            <w:tcBorders>
              <w:top w:val="nil"/>
              <w:left w:val="nil"/>
              <w:bottom w:val="nil"/>
              <w:right w:val="nil"/>
            </w:tcBorders>
            <w:shd w:val="clear" w:color="000000" w:fill="FFFFFF"/>
            <w:noWrap/>
            <w:vAlign w:val="bottom"/>
            <w:hideMark/>
          </w:tcPr>
          <w:p w14:paraId="1ADB2A5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3.94</w:t>
            </w:r>
          </w:p>
        </w:tc>
        <w:tc>
          <w:tcPr>
            <w:tcW w:w="382" w:type="pct"/>
            <w:tcBorders>
              <w:top w:val="nil"/>
              <w:left w:val="nil"/>
              <w:bottom w:val="nil"/>
              <w:right w:val="nil"/>
            </w:tcBorders>
            <w:shd w:val="clear" w:color="000000" w:fill="FFFFFF"/>
            <w:noWrap/>
            <w:vAlign w:val="bottom"/>
            <w:hideMark/>
          </w:tcPr>
          <w:p w14:paraId="64F2F41C"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3.00</w:t>
            </w:r>
          </w:p>
        </w:tc>
        <w:tc>
          <w:tcPr>
            <w:tcW w:w="492" w:type="pct"/>
            <w:tcBorders>
              <w:top w:val="nil"/>
              <w:left w:val="nil"/>
              <w:bottom w:val="nil"/>
              <w:right w:val="nil"/>
            </w:tcBorders>
            <w:shd w:val="clear" w:color="000000" w:fill="FFFFFF"/>
            <w:noWrap/>
            <w:vAlign w:val="bottom"/>
            <w:hideMark/>
          </w:tcPr>
          <w:p w14:paraId="578BC71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4.00</w:t>
            </w:r>
          </w:p>
        </w:tc>
        <w:tc>
          <w:tcPr>
            <w:tcW w:w="492" w:type="pct"/>
            <w:tcBorders>
              <w:top w:val="nil"/>
              <w:left w:val="nil"/>
              <w:bottom w:val="nil"/>
              <w:right w:val="nil"/>
            </w:tcBorders>
            <w:shd w:val="clear" w:color="000000" w:fill="FFFFFF"/>
            <w:noWrap/>
            <w:vAlign w:val="bottom"/>
            <w:hideMark/>
          </w:tcPr>
          <w:p w14:paraId="28618CEE"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9.00</w:t>
            </w:r>
          </w:p>
        </w:tc>
        <w:tc>
          <w:tcPr>
            <w:tcW w:w="383" w:type="pct"/>
            <w:tcBorders>
              <w:top w:val="nil"/>
              <w:left w:val="nil"/>
              <w:bottom w:val="nil"/>
              <w:right w:val="nil"/>
            </w:tcBorders>
            <w:shd w:val="clear" w:color="000000" w:fill="FFFFFF"/>
            <w:noWrap/>
            <w:vAlign w:val="bottom"/>
            <w:hideMark/>
          </w:tcPr>
          <w:p w14:paraId="41685C8E"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40.00</w:t>
            </w:r>
          </w:p>
        </w:tc>
      </w:tr>
      <w:tr w:rsidR="00F770FF" w:rsidRPr="000C482C" w14:paraId="1CF2C205" w14:textId="77777777" w:rsidTr="009704E4">
        <w:trPr>
          <w:trHeight w:val="276"/>
        </w:trPr>
        <w:tc>
          <w:tcPr>
            <w:tcW w:w="1890" w:type="pct"/>
            <w:tcBorders>
              <w:top w:val="nil"/>
              <w:left w:val="nil"/>
              <w:bottom w:val="nil"/>
              <w:right w:val="nil"/>
            </w:tcBorders>
            <w:shd w:val="clear" w:color="000000" w:fill="FFFFFF"/>
            <w:noWrap/>
            <w:vAlign w:val="center"/>
            <w:hideMark/>
          </w:tcPr>
          <w:p w14:paraId="109353CD"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 xml:space="preserve">All-Star </w:t>
            </w:r>
          </w:p>
        </w:tc>
        <w:tc>
          <w:tcPr>
            <w:tcW w:w="382" w:type="pct"/>
            <w:tcBorders>
              <w:top w:val="nil"/>
              <w:left w:val="nil"/>
              <w:bottom w:val="nil"/>
              <w:right w:val="nil"/>
            </w:tcBorders>
            <w:shd w:val="clear" w:color="000000" w:fill="FFFFFF"/>
            <w:noWrap/>
            <w:vAlign w:val="bottom"/>
            <w:hideMark/>
          </w:tcPr>
          <w:p w14:paraId="7F029AF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0.16</w:t>
            </w:r>
          </w:p>
        </w:tc>
        <w:tc>
          <w:tcPr>
            <w:tcW w:w="462" w:type="pct"/>
            <w:tcBorders>
              <w:top w:val="nil"/>
              <w:left w:val="nil"/>
              <w:bottom w:val="nil"/>
              <w:right w:val="nil"/>
            </w:tcBorders>
            <w:shd w:val="clear" w:color="000000" w:fill="FFFFFF"/>
            <w:noWrap/>
            <w:vAlign w:val="bottom"/>
            <w:hideMark/>
          </w:tcPr>
          <w:p w14:paraId="21FFD81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516" w:type="pct"/>
            <w:tcBorders>
              <w:top w:val="nil"/>
              <w:left w:val="nil"/>
              <w:bottom w:val="nil"/>
              <w:right w:val="nil"/>
            </w:tcBorders>
            <w:shd w:val="clear" w:color="000000" w:fill="FFFFFF"/>
            <w:noWrap/>
            <w:vAlign w:val="bottom"/>
            <w:hideMark/>
          </w:tcPr>
          <w:p w14:paraId="6F12970A"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0.36</w:t>
            </w:r>
          </w:p>
        </w:tc>
        <w:tc>
          <w:tcPr>
            <w:tcW w:w="382" w:type="pct"/>
            <w:tcBorders>
              <w:top w:val="nil"/>
              <w:left w:val="nil"/>
              <w:bottom w:val="nil"/>
              <w:right w:val="nil"/>
            </w:tcBorders>
            <w:shd w:val="clear" w:color="000000" w:fill="FFFFFF"/>
            <w:noWrap/>
            <w:vAlign w:val="bottom"/>
            <w:hideMark/>
          </w:tcPr>
          <w:p w14:paraId="373957EA"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92" w:type="pct"/>
            <w:tcBorders>
              <w:top w:val="nil"/>
              <w:left w:val="nil"/>
              <w:bottom w:val="nil"/>
              <w:right w:val="nil"/>
            </w:tcBorders>
            <w:shd w:val="clear" w:color="000000" w:fill="FFFFFF"/>
            <w:noWrap/>
            <w:vAlign w:val="bottom"/>
            <w:hideMark/>
          </w:tcPr>
          <w:p w14:paraId="2DEE7A7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92" w:type="pct"/>
            <w:tcBorders>
              <w:top w:val="nil"/>
              <w:left w:val="nil"/>
              <w:bottom w:val="nil"/>
              <w:right w:val="nil"/>
            </w:tcBorders>
            <w:shd w:val="clear" w:color="000000" w:fill="FFFFFF"/>
            <w:noWrap/>
            <w:vAlign w:val="bottom"/>
            <w:hideMark/>
          </w:tcPr>
          <w:p w14:paraId="30DCBB2A"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383" w:type="pct"/>
            <w:tcBorders>
              <w:top w:val="nil"/>
              <w:left w:val="nil"/>
              <w:bottom w:val="nil"/>
              <w:right w:val="nil"/>
            </w:tcBorders>
            <w:shd w:val="clear" w:color="000000" w:fill="FFFFFF"/>
            <w:noWrap/>
            <w:vAlign w:val="bottom"/>
            <w:hideMark/>
          </w:tcPr>
          <w:p w14:paraId="1F04F9E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r>
      <w:tr w:rsidR="00F770FF" w:rsidRPr="000C482C" w14:paraId="1D7093F1" w14:textId="77777777" w:rsidTr="009704E4">
        <w:trPr>
          <w:trHeight w:val="276"/>
        </w:trPr>
        <w:tc>
          <w:tcPr>
            <w:tcW w:w="1890" w:type="pct"/>
            <w:tcBorders>
              <w:top w:val="nil"/>
              <w:left w:val="nil"/>
              <w:bottom w:val="nil"/>
              <w:right w:val="nil"/>
            </w:tcBorders>
            <w:shd w:val="clear" w:color="000000" w:fill="FFFFFF"/>
            <w:noWrap/>
            <w:vAlign w:val="center"/>
            <w:hideMark/>
          </w:tcPr>
          <w:p w14:paraId="280A03C6"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Male</w:t>
            </w:r>
          </w:p>
        </w:tc>
        <w:tc>
          <w:tcPr>
            <w:tcW w:w="382" w:type="pct"/>
            <w:tcBorders>
              <w:top w:val="nil"/>
              <w:left w:val="nil"/>
              <w:bottom w:val="nil"/>
              <w:right w:val="nil"/>
            </w:tcBorders>
            <w:shd w:val="clear" w:color="000000" w:fill="FFFFFF"/>
            <w:noWrap/>
            <w:vAlign w:val="bottom"/>
            <w:hideMark/>
          </w:tcPr>
          <w:p w14:paraId="233F811F"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0.89</w:t>
            </w:r>
          </w:p>
        </w:tc>
        <w:tc>
          <w:tcPr>
            <w:tcW w:w="462" w:type="pct"/>
            <w:tcBorders>
              <w:top w:val="nil"/>
              <w:left w:val="nil"/>
              <w:bottom w:val="nil"/>
              <w:right w:val="nil"/>
            </w:tcBorders>
            <w:shd w:val="clear" w:color="000000" w:fill="FFFFFF"/>
            <w:noWrap/>
            <w:vAlign w:val="bottom"/>
            <w:hideMark/>
          </w:tcPr>
          <w:p w14:paraId="564952F5"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c>
          <w:tcPr>
            <w:tcW w:w="516" w:type="pct"/>
            <w:tcBorders>
              <w:top w:val="nil"/>
              <w:left w:val="nil"/>
              <w:bottom w:val="nil"/>
              <w:right w:val="nil"/>
            </w:tcBorders>
            <w:shd w:val="clear" w:color="000000" w:fill="FFFFFF"/>
            <w:noWrap/>
            <w:vAlign w:val="bottom"/>
            <w:hideMark/>
          </w:tcPr>
          <w:p w14:paraId="560072E5"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0.31</w:t>
            </w:r>
          </w:p>
        </w:tc>
        <w:tc>
          <w:tcPr>
            <w:tcW w:w="382" w:type="pct"/>
            <w:tcBorders>
              <w:top w:val="nil"/>
              <w:left w:val="nil"/>
              <w:bottom w:val="nil"/>
              <w:right w:val="nil"/>
            </w:tcBorders>
            <w:shd w:val="clear" w:color="000000" w:fill="FFFFFF"/>
            <w:noWrap/>
            <w:vAlign w:val="bottom"/>
            <w:hideMark/>
          </w:tcPr>
          <w:p w14:paraId="6A4498A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92" w:type="pct"/>
            <w:tcBorders>
              <w:top w:val="nil"/>
              <w:left w:val="nil"/>
              <w:bottom w:val="nil"/>
              <w:right w:val="nil"/>
            </w:tcBorders>
            <w:shd w:val="clear" w:color="000000" w:fill="FFFFFF"/>
            <w:noWrap/>
            <w:vAlign w:val="bottom"/>
            <w:hideMark/>
          </w:tcPr>
          <w:p w14:paraId="64A01F5E"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c>
          <w:tcPr>
            <w:tcW w:w="492" w:type="pct"/>
            <w:tcBorders>
              <w:top w:val="nil"/>
              <w:left w:val="nil"/>
              <w:bottom w:val="nil"/>
              <w:right w:val="nil"/>
            </w:tcBorders>
            <w:shd w:val="clear" w:color="000000" w:fill="FFFFFF"/>
            <w:noWrap/>
            <w:vAlign w:val="bottom"/>
            <w:hideMark/>
          </w:tcPr>
          <w:p w14:paraId="6DE052E8"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c>
          <w:tcPr>
            <w:tcW w:w="383" w:type="pct"/>
            <w:tcBorders>
              <w:top w:val="nil"/>
              <w:left w:val="nil"/>
              <w:bottom w:val="nil"/>
              <w:right w:val="nil"/>
            </w:tcBorders>
            <w:shd w:val="clear" w:color="000000" w:fill="FFFFFF"/>
            <w:noWrap/>
            <w:vAlign w:val="bottom"/>
            <w:hideMark/>
          </w:tcPr>
          <w:p w14:paraId="51D96E7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r>
      <w:tr w:rsidR="00F770FF" w:rsidRPr="000C482C" w14:paraId="104DF073" w14:textId="77777777" w:rsidTr="009704E4">
        <w:trPr>
          <w:trHeight w:val="276"/>
        </w:trPr>
        <w:tc>
          <w:tcPr>
            <w:tcW w:w="1890" w:type="pct"/>
            <w:tcBorders>
              <w:top w:val="nil"/>
              <w:left w:val="nil"/>
              <w:bottom w:val="nil"/>
              <w:right w:val="nil"/>
            </w:tcBorders>
            <w:shd w:val="clear" w:color="000000" w:fill="FFFFFF"/>
            <w:noWrap/>
            <w:vAlign w:val="center"/>
            <w:hideMark/>
          </w:tcPr>
          <w:p w14:paraId="02E858ED"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Top broker</w:t>
            </w:r>
          </w:p>
        </w:tc>
        <w:tc>
          <w:tcPr>
            <w:tcW w:w="382" w:type="pct"/>
            <w:tcBorders>
              <w:top w:val="nil"/>
              <w:left w:val="nil"/>
              <w:bottom w:val="nil"/>
              <w:right w:val="nil"/>
            </w:tcBorders>
            <w:shd w:val="clear" w:color="000000" w:fill="FFFFFF"/>
            <w:noWrap/>
            <w:vAlign w:val="bottom"/>
            <w:hideMark/>
          </w:tcPr>
          <w:p w14:paraId="26A81D71"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0.40</w:t>
            </w:r>
          </w:p>
        </w:tc>
        <w:tc>
          <w:tcPr>
            <w:tcW w:w="462" w:type="pct"/>
            <w:tcBorders>
              <w:top w:val="nil"/>
              <w:left w:val="nil"/>
              <w:bottom w:val="nil"/>
              <w:right w:val="nil"/>
            </w:tcBorders>
            <w:shd w:val="clear" w:color="000000" w:fill="FFFFFF"/>
            <w:noWrap/>
            <w:vAlign w:val="bottom"/>
            <w:hideMark/>
          </w:tcPr>
          <w:p w14:paraId="1A7E4B6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516" w:type="pct"/>
            <w:tcBorders>
              <w:top w:val="nil"/>
              <w:left w:val="nil"/>
              <w:bottom w:val="nil"/>
              <w:right w:val="nil"/>
            </w:tcBorders>
            <w:shd w:val="clear" w:color="000000" w:fill="FFFFFF"/>
            <w:noWrap/>
            <w:vAlign w:val="bottom"/>
            <w:hideMark/>
          </w:tcPr>
          <w:p w14:paraId="7A1E6BC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0.49</w:t>
            </w:r>
          </w:p>
        </w:tc>
        <w:tc>
          <w:tcPr>
            <w:tcW w:w="382" w:type="pct"/>
            <w:tcBorders>
              <w:top w:val="nil"/>
              <w:left w:val="nil"/>
              <w:bottom w:val="nil"/>
              <w:right w:val="nil"/>
            </w:tcBorders>
            <w:shd w:val="clear" w:color="000000" w:fill="FFFFFF"/>
            <w:noWrap/>
            <w:vAlign w:val="bottom"/>
            <w:hideMark/>
          </w:tcPr>
          <w:p w14:paraId="7C18A8B2"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92" w:type="pct"/>
            <w:tcBorders>
              <w:top w:val="nil"/>
              <w:left w:val="nil"/>
              <w:bottom w:val="nil"/>
              <w:right w:val="nil"/>
            </w:tcBorders>
            <w:shd w:val="clear" w:color="000000" w:fill="FFFFFF"/>
            <w:noWrap/>
            <w:vAlign w:val="bottom"/>
            <w:hideMark/>
          </w:tcPr>
          <w:p w14:paraId="590CAFEB"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92" w:type="pct"/>
            <w:tcBorders>
              <w:top w:val="nil"/>
              <w:left w:val="nil"/>
              <w:bottom w:val="nil"/>
              <w:right w:val="nil"/>
            </w:tcBorders>
            <w:shd w:val="clear" w:color="000000" w:fill="FFFFFF"/>
            <w:noWrap/>
            <w:vAlign w:val="bottom"/>
            <w:hideMark/>
          </w:tcPr>
          <w:p w14:paraId="56C5C2EE"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c>
          <w:tcPr>
            <w:tcW w:w="383" w:type="pct"/>
            <w:tcBorders>
              <w:top w:val="nil"/>
              <w:left w:val="nil"/>
              <w:bottom w:val="nil"/>
              <w:right w:val="nil"/>
            </w:tcBorders>
            <w:shd w:val="clear" w:color="000000" w:fill="FFFFFF"/>
            <w:noWrap/>
            <w:vAlign w:val="bottom"/>
            <w:hideMark/>
          </w:tcPr>
          <w:p w14:paraId="7BD40843"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r>
      <w:tr w:rsidR="00F770FF" w:rsidRPr="000C482C" w14:paraId="3C48A6D1" w14:textId="77777777" w:rsidTr="009704E4">
        <w:trPr>
          <w:trHeight w:val="276"/>
        </w:trPr>
        <w:tc>
          <w:tcPr>
            <w:tcW w:w="1890" w:type="pct"/>
            <w:tcBorders>
              <w:top w:val="nil"/>
              <w:left w:val="nil"/>
              <w:bottom w:val="nil"/>
              <w:right w:val="nil"/>
            </w:tcBorders>
            <w:shd w:val="clear" w:color="000000" w:fill="FFFFFF"/>
            <w:noWrap/>
            <w:vAlign w:val="center"/>
            <w:hideMark/>
          </w:tcPr>
          <w:p w14:paraId="190E13DE"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Recommendation boldness</w:t>
            </w:r>
          </w:p>
        </w:tc>
        <w:tc>
          <w:tcPr>
            <w:tcW w:w="382" w:type="pct"/>
            <w:tcBorders>
              <w:top w:val="nil"/>
              <w:left w:val="nil"/>
              <w:bottom w:val="nil"/>
              <w:right w:val="nil"/>
            </w:tcBorders>
            <w:shd w:val="clear" w:color="000000" w:fill="FFFFFF"/>
            <w:noWrap/>
            <w:vAlign w:val="bottom"/>
            <w:hideMark/>
          </w:tcPr>
          <w:p w14:paraId="4C1CE5F1"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0.51</w:t>
            </w:r>
          </w:p>
        </w:tc>
        <w:tc>
          <w:tcPr>
            <w:tcW w:w="462" w:type="pct"/>
            <w:tcBorders>
              <w:top w:val="nil"/>
              <w:left w:val="nil"/>
              <w:bottom w:val="nil"/>
              <w:right w:val="nil"/>
            </w:tcBorders>
            <w:shd w:val="clear" w:color="000000" w:fill="FFFFFF"/>
            <w:noWrap/>
            <w:vAlign w:val="bottom"/>
            <w:hideMark/>
          </w:tcPr>
          <w:p w14:paraId="0BAE3488"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0.50</w:t>
            </w:r>
          </w:p>
        </w:tc>
        <w:tc>
          <w:tcPr>
            <w:tcW w:w="516" w:type="pct"/>
            <w:tcBorders>
              <w:top w:val="nil"/>
              <w:left w:val="nil"/>
              <w:bottom w:val="nil"/>
              <w:right w:val="nil"/>
            </w:tcBorders>
            <w:shd w:val="clear" w:color="000000" w:fill="FFFFFF"/>
            <w:noWrap/>
            <w:vAlign w:val="bottom"/>
            <w:hideMark/>
          </w:tcPr>
          <w:p w14:paraId="3522010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0.20</w:t>
            </w:r>
          </w:p>
        </w:tc>
        <w:tc>
          <w:tcPr>
            <w:tcW w:w="382" w:type="pct"/>
            <w:tcBorders>
              <w:top w:val="nil"/>
              <w:left w:val="nil"/>
              <w:bottom w:val="nil"/>
              <w:right w:val="nil"/>
            </w:tcBorders>
            <w:shd w:val="clear" w:color="000000" w:fill="FFFFFF"/>
            <w:noWrap/>
            <w:vAlign w:val="bottom"/>
            <w:hideMark/>
          </w:tcPr>
          <w:p w14:paraId="748F19A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92" w:type="pct"/>
            <w:tcBorders>
              <w:top w:val="nil"/>
              <w:left w:val="nil"/>
              <w:bottom w:val="nil"/>
              <w:right w:val="nil"/>
            </w:tcBorders>
            <w:shd w:val="clear" w:color="000000" w:fill="FFFFFF"/>
            <w:noWrap/>
            <w:vAlign w:val="bottom"/>
            <w:hideMark/>
          </w:tcPr>
          <w:p w14:paraId="30D8E667"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0.39</w:t>
            </w:r>
          </w:p>
        </w:tc>
        <w:tc>
          <w:tcPr>
            <w:tcW w:w="492" w:type="pct"/>
            <w:tcBorders>
              <w:top w:val="nil"/>
              <w:left w:val="nil"/>
              <w:bottom w:val="nil"/>
              <w:right w:val="nil"/>
            </w:tcBorders>
            <w:shd w:val="clear" w:color="000000" w:fill="FFFFFF"/>
            <w:noWrap/>
            <w:vAlign w:val="bottom"/>
            <w:hideMark/>
          </w:tcPr>
          <w:p w14:paraId="0C0BCE45"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0.63</w:t>
            </w:r>
          </w:p>
        </w:tc>
        <w:tc>
          <w:tcPr>
            <w:tcW w:w="383" w:type="pct"/>
            <w:tcBorders>
              <w:top w:val="nil"/>
              <w:left w:val="nil"/>
              <w:bottom w:val="nil"/>
              <w:right w:val="nil"/>
            </w:tcBorders>
            <w:shd w:val="clear" w:color="000000" w:fill="FFFFFF"/>
            <w:noWrap/>
            <w:vAlign w:val="bottom"/>
            <w:hideMark/>
          </w:tcPr>
          <w:p w14:paraId="3BF4E02B"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r>
      <w:tr w:rsidR="00F770FF" w:rsidRPr="000C482C" w14:paraId="5431101D" w14:textId="77777777" w:rsidTr="009704E4">
        <w:trPr>
          <w:trHeight w:val="276"/>
        </w:trPr>
        <w:tc>
          <w:tcPr>
            <w:tcW w:w="1890" w:type="pct"/>
            <w:tcBorders>
              <w:top w:val="nil"/>
              <w:left w:val="nil"/>
              <w:bottom w:val="nil"/>
              <w:right w:val="nil"/>
            </w:tcBorders>
            <w:shd w:val="clear" w:color="000000" w:fill="FFFFFF"/>
            <w:noWrap/>
            <w:vAlign w:val="center"/>
            <w:hideMark/>
          </w:tcPr>
          <w:p w14:paraId="4A34678F"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Recommendation optimism</w:t>
            </w:r>
          </w:p>
        </w:tc>
        <w:tc>
          <w:tcPr>
            <w:tcW w:w="382" w:type="pct"/>
            <w:tcBorders>
              <w:top w:val="nil"/>
              <w:left w:val="nil"/>
              <w:bottom w:val="nil"/>
              <w:right w:val="nil"/>
            </w:tcBorders>
            <w:shd w:val="clear" w:color="000000" w:fill="FFFFFF"/>
            <w:noWrap/>
            <w:vAlign w:val="bottom"/>
            <w:hideMark/>
          </w:tcPr>
          <w:p w14:paraId="5775A54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0.42</w:t>
            </w:r>
          </w:p>
        </w:tc>
        <w:tc>
          <w:tcPr>
            <w:tcW w:w="462" w:type="pct"/>
            <w:tcBorders>
              <w:top w:val="nil"/>
              <w:left w:val="nil"/>
              <w:bottom w:val="nil"/>
              <w:right w:val="nil"/>
            </w:tcBorders>
            <w:shd w:val="clear" w:color="000000" w:fill="FFFFFF"/>
            <w:noWrap/>
            <w:vAlign w:val="bottom"/>
            <w:hideMark/>
          </w:tcPr>
          <w:p w14:paraId="57535855"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0.42</w:t>
            </w:r>
          </w:p>
        </w:tc>
        <w:tc>
          <w:tcPr>
            <w:tcW w:w="516" w:type="pct"/>
            <w:tcBorders>
              <w:top w:val="nil"/>
              <w:left w:val="nil"/>
              <w:bottom w:val="nil"/>
              <w:right w:val="nil"/>
            </w:tcBorders>
            <w:shd w:val="clear" w:color="000000" w:fill="FFFFFF"/>
            <w:noWrap/>
            <w:vAlign w:val="bottom"/>
            <w:hideMark/>
          </w:tcPr>
          <w:p w14:paraId="33709B28"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0.22</w:t>
            </w:r>
          </w:p>
        </w:tc>
        <w:tc>
          <w:tcPr>
            <w:tcW w:w="382" w:type="pct"/>
            <w:tcBorders>
              <w:top w:val="nil"/>
              <w:left w:val="nil"/>
              <w:bottom w:val="nil"/>
              <w:right w:val="nil"/>
            </w:tcBorders>
            <w:shd w:val="clear" w:color="000000" w:fill="FFFFFF"/>
            <w:noWrap/>
            <w:vAlign w:val="bottom"/>
            <w:hideMark/>
          </w:tcPr>
          <w:p w14:paraId="01FD250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92" w:type="pct"/>
            <w:tcBorders>
              <w:top w:val="nil"/>
              <w:left w:val="nil"/>
              <w:bottom w:val="nil"/>
              <w:right w:val="nil"/>
            </w:tcBorders>
            <w:shd w:val="clear" w:color="000000" w:fill="FFFFFF"/>
            <w:noWrap/>
            <w:vAlign w:val="bottom"/>
            <w:hideMark/>
          </w:tcPr>
          <w:p w14:paraId="67831D31"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0.28</w:t>
            </w:r>
          </w:p>
        </w:tc>
        <w:tc>
          <w:tcPr>
            <w:tcW w:w="492" w:type="pct"/>
            <w:tcBorders>
              <w:top w:val="nil"/>
              <w:left w:val="nil"/>
              <w:bottom w:val="nil"/>
              <w:right w:val="nil"/>
            </w:tcBorders>
            <w:shd w:val="clear" w:color="000000" w:fill="FFFFFF"/>
            <w:noWrap/>
            <w:vAlign w:val="bottom"/>
            <w:hideMark/>
          </w:tcPr>
          <w:p w14:paraId="2C03C6DB"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0.56</w:t>
            </w:r>
          </w:p>
        </w:tc>
        <w:tc>
          <w:tcPr>
            <w:tcW w:w="383" w:type="pct"/>
            <w:tcBorders>
              <w:top w:val="nil"/>
              <w:left w:val="nil"/>
              <w:bottom w:val="nil"/>
              <w:right w:val="nil"/>
            </w:tcBorders>
            <w:shd w:val="clear" w:color="000000" w:fill="FFFFFF"/>
            <w:noWrap/>
            <w:vAlign w:val="bottom"/>
            <w:hideMark/>
          </w:tcPr>
          <w:p w14:paraId="27F0992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r>
      <w:tr w:rsidR="00F770FF" w:rsidRPr="000C482C" w14:paraId="23F8BCCF" w14:textId="77777777" w:rsidTr="009704E4">
        <w:trPr>
          <w:trHeight w:val="276"/>
        </w:trPr>
        <w:tc>
          <w:tcPr>
            <w:tcW w:w="1890" w:type="pct"/>
            <w:tcBorders>
              <w:top w:val="nil"/>
              <w:left w:val="nil"/>
              <w:bottom w:val="nil"/>
              <w:right w:val="nil"/>
            </w:tcBorders>
            <w:shd w:val="clear" w:color="000000" w:fill="FFFFFF"/>
            <w:noWrap/>
            <w:vAlign w:val="center"/>
            <w:hideMark/>
          </w:tcPr>
          <w:p w14:paraId="79440E49"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EPS optimism</w:t>
            </w:r>
          </w:p>
        </w:tc>
        <w:tc>
          <w:tcPr>
            <w:tcW w:w="382" w:type="pct"/>
            <w:tcBorders>
              <w:top w:val="nil"/>
              <w:left w:val="nil"/>
              <w:bottom w:val="nil"/>
              <w:right w:val="nil"/>
            </w:tcBorders>
            <w:shd w:val="clear" w:color="000000" w:fill="FFFFFF"/>
            <w:noWrap/>
            <w:vAlign w:val="bottom"/>
            <w:hideMark/>
          </w:tcPr>
          <w:p w14:paraId="42E4F9FC"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0.49</w:t>
            </w:r>
          </w:p>
        </w:tc>
        <w:tc>
          <w:tcPr>
            <w:tcW w:w="462" w:type="pct"/>
            <w:tcBorders>
              <w:top w:val="nil"/>
              <w:left w:val="nil"/>
              <w:bottom w:val="nil"/>
              <w:right w:val="nil"/>
            </w:tcBorders>
            <w:shd w:val="clear" w:color="000000" w:fill="FFFFFF"/>
            <w:noWrap/>
            <w:vAlign w:val="bottom"/>
            <w:hideMark/>
          </w:tcPr>
          <w:p w14:paraId="65570EF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0.49</w:t>
            </w:r>
          </w:p>
        </w:tc>
        <w:tc>
          <w:tcPr>
            <w:tcW w:w="516" w:type="pct"/>
            <w:tcBorders>
              <w:top w:val="nil"/>
              <w:left w:val="nil"/>
              <w:bottom w:val="nil"/>
              <w:right w:val="nil"/>
            </w:tcBorders>
            <w:shd w:val="clear" w:color="000000" w:fill="FFFFFF"/>
            <w:noWrap/>
            <w:vAlign w:val="bottom"/>
            <w:hideMark/>
          </w:tcPr>
          <w:p w14:paraId="57E4F79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0.15</w:t>
            </w:r>
          </w:p>
        </w:tc>
        <w:tc>
          <w:tcPr>
            <w:tcW w:w="382" w:type="pct"/>
            <w:tcBorders>
              <w:top w:val="nil"/>
              <w:left w:val="nil"/>
              <w:bottom w:val="nil"/>
              <w:right w:val="nil"/>
            </w:tcBorders>
            <w:shd w:val="clear" w:color="000000" w:fill="FFFFFF"/>
            <w:noWrap/>
            <w:vAlign w:val="bottom"/>
            <w:hideMark/>
          </w:tcPr>
          <w:p w14:paraId="05FB0CA3"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92" w:type="pct"/>
            <w:tcBorders>
              <w:top w:val="nil"/>
              <w:left w:val="nil"/>
              <w:bottom w:val="nil"/>
              <w:right w:val="nil"/>
            </w:tcBorders>
            <w:shd w:val="clear" w:color="000000" w:fill="FFFFFF"/>
            <w:noWrap/>
            <w:vAlign w:val="bottom"/>
            <w:hideMark/>
          </w:tcPr>
          <w:p w14:paraId="0B20863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0.39</w:t>
            </w:r>
          </w:p>
        </w:tc>
        <w:tc>
          <w:tcPr>
            <w:tcW w:w="492" w:type="pct"/>
            <w:tcBorders>
              <w:top w:val="nil"/>
              <w:left w:val="nil"/>
              <w:bottom w:val="nil"/>
              <w:right w:val="nil"/>
            </w:tcBorders>
            <w:shd w:val="clear" w:color="000000" w:fill="FFFFFF"/>
            <w:noWrap/>
            <w:vAlign w:val="bottom"/>
            <w:hideMark/>
          </w:tcPr>
          <w:p w14:paraId="79C9738C"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0.58</w:t>
            </w:r>
          </w:p>
        </w:tc>
        <w:tc>
          <w:tcPr>
            <w:tcW w:w="383" w:type="pct"/>
            <w:tcBorders>
              <w:top w:val="nil"/>
              <w:left w:val="nil"/>
              <w:bottom w:val="nil"/>
              <w:right w:val="nil"/>
            </w:tcBorders>
            <w:shd w:val="clear" w:color="000000" w:fill="FFFFFF"/>
            <w:noWrap/>
            <w:vAlign w:val="bottom"/>
            <w:hideMark/>
          </w:tcPr>
          <w:p w14:paraId="4062A8F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r>
      <w:tr w:rsidR="00F770FF" w:rsidRPr="000C482C" w14:paraId="60A89A57" w14:textId="77777777" w:rsidTr="009704E4">
        <w:trPr>
          <w:trHeight w:val="276"/>
        </w:trPr>
        <w:tc>
          <w:tcPr>
            <w:tcW w:w="1890" w:type="pct"/>
            <w:tcBorders>
              <w:top w:val="nil"/>
              <w:left w:val="nil"/>
              <w:bottom w:val="nil"/>
              <w:right w:val="nil"/>
            </w:tcBorders>
            <w:shd w:val="clear" w:color="000000" w:fill="FFFFFF"/>
            <w:noWrap/>
            <w:vAlign w:val="center"/>
            <w:hideMark/>
          </w:tcPr>
          <w:p w14:paraId="18702A11"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EPS precision</w:t>
            </w:r>
          </w:p>
        </w:tc>
        <w:tc>
          <w:tcPr>
            <w:tcW w:w="382" w:type="pct"/>
            <w:tcBorders>
              <w:top w:val="nil"/>
              <w:left w:val="nil"/>
              <w:bottom w:val="nil"/>
              <w:right w:val="nil"/>
            </w:tcBorders>
            <w:shd w:val="clear" w:color="000000" w:fill="FFFFFF"/>
            <w:noWrap/>
            <w:vAlign w:val="bottom"/>
            <w:hideMark/>
          </w:tcPr>
          <w:p w14:paraId="220A91F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0.00</w:t>
            </w:r>
          </w:p>
        </w:tc>
        <w:tc>
          <w:tcPr>
            <w:tcW w:w="462" w:type="pct"/>
            <w:tcBorders>
              <w:top w:val="nil"/>
              <w:left w:val="nil"/>
              <w:bottom w:val="nil"/>
              <w:right w:val="nil"/>
            </w:tcBorders>
            <w:shd w:val="clear" w:color="000000" w:fill="FFFFFF"/>
            <w:noWrap/>
            <w:vAlign w:val="bottom"/>
            <w:hideMark/>
          </w:tcPr>
          <w:p w14:paraId="0A8F592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0.03</w:t>
            </w:r>
          </w:p>
        </w:tc>
        <w:tc>
          <w:tcPr>
            <w:tcW w:w="516" w:type="pct"/>
            <w:tcBorders>
              <w:top w:val="nil"/>
              <w:left w:val="nil"/>
              <w:bottom w:val="nil"/>
              <w:right w:val="nil"/>
            </w:tcBorders>
            <w:shd w:val="clear" w:color="000000" w:fill="FFFFFF"/>
            <w:noWrap/>
            <w:vAlign w:val="bottom"/>
            <w:hideMark/>
          </w:tcPr>
          <w:p w14:paraId="385BD029"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0.26</w:t>
            </w:r>
          </w:p>
        </w:tc>
        <w:tc>
          <w:tcPr>
            <w:tcW w:w="382" w:type="pct"/>
            <w:tcBorders>
              <w:top w:val="nil"/>
              <w:left w:val="nil"/>
              <w:bottom w:val="nil"/>
              <w:right w:val="nil"/>
            </w:tcBorders>
            <w:shd w:val="clear" w:color="000000" w:fill="FFFFFF"/>
            <w:noWrap/>
            <w:vAlign w:val="bottom"/>
            <w:hideMark/>
          </w:tcPr>
          <w:p w14:paraId="354D8811"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-9.08</w:t>
            </w:r>
          </w:p>
        </w:tc>
        <w:tc>
          <w:tcPr>
            <w:tcW w:w="492" w:type="pct"/>
            <w:tcBorders>
              <w:top w:val="nil"/>
              <w:left w:val="nil"/>
              <w:bottom w:val="nil"/>
              <w:right w:val="nil"/>
            </w:tcBorders>
            <w:shd w:val="clear" w:color="000000" w:fill="FFFFFF"/>
            <w:noWrap/>
            <w:vAlign w:val="bottom"/>
            <w:hideMark/>
          </w:tcPr>
          <w:p w14:paraId="7A69BF7A"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-0.10</w:t>
            </w:r>
          </w:p>
        </w:tc>
        <w:tc>
          <w:tcPr>
            <w:tcW w:w="492" w:type="pct"/>
            <w:tcBorders>
              <w:top w:val="nil"/>
              <w:left w:val="nil"/>
              <w:bottom w:val="nil"/>
              <w:right w:val="nil"/>
            </w:tcBorders>
            <w:shd w:val="clear" w:color="000000" w:fill="FFFFFF"/>
            <w:noWrap/>
            <w:vAlign w:val="bottom"/>
            <w:hideMark/>
          </w:tcPr>
          <w:p w14:paraId="45E39A37"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0.14</w:t>
            </w:r>
          </w:p>
        </w:tc>
        <w:tc>
          <w:tcPr>
            <w:tcW w:w="383" w:type="pct"/>
            <w:tcBorders>
              <w:top w:val="nil"/>
              <w:left w:val="nil"/>
              <w:bottom w:val="nil"/>
              <w:right w:val="nil"/>
            </w:tcBorders>
            <w:shd w:val="clear" w:color="000000" w:fill="FFFFFF"/>
            <w:noWrap/>
            <w:vAlign w:val="bottom"/>
            <w:hideMark/>
          </w:tcPr>
          <w:p w14:paraId="47A0033A"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r>
      <w:tr w:rsidR="00F770FF" w:rsidRPr="000C482C" w14:paraId="1FA30F95" w14:textId="77777777" w:rsidTr="009704E4">
        <w:trPr>
          <w:trHeight w:val="276"/>
        </w:trPr>
        <w:tc>
          <w:tcPr>
            <w:tcW w:w="1890" w:type="pct"/>
            <w:tcBorders>
              <w:top w:val="nil"/>
              <w:left w:val="nil"/>
              <w:bottom w:val="nil"/>
              <w:right w:val="nil"/>
            </w:tcBorders>
            <w:shd w:val="clear" w:color="000000" w:fill="FFFFFF"/>
            <w:noWrap/>
            <w:vAlign w:val="center"/>
            <w:hideMark/>
          </w:tcPr>
          <w:p w14:paraId="3F35E661"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Forecast frequency</w:t>
            </w:r>
          </w:p>
        </w:tc>
        <w:tc>
          <w:tcPr>
            <w:tcW w:w="382" w:type="pct"/>
            <w:tcBorders>
              <w:top w:val="nil"/>
              <w:left w:val="nil"/>
              <w:bottom w:val="nil"/>
              <w:right w:val="nil"/>
            </w:tcBorders>
            <w:shd w:val="clear" w:color="000000" w:fill="FFFFFF"/>
            <w:noWrap/>
            <w:vAlign w:val="bottom"/>
            <w:hideMark/>
          </w:tcPr>
          <w:p w14:paraId="11D3EAD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1.79</w:t>
            </w:r>
          </w:p>
        </w:tc>
        <w:tc>
          <w:tcPr>
            <w:tcW w:w="462" w:type="pct"/>
            <w:tcBorders>
              <w:top w:val="nil"/>
              <w:left w:val="nil"/>
              <w:bottom w:val="nil"/>
              <w:right w:val="nil"/>
            </w:tcBorders>
            <w:shd w:val="clear" w:color="000000" w:fill="FFFFFF"/>
            <w:noWrap/>
            <w:vAlign w:val="bottom"/>
            <w:hideMark/>
          </w:tcPr>
          <w:p w14:paraId="09E5C8A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1.84</w:t>
            </w:r>
          </w:p>
        </w:tc>
        <w:tc>
          <w:tcPr>
            <w:tcW w:w="516" w:type="pct"/>
            <w:tcBorders>
              <w:top w:val="nil"/>
              <w:left w:val="nil"/>
              <w:bottom w:val="nil"/>
              <w:right w:val="nil"/>
            </w:tcBorders>
            <w:shd w:val="clear" w:color="000000" w:fill="FFFFFF"/>
            <w:noWrap/>
            <w:vAlign w:val="bottom"/>
            <w:hideMark/>
          </w:tcPr>
          <w:p w14:paraId="4F5044A7"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0.36</w:t>
            </w:r>
          </w:p>
        </w:tc>
        <w:tc>
          <w:tcPr>
            <w:tcW w:w="382" w:type="pct"/>
            <w:tcBorders>
              <w:top w:val="nil"/>
              <w:left w:val="nil"/>
              <w:bottom w:val="nil"/>
              <w:right w:val="nil"/>
            </w:tcBorders>
            <w:shd w:val="clear" w:color="000000" w:fill="FFFFFF"/>
            <w:noWrap/>
            <w:vAlign w:val="bottom"/>
            <w:hideMark/>
          </w:tcPr>
          <w:p w14:paraId="55669029"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c>
          <w:tcPr>
            <w:tcW w:w="492" w:type="pct"/>
            <w:tcBorders>
              <w:top w:val="nil"/>
              <w:left w:val="nil"/>
              <w:bottom w:val="nil"/>
              <w:right w:val="nil"/>
            </w:tcBorders>
            <w:shd w:val="clear" w:color="000000" w:fill="FFFFFF"/>
            <w:noWrap/>
            <w:vAlign w:val="bottom"/>
            <w:hideMark/>
          </w:tcPr>
          <w:p w14:paraId="5AB5586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1.60</w:t>
            </w:r>
          </w:p>
        </w:tc>
        <w:tc>
          <w:tcPr>
            <w:tcW w:w="492" w:type="pct"/>
            <w:tcBorders>
              <w:top w:val="nil"/>
              <w:left w:val="nil"/>
              <w:bottom w:val="nil"/>
              <w:right w:val="nil"/>
            </w:tcBorders>
            <w:shd w:val="clear" w:color="000000" w:fill="FFFFFF"/>
            <w:noWrap/>
            <w:vAlign w:val="bottom"/>
            <w:hideMark/>
          </w:tcPr>
          <w:p w14:paraId="7A0D2348"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2.05</w:t>
            </w:r>
          </w:p>
        </w:tc>
        <w:tc>
          <w:tcPr>
            <w:tcW w:w="383" w:type="pct"/>
            <w:tcBorders>
              <w:top w:val="nil"/>
              <w:left w:val="nil"/>
              <w:bottom w:val="nil"/>
              <w:right w:val="nil"/>
            </w:tcBorders>
            <w:shd w:val="clear" w:color="000000" w:fill="FFFFFF"/>
            <w:noWrap/>
            <w:vAlign w:val="bottom"/>
            <w:hideMark/>
          </w:tcPr>
          <w:p w14:paraId="650F866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2.50</w:t>
            </w:r>
          </w:p>
        </w:tc>
      </w:tr>
      <w:tr w:rsidR="00F770FF" w:rsidRPr="000C482C" w14:paraId="12DADBB3" w14:textId="77777777" w:rsidTr="009704E4">
        <w:trPr>
          <w:trHeight w:val="276"/>
        </w:trPr>
        <w:tc>
          <w:tcPr>
            <w:tcW w:w="1890" w:type="pct"/>
            <w:tcBorders>
              <w:top w:val="nil"/>
              <w:left w:val="nil"/>
              <w:bottom w:val="nil"/>
              <w:right w:val="nil"/>
            </w:tcBorders>
            <w:shd w:val="clear" w:color="000000" w:fill="FFFFFF"/>
            <w:noWrap/>
            <w:vAlign w:val="center"/>
            <w:hideMark/>
          </w:tcPr>
          <w:p w14:paraId="4D998086"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Leader-follower ratio (LFR)</w:t>
            </w:r>
          </w:p>
        </w:tc>
        <w:tc>
          <w:tcPr>
            <w:tcW w:w="382" w:type="pct"/>
            <w:tcBorders>
              <w:top w:val="nil"/>
              <w:left w:val="nil"/>
              <w:bottom w:val="nil"/>
              <w:right w:val="nil"/>
            </w:tcBorders>
            <w:shd w:val="clear" w:color="000000" w:fill="FFFFFF"/>
            <w:noWrap/>
            <w:vAlign w:val="bottom"/>
            <w:hideMark/>
          </w:tcPr>
          <w:p w14:paraId="14E473C4"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2.18</w:t>
            </w:r>
          </w:p>
        </w:tc>
        <w:tc>
          <w:tcPr>
            <w:tcW w:w="462" w:type="pct"/>
            <w:tcBorders>
              <w:top w:val="nil"/>
              <w:left w:val="nil"/>
              <w:bottom w:val="nil"/>
              <w:right w:val="nil"/>
            </w:tcBorders>
            <w:shd w:val="clear" w:color="000000" w:fill="FFFFFF"/>
            <w:noWrap/>
            <w:vAlign w:val="bottom"/>
            <w:hideMark/>
          </w:tcPr>
          <w:p w14:paraId="1B39ECF0"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1.07</w:t>
            </w:r>
          </w:p>
        </w:tc>
        <w:tc>
          <w:tcPr>
            <w:tcW w:w="516" w:type="pct"/>
            <w:tcBorders>
              <w:top w:val="nil"/>
              <w:left w:val="nil"/>
              <w:bottom w:val="nil"/>
              <w:right w:val="nil"/>
            </w:tcBorders>
            <w:shd w:val="clear" w:color="000000" w:fill="FFFFFF"/>
            <w:noWrap/>
            <w:vAlign w:val="bottom"/>
            <w:hideMark/>
          </w:tcPr>
          <w:p w14:paraId="184378A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2.55</w:t>
            </w:r>
          </w:p>
        </w:tc>
        <w:tc>
          <w:tcPr>
            <w:tcW w:w="382" w:type="pct"/>
            <w:tcBorders>
              <w:top w:val="nil"/>
              <w:left w:val="nil"/>
              <w:bottom w:val="nil"/>
              <w:right w:val="nil"/>
            </w:tcBorders>
            <w:shd w:val="clear" w:color="000000" w:fill="FFFFFF"/>
            <w:noWrap/>
            <w:vAlign w:val="bottom"/>
            <w:hideMark/>
          </w:tcPr>
          <w:p w14:paraId="6F783A64"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0.04</w:t>
            </w:r>
          </w:p>
        </w:tc>
        <w:tc>
          <w:tcPr>
            <w:tcW w:w="492" w:type="pct"/>
            <w:tcBorders>
              <w:top w:val="nil"/>
              <w:left w:val="nil"/>
              <w:bottom w:val="nil"/>
              <w:right w:val="nil"/>
            </w:tcBorders>
            <w:shd w:val="clear" w:color="000000" w:fill="FFFFFF"/>
            <w:noWrap/>
            <w:vAlign w:val="bottom"/>
            <w:hideMark/>
          </w:tcPr>
          <w:p w14:paraId="7264F01B"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0.51</w:t>
            </w:r>
          </w:p>
        </w:tc>
        <w:tc>
          <w:tcPr>
            <w:tcW w:w="492" w:type="pct"/>
            <w:tcBorders>
              <w:top w:val="nil"/>
              <w:left w:val="nil"/>
              <w:bottom w:val="nil"/>
              <w:right w:val="nil"/>
            </w:tcBorders>
            <w:shd w:val="clear" w:color="000000" w:fill="FFFFFF"/>
            <w:noWrap/>
            <w:vAlign w:val="bottom"/>
            <w:hideMark/>
          </w:tcPr>
          <w:p w14:paraId="255C3DA9"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2.50</w:t>
            </w:r>
          </w:p>
        </w:tc>
        <w:tc>
          <w:tcPr>
            <w:tcW w:w="383" w:type="pct"/>
            <w:tcBorders>
              <w:top w:val="nil"/>
              <w:left w:val="nil"/>
              <w:bottom w:val="nil"/>
              <w:right w:val="nil"/>
            </w:tcBorders>
            <w:shd w:val="clear" w:color="000000" w:fill="FFFFFF"/>
            <w:noWrap/>
            <w:vAlign w:val="bottom"/>
            <w:hideMark/>
          </w:tcPr>
          <w:p w14:paraId="5EB64DF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8.00</w:t>
            </w:r>
          </w:p>
        </w:tc>
      </w:tr>
      <w:tr w:rsidR="00F770FF" w:rsidRPr="000C482C" w14:paraId="0C428DD2" w14:textId="77777777" w:rsidTr="009704E4">
        <w:trPr>
          <w:trHeight w:val="276"/>
        </w:trPr>
        <w:tc>
          <w:tcPr>
            <w:tcW w:w="1890" w:type="pct"/>
            <w:tcBorders>
              <w:top w:val="nil"/>
              <w:left w:val="nil"/>
              <w:bottom w:val="nil"/>
              <w:right w:val="nil"/>
            </w:tcBorders>
            <w:shd w:val="clear" w:color="000000" w:fill="FFFFFF"/>
            <w:noWrap/>
            <w:vAlign w:val="center"/>
            <w:hideMark/>
          </w:tcPr>
          <w:p w14:paraId="712B0E02"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Industry concentration (HHI)</w:t>
            </w:r>
          </w:p>
        </w:tc>
        <w:tc>
          <w:tcPr>
            <w:tcW w:w="382" w:type="pct"/>
            <w:tcBorders>
              <w:top w:val="nil"/>
              <w:left w:val="nil"/>
              <w:bottom w:val="nil"/>
              <w:right w:val="nil"/>
            </w:tcBorders>
            <w:shd w:val="clear" w:color="000000" w:fill="FFFFFF"/>
            <w:noWrap/>
            <w:vAlign w:val="bottom"/>
            <w:hideMark/>
          </w:tcPr>
          <w:p w14:paraId="1BC55478"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6.45</w:t>
            </w:r>
          </w:p>
        </w:tc>
        <w:tc>
          <w:tcPr>
            <w:tcW w:w="462" w:type="pct"/>
            <w:tcBorders>
              <w:top w:val="nil"/>
              <w:left w:val="nil"/>
              <w:bottom w:val="nil"/>
              <w:right w:val="nil"/>
            </w:tcBorders>
            <w:shd w:val="clear" w:color="000000" w:fill="FFFFFF"/>
            <w:noWrap/>
            <w:vAlign w:val="bottom"/>
            <w:hideMark/>
          </w:tcPr>
          <w:p w14:paraId="7C464F3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1.88</w:t>
            </w:r>
          </w:p>
        </w:tc>
        <w:tc>
          <w:tcPr>
            <w:tcW w:w="516" w:type="pct"/>
            <w:tcBorders>
              <w:top w:val="nil"/>
              <w:left w:val="nil"/>
              <w:bottom w:val="nil"/>
              <w:right w:val="nil"/>
            </w:tcBorders>
            <w:shd w:val="clear" w:color="000000" w:fill="FFFFFF"/>
            <w:noWrap/>
            <w:vAlign w:val="bottom"/>
            <w:hideMark/>
          </w:tcPr>
          <w:p w14:paraId="305ADA9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13.07</w:t>
            </w:r>
          </w:p>
        </w:tc>
        <w:tc>
          <w:tcPr>
            <w:tcW w:w="382" w:type="pct"/>
            <w:tcBorders>
              <w:top w:val="nil"/>
              <w:left w:val="nil"/>
              <w:bottom w:val="nil"/>
              <w:right w:val="nil"/>
            </w:tcBorders>
            <w:shd w:val="clear" w:color="000000" w:fill="FFFFFF"/>
            <w:noWrap/>
            <w:vAlign w:val="bottom"/>
            <w:hideMark/>
          </w:tcPr>
          <w:p w14:paraId="2880770C"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0.22</w:t>
            </w:r>
          </w:p>
        </w:tc>
        <w:tc>
          <w:tcPr>
            <w:tcW w:w="492" w:type="pct"/>
            <w:tcBorders>
              <w:top w:val="nil"/>
              <w:left w:val="nil"/>
              <w:bottom w:val="nil"/>
              <w:right w:val="nil"/>
            </w:tcBorders>
            <w:shd w:val="clear" w:color="000000" w:fill="FFFFFF"/>
            <w:noWrap/>
            <w:vAlign w:val="bottom"/>
            <w:hideMark/>
          </w:tcPr>
          <w:p w14:paraId="6363D6EE"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1.00</w:t>
            </w:r>
          </w:p>
        </w:tc>
        <w:tc>
          <w:tcPr>
            <w:tcW w:w="492" w:type="pct"/>
            <w:tcBorders>
              <w:top w:val="nil"/>
              <w:left w:val="nil"/>
              <w:bottom w:val="nil"/>
              <w:right w:val="nil"/>
            </w:tcBorders>
            <w:shd w:val="clear" w:color="000000" w:fill="FFFFFF"/>
            <w:noWrap/>
            <w:vAlign w:val="bottom"/>
            <w:hideMark/>
          </w:tcPr>
          <w:p w14:paraId="083964EC"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5.06</w:t>
            </w:r>
          </w:p>
        </w:tc>
        <w:tc>
          <w:tcPr>
            <w:tcW w:w="383" w:type="pct"/>
            <w:tcBorders>
              <w:top w:val="nil"/>
              <w:left w:val="nil"/>
              <w:bottom w:val="nil"/>
              <w:right w:val="nil"/>
            </w:tcBorders>
            <w:shd w:val="clear" w:color="000000" w:fill="FFFFFF"/>
            <w:noWrap/>
            <w:vAlign w:val="bottom"/>
            <w:hideMark/>
          </w:tcPr>
          <w:p w14:paraId="1CE159E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85.00</w:t>
            </w:r>
          </w:p>
        </w:tc>
      </w:tr>
      <w:tr w:rsidR="00F770FF" w:rsidRPr="000C482C" w14:paraId="7E69931D" w14:textId="77777777" w:rsidTr="009704E4">
        <w:trPr>
          <w:trHeight w:val="288"/>
        </w:trPr>
        <w:tc>
          <w:tcPr>
            <w:tcW w:w="1890" w:type="pct"/>
            <w:tcBorders>
              <w:top w:val="nil"/>
              <w:left w:val="nil"/>
              <w:bottom w:val="double" w:sz="6" w:space="0" w:color="auto"/>
              <w:right w:val="nil"/>
            </w:tcBorders>
            <w:shd w:val="clear" w:color="000000" w:fill="FFFFFF"/>
            <w:vAlign w:val="center"/>
            <w:hideMark/>
          </w:tcPr>
          <w:p w14:paraId="70476CC8" w14:textId="77777777" w:rsidR="00F770FF" w:rsidRPr="002616D5" w:rsidRDefault="00F770FF" w:rsidP="009704E4">
            <w:pPr>
              <w:spacing w:after="0" w:line="240" w:lineRule="auto"/>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Months a recommendation is in place</w:t>
            </w:r>
          </w:p>
        </w:tc>
        <w:tc>
          <w:tcPr>
            <w:tcW w:w="382" w:type="pct"/>
            <w:tcBorders>
              <w:top w:val="nil"/>
              <w:left w:val="nil"/>
              <w:bottom w:val="double" w:sz="6" w:space="0" w:color="auto"/>
              <w:right w:val="nil"/>
            </w:tcBorders>
            <w:shd w:val="clear" w:color="000000" w:fill="FFFFFF"/>
            <w:noWrap/>
            <w:vAlign w:val="center"/>
            <w:hideMark/>
          </w:tcPr>
          <w:p w14:paraId="7F251709"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11.92</w:t>
            </w:r>
          </w:p>
        </w:tc>
        <w:tc>
          <w:tcPr>
            <w:tcW w:w="462" w:type="pct"/>
            <w:tcBorders>
              <w:top w:val="nil"/>
              <w:left w:val="nil"/>
              <w:bottom w:val="double" w:sz="6" w:space="0" w:color="auto"/>
              <w:right w:val="nil"/>
            </w:tcBorders>
            <w:shd w:val="clear" w:color="000000" w:fill="FFFFFF"/>
            <w:noWrap/>
            <w:vAlign w:val="center"/>
            <w:hideMark/>
          </w:tcPr>
          <w:p w14:paraId="4CF1A124"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11.19</w:t>
            </w:r>
          </w:p>
        </w:tc>
        <w:tc>
          <w:tcPr>
            <w:tcW w:w="516" w:type="pct"/>
            <w:tcBorders>
              <w:top w:val="nil"/>
              <w:left w:val="nil"/>
              <w:bottom w:val="double" w:sz="6" w:space="0" w:color="auto"/>
              <w:right w:val="nil"/>
            </w:tcBorders>
            <w:shd w:val="clear" w:color="000000" w:fill="FFFFFF"/>
            <w:noWrap/>
            <w:vAlign w:val="center"/>
            <w:hideMark/>
          </w:tcPr>
          <w:p w14:paraId="6CBFB911"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5.38</w:t>
            </w:r>
          </w:p>
        </w:tc>
        <w:tc>
          <w:tcPr>
            <w:tcW w:w="382" w:type="pct"/>
            <w:tcBorders>
              <w:top w:val="nil"/>
              <w:left w:val="nil"/>
              <w:bottom w:val="double" w:sz="6" w:space="0" w:color="auto"/>
              <w:right w:val="nil"/>
            </w:tcBorders>
            <w:shd w:val="clear" w:color="000000" w:fill="FFFFFF"/>
            <w:noWrap/>
            <w:vAlign w:val="center"/>
            <w:hideMark/>
          </w:tcPr>
          <w:p w14:paraId="122BBCF6"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0.83</w:t>
            </w:r>
          </w:p>
        </w:tc>
        <w:tc>
          <w:tcPr>
            <w:tcW w:w="492" w:type="pct"/>
            <w:tcBorders>
              <w:top w:val="nil"/>
              <w:left w:val="nil"/>
              <w:bottom w:val="double" w:sz="6" w:space="0" w:color="auto"/>
              <w:right w:val="nil"/>
            </w:tcBorders>
            <w:shd w:val="clear" w:color="000000" w:fill="FFFFFF"/>
            <w:noWrap/>
            <w:vAlign w:val="center"/>
            <w:hideMark/>
          </w:tcPr>
          <w:p w14:paraId="32FCDF8B"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7.94</w:t>
            </w:r>
          </w:p>
        </w:tc>
        <w:tc>
          <w:tcPr>
            <w:tcW w:w="492" w:type="pct"/>
            <w:tcBorders>
              <w:top w:val="nil"/>
              <w:left w:val="nil"/>
              <w:bottom w:val="double" w:sz="6" w:space="0" w:color="auto"/>
              <w:right w:val="nil"/>
            </w:tcBorders>
            <w:shd w:val="clear" w:color="000000" w:fill="FFFFFF"/>
            <w:noWrap/>
            <w:vAlign w:val="center"/>
            <w:hideMark/>
          </w:tcPr>
          <w:p w14:paraId="2A18977D"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14.97</w:t>
            </w:r>
          </w:p>
        </w:tc>
        <w:tc>
          <w:tcPr>
            <w:tcW w:w="383" w:type="pct"/>
            <w:tcBorders>
              <w:top w:val="nil"/>
              <w:left w:val="nil"/>
              <w:bottom w:val="double" w:sz="6" w:space="0" w:color="auto"/>
              <w:right w:val="nil"/>
            </w:tcBorders>
            <w:shd w:val="clear" w:color="000000" w:fill="FFFFFF"/>
            <w:noWrap/>
            <w:vAlign w:val="center"/>
            <w:hideMark/>
          </w:tcPr>
          <w:p w14:paraId="0C784E89" w14:textId="77777777" w:rsidR="00F770FF" w:rsidRPr="002616D5" w:rsidRDefault="00F770FF" w:rsidP="009704E4">
            <w:pPr>
              <w:spacing w:after="0" w:line="240" w:lineRule="auto"/>
              <w:jc w:val="center"/>
              <w:rPr>
                <w:rFonts w:ascii="Century Schoolbook" w:eastAsia="Times New Roman" w:hAnsi="Century Schoolbook" w:cs="Times New Roman"/>
                <w:color w:val="000000"/>
                <w:sz w:val="19"/>
                <w:szCs w:val="19"/>
              </w:rPr>
            </w:pPr>
            <w:r w:rsidRPr="002616D5">
              <w:rPr>
                <w:rFonts w:ascii="Century Schoolbook" w:eastAsia="Times New Roman" w:hAnsi="Century Schoolbook" w:cs="Times New Roman"/>
                <w:color w:val="000000"/>
                <w:sz w:val="19"/>
                <w:szCs w:val="19"/>
              </w:rPr>
              <w:t>46.30</w:t>
            </w:r>
          </w:p>
        </w:tc>
      </w:tr>
    </w:tbl>
    <w:p w14:paraId="333DCC54" w14:textId="77777777" w:rsidR="00F770FF" w:rsidRDefault="00F770FF" w:rsidP="00F770FF">
      <w:pPr>
        <w:rPr>
          <w:rFonts w:ascii="Century Schoolbook" w:eastAsia="Times New Roman" w:hAnsi="Century Schoolbook" w:cs="Times New Roman"/>
          <w:sz w:val="20"/>
          <w:szCs w:val="20"/>
          <w:u w:val="single"/>
          <w:lang w:eastAsia="fr-FR"/>
        </w:rPr>
      </w:pPr>
    </w:p>
    <w:p w14:paraId="64D471AE" w14:textId="77777777" w:rsidR="00F770FF" w:rsidRDefault="00F770FF" w:rsidP="00F770FF">
      <w:pPr>
        <w:rPr>
          <w:rFonts w:ascii="Century Schoolbook" w:eastAsia="Times New Roman" w:hAnsi="Century Schoolbook" w:cs="Times New Roman"/>
          <w:sz w:val="20"/>
          <w:szCs w:val="20"/>
          <w:u w:val="single"/>
          <w:lang w:eastAsia="fr-FR"/>
        </w:rPr>
      </w:pPr>
      <w:r>
        <w:rPr>
          <w:rFonts w:ascii="Century Schoolbook" w:eastAsia="Times New Roman" w:hAnsi="Century Schoolbook" w:cs="Times New Roman"/>
          <w:sz w:val="20"/>
          <w:szCs w:val="20"/>
          <w:u w:val="single"/>
          <w:lang w:eastAsia="fr-FR"/>
        </w:rPr>
        <w:br w:type="page"/>
      </w:r>
    </w:p>
    <w:p w14:paraId="4519FEC5" w14:textId="77777777" w:rsidR="00F770FF" w:rsidRPr="00EC42F7" w:rsidRDefault="00F770FF" w:rsidP="00F770FF">
      <w:pPr>
        <w:jc w:val="center"/>
        <w:rPr>
          <w:rFonts w:ascii="Century Schoolbook" w:eastAsia="Times New Roman" w:hAnsi="Century Schoolbook" w:cs="Times New Roman"/>
          <w:b/>
          <w:i/>
          <w:sz w:val="20"/>
          <w:szCs w:val="20"/>
          <w:lang w:eastAsia="fr-FR"/>
        </w:rPr>
      </w:pPr>
      <w:r>
        <w:rPr>
          <w:rFonts w:ascii="Century Schoolbook" w:eastAsia="Times New Roman" w:hAnsi="Century Schoolbook" w:cs="Times New Roman"/>
          <w:b/>
          <w:sz w:val="20"/>
          <w:szCs w:val="20"/>
          <w:lang w:eastAsia="fr-FR"/>
        </w:rPr>
        <w:lastRenderedPageBreak/>
        <w:t>Table 2</w:t>
      </w:r>
    </w:p>
    <w:p w14:paraId="114FAE40" w14:textId="77777777" w:rsidR="00F770FF" w:rsidRPr="00EC42F7" w:rsidRDefault="00F770FF" w:rsidP="00F770FF">
      <w:pPr>
        <w:jc w:val="center"/>
        <w:rPr>
          <w:rFonts w:ascii="Century Schoolbook" w:eastAsia="Times New Roman" w:hAnsi="Century Schoolbook" w:cs="Times New Roman"/>
          <w:b/>
          <w:sz w:val="20"/>
          <w:szCs w:val="20"/>
          <w:lang w:eastAsia="fr-FR"/>
        </w:rPr>
      </w:pPr>
      <w:r w:rsidRPr="00EC42F7">
        <w:rPr>
          <w:rFonts w:ascii="Century Schoolbook" w:eastAsia="Times New Roman" w:hAnsi="Century Schoolbook" w:cs="Times New Roman"/>
          <w:b/>
          <w:i/>
          <w:sz w:val="20"/>
          <w:szCs w:val="20"/>
          <w:lang w:eastAsia="fr-FR"/>
        </w:rPr>
        <w:t>Descriptive of Recommendation Turnover Classification</w:t>
      </w:r>
    </w:p>
    <w:p w14:paraId="38DC8932" w14:textId="68EE3F45" w:rsidR="00F770FF" w:rsidRPr="00F24E35" w:rsidRDefault="00F770FF" w:rsidP="00F770FF">
      <w:pPr>
        <w:autoSpaceDE w:val="0"/>
        <w:autoSpaceDN w:val="0"/>
        <w:adjustRightInd w:val="0"/>
        <w:spacing w:after="0"/>
        <w:jc w:val="both"/>
        <w:rPr>
          <w:rFonts w:ascii="Century Schoolbook" w:eastAsia="Times New Roman" w:hAnsi="Century Schoolbook" w:cs="Times New Roman"/>
          <w:sz w:val="21"/>
          <w:szCs w:val="21"/>
          <w:lang w:eastAsia="fr-FR"/>
        </w:rPr>
      </w:pPr>
      <w:r w:rsidRPr="00F24E35">
        <w:rPr>
          <w:rFonts w:ascii="Century Schoolbook" w:eastAsia="Times New Roman" w:hAnsi="Century Schoolbook" w:cs="Times New Roman"/>
          <w:sz w:val="21"/>
          <w:szCs w:val="21"/>
          <w:lang w:eastAsia="fr-FR"/>
        </w:rPr>
        <w:t>This table summarizes the distribution of analysts after their speed-style classification. We classify analysts by how fast they revise their recommendations relative to their peers. The classification is done at the analyst</w:t>
      </w:r>
      <w:r w:rsidRPr="00F24E35">
        <w:rPr>
          <w:rFonts w:ascii="Century Schoolbook" w:hAnsi="Century Schoolbook" w:cs="Times New Roman"/>
          <w:sz w:val="21"/>
          <w:szCs w:val="21"/>
        </w:rPr>
        <w:t>-</w:t>
      </w:r>
      <w:r w:rsidRPr="00F24E35">
        <w:rPr>
          <w:rFonts w:ascii="Century Schoolbook" w:eastAsia="Times New Roman" w:hAnsi="Century Schoolbook" w:cs="Times New Roman"/>
          <w:sz w:val="21"/>
          <w:szCs w:val="21"/>
          <w:lang w:eastAsia="fr-FR"/>
        </w:rPr>
        <w:t>year level. The sample consists of analysts that provide active recommendations coverage in 1996</w:t>
      </w:r>
      <w:r w:rsidRPr="00F24E35">
        <w:rPr>
          <w:rFonts w:ascii="Century Schoolbook" w:hAnsi="Century Schoolbook" w:cs="Times New Roman"/>
          <w:sz w:val="21"/>
          <w:szCs w:val="21"/>
        </w:rPr>
        <w:t>–</w:t>
      </w:r>
      <w:r w:rsidRPr="00F24E35">
        <w:rPr>
          <w:rFonts w:ascii="Century Schoolbook" w:eastAsia="Times New Roman" w:hAnsi="Century Schoolbook" w:cs="Times New Roman"/>
          <w:sz w:val="21"/>
          <w:szCs w:val="21"/>
          <w:lang w:eastAsia="fr-FR"/>
        </w:rPr>
        <w:t xml:space="preserve">2013. For each year from 1996 through 2013, we assign analysts into three groups: (1) </w:t>
      </w:r>
      <w:r w:rsidRPr="00F24E35">
        <w:rPr>
          <w:rFonts w:ascii="Century Schoolbook" w:eastAsia="Times New Roman" w:hAnsi="Century Schoolbook" w:cs="Times New Roman"/>
          <w:i/>
          <w:sz w:val="21"/>
          <w:szCs w:val="21"/>
          <w:lang w:eastAsia="fr-FR"/>
        </w:rPr>
        <w:t>Slow-turnover analyst</w:t>
      </w:r>
      <w:r w:rsidRPr="00F24E35">
        <w:rPr>
          <w:rFonts w:ascii="Century Schoolbook" w:eastAsia="Times New Roman" w:hAnsi="Century Schoolbook" w:cs="Times New Roman"/>
          <w:sz w:val="21"/>
          <w:szCs w:val="21"/>
          <w:lang w:eastAsia="fr-FR"/>
        </w:rPr>
        <w:t xml:space="preserve">, (2) </w:t>
      </w:r>
      <w:r w:rsidRPr="00F24E35">
        <w:rPr>
          <w:rFonts w:ascii="Century Schoolbook" w:eastAsia="Times New Roman" w:hAnsi="Century Schoolbook" w:cs="Times New Roman"/>
          <w:i/>
          <w:sz w:val="21"/>
          <w:szCs w:val="21"/>
          <w:lang w:eastAsia="fr-FR"/>
        </w:rPr>
        <w:t>Average-turnover analyst,</w:t>
      </w:r>
      <w:r w:rsidRPr="00F24E35">
        <w:rPr>
          <w:rFonts w:ascii="Century Schoolbook" w:eastAsia="Times New Roman" w:hAnsi="Century Schoolbook" w:cs="Times New Roman"/>
          <w:sz w:val="21"/>
          <w:szCs w:val="21"/>
          <w:lang w:eastAsia="fr-FR"/>
        </w:rPr>
        <w:t xml:space="preserve"> and (3) </w:t>
      </w:r>
      <w:r w:rsidRPr="00F24E35">
        <w:rPr>
          <w:rFonts w:ascii="Century Schoolbook" w:eastAsia="Times New Roman" w:hAnsi="Century Schoolbook" w:cs="Times New Roman"/>
          <w:i/>
          <w:sz w:val="21"/>
          <w:szCs w:val="21"/>
          <w:lang w:eastAsia="fr-FR"/>
        </w:rPr>
        <w:t>Fast-turnover analyst</w:t>
      </w:r>
      <w:r w:rsidRPr="00F24E35">
        <w:rPr>
          <w:rFonts w:ascii="Century Schoolbook" w:eastAsia="Times New Roman" w:hAnsi="Century Schoolbook" w:cs="Times New Roman"/>
          <w:sz w:val="21"/>
          <w:szCs w:val="21"/>
          <w:lang w:eastAsia="fr-FR"/>
        </w:rPr>
        <w:t>. Slow (fast) turnover analysts are those that revise their recommendations distinctly slower (faster) than their comparable peers. Average-turnover analysts are those that cannot be distinctly classified as either a fast- or slow-turnover type. We use analysts’ past recommendation patterns up to the previous year to identify their current-y</w:t>
      </w:r>
      <w:r w:rsidR="0023576E" w:rsidRPr="00F24E35">
        <w:rPr>
          <w:rFonts w:ascii="Century Schoolbook" w:eastAsia="Times New Roman" w:hAnsi="Century Schoolbook" w:cs="Times New Roman"/>
          <w:sz w:val="21"/>
          <w:szCs w:val="21"/>
          <w:lang w:eastAsia="fr-FR"/>
        </w:rPr>
        <w:t xml:space="preserve">ear recommendation speed-style. </w:t>
      </w:r>
      <w:r w:rsidRPr="00F24E35">
        <w:rPr>
          <w:rFonts w:ascii="Century Schoolbook" w:eastAsia="Times New Roman" w:hAnsi="Century Schoolbook" w:cs="Times New Roman"/>
          <w:sz w:val="21"/>
          <w:szCs w:val="21"/>
          <w:lang w:eastAsia="fr-FR"/>
        </w:rPr>
        <w:t>Panel A reports the number (and percentage) of analysts in each recommendation turnover group. Panel B reports summary statistics for the time between recommendations revisions for the overall sample, as well as for each analyst turnover group. We express time between revisions in unit months</w:t>
      </w:r>
      <w:r w:rsidR="0023576E" w:rsidRPr="00F24E35">
        <w:rPr>
          <w:rFonts w:ascii="Century Schoolbook" w:eastAsia="Times New Roman" w:hAnsi="Century Schoolbook" w:cs="Times New Roman"/>
          <w:sz w:val="21"/>
          <w:szCs w:val="21"/>
          <w:lang w:eastAsia="fr-FR"/>
        </w:rPr>
        <w:t xml:space="preserve"> corrected</w:t>
      </w:r>
      <w:r w:rsidRPr="00F24E35">
        <w:rPr>
          <w:rFonts w:ascii="Century Schoolbook" w:eastAsia="Times New Roman" w:hAnsi="Century Schoolbook" w:cs="Times New Roman"/>
          <w:sz w:val="21"/>
          <w:szCs w:val="21"/>
          <w:lang w:eastAsia="fr-FR"/>
        </w:rPr>
        <w:t xml:space="preserve"> for the right-truncation bias</w:t>
      </w:r>
      <w:r w:rsidR="007C3904" w:rsidRPr="00F24E35">
        <w:rPr>
          <w:rFonts w:ascii="Century Schoolbook" w:eastAsia="Times New Roman" w:hAnsi="Century Schoolbook" w:cs="Times New Roman"/>
          <w:sz w:val="21"/>
          <w:szCs w:val="21"/>
          <w:lang w:eastAsia="fr-FR"/>
        </w:rPr>
        <w:t>. See text for more details.</w:t>
      </w:r>
    </w:p>
    <w:p w14:paraId="455C20C9" w14:textId="77777777" w:rsidR="0023576E" w:rsidRDefault="0023576E" w:rsidP="00F770FF">
      <w:pPr>
        <w:autoSpaceDE w:val="0"/>
        <w:autoSpaceDN w:val="0"/>
        <w:adjustRightInd w:val="0"/>
        <w:spacing w:after="0"/>
        <w:jc w:val="both"/>
        <w:rPr>
          <w:rFonts w:ascii="Century Schoolbook" w:eastAsia="Times New Roman" w:hAnsi="Century Schoolbook" w:cs="Times New Roman"/>
          <w:sz w:val="20"/>
          <w:szCs w:val="20"/>
          <w:lang w:eastAsia="fr-FR"/>
        </w:rPr>
      </w:pPr>
    </w:p>
    <w:tbl>
      <w:tblPr>
        <w:tblW w:w="5000" w:type="pct"/>
        <w:tblLook w:val="04A0" w:firstRow="1" w:lastRow="0" w:firstColumn="1" w:lastColumn="0" w:noHBand="0" w:noVBand="1"/>
      </w:tblPr>
      <w:tblGrid>
        <w:gridCol w:w="1251"/>
        <w:gridCol w:w="573"/>
        <w:gridCol w:w="477"/>
        <w:gridCol w:w="360"/>
        <w:gridCol w:w="84"/>
        <w:gridCol w:w="879"/>
        <w:gridCol w:w="52"/>
        <w:gridCol w:w="833"/>
        <w:gridCol w:w="98"/>
        <w:gridCol w:w="274"/>
        <w:gridCol w:w="750"/>
        <w:gridCol w:w="491"/>
        <w:gridCol w:w="434"/>
        <w:gridCol w:w="540"/>
        <w:gridCol w:w="379"/>
        <w:gridCol w:w="57"/>
        <w:gridCol w:w="976"/>
        <w:gridCol w:w="74"/>
        <w:gridCol w:w="750"/>
        <w:gridCol w:w="86"/>
      </w:tblGrid>
      <w:tr w:rsidR="00F770FF" w:rsidRPr="00EC42F7" w14:paraId="15690CFD" w14:textId="77777777" w:rsidTr="0023576E">
        <w:trPr>
          <w:gridAfter w:val="1"/>
          <w:wAfter w:w="50" w:type="pct"/>
          <w:trHeight w:val="254"/>
        </w:trPr>
        <w:tc>
          <w:tcPr>
            <w:tcW w:w="4547" w:type="pct"/>
            <w:gridSpan w:val="18"/>
            <w:tcBorders>
              <w:top w:val="nil"/>
              <w:left w:val="nil"/>
              <w:bottom w:val="single" w:sz="4" w:space="0" w:color="auto"/>
              <w:right w:val="nil"/>
            </w:tcBorders>
            <w:shd w:val="clear" w:color="auto" w:fill="auto"/>
            <w:vAlign w:val="bottom"/>
            <w:hideMark/>
          </w:tcPr>
          <w:p w14:paraId="1FD9AE8F" w14:textId="77777777" w:rsidR="00F770FF" w:rsidRPr="00EC42F7" w:rsidRDefault="00F770FF" w:rsidP="009704E4">
            <w:pPr>
              <w:spacing w:after="0" w:line="240" w:lineRule="auto"/>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b/>
                <w:bCs/>
                <w:color w:val="000000"/>
                <w:sz w:val="20"/>
                <w:szCs w:val="20"/>
              </w:rPr>
              <w:t>Panel A.</w:t>
            </w:r>
            <w:r w:rsidRPr="00EC42F7">
              <w:rPr>
                <w:rFonts w:ascii="Century Schoolbook" w:eastAsia="Times New Roman" w:hAnsi="Century Schoolbook" w:cs="Times New Roman"/>
                <w:color w:val="000000"/>
                <w:sz w:val="20"/>
                <w:szCs w:val="20"/>
              </w:rPr>
              <w:t xml:space="preserve"> Distribution of analysts across three recommendation-turnover groups</w:t>
            </w:r>
          </w:p>
        </w:tc>
        <w:tc>
          <w:tcPr>
            <w:tcW w:w="403" w:type="pct"/>
            <w:tcBorders>
              <w:top w:val="nil"/>
              <w:left w:val="nil"/>
              <w:bottom w:val="single" w:sz="4" w:space="0" w:color="auto"/>
              <w:right w:val="nil"/>
            </w:tcBorders>
            <w:shd w:val="clear" w:color="auto" w:fill="auto"/>
            <w:noWrap/>
            <w:vAlign w:val="bottom"/>
            <w:hideMark/>
          </w:tcPr>
          <w:p w14:paraId="7D0A764B" w14:textId="77777777" w:rsidR="00F770FF" w:rsidRPr="00EC42F7" w:rsidRDefault="00F770FF" w:rsidP="009704E4">
            <w:pPr>
              <w:spacing w:after="0" w:line="240" w:lineRule="auto"/>
              <w:rPr>
                <w:rFonts w:ascii="Century Schoolbook" w:eastAsia="Times New Roman" w:hAnsi="Century Schoolbook" w:cs="Times New Roman"/>
                <w:color w:val="000000"/>
              </w:rPr>
            </w:pPr>
            <w:r w:rsidRPr="00EC42F7">
              <w:rPr>
                <w:rFonts w:ascii="Century Schoolbook" w:eastAsia="Times New Roman" w:hAnsi="Century Schoolbook" w:cs="Times New Roman"/>
                <w:color w:val="000000"/>
              </w:rPr>
              <w:t> </w:t>
            </w:r>
          </w:p>
        </w:tc>
      </w:tr>
      <w:tr w:rsidR="00F770FF" w:rsidRPr="00EC42F7" w14:paraId="081C27FB" w14:textId="77777777" w:rsidTr="0023576E">
        <w:trPr>
          <w:gridAfter w:val="1"/>
          <w:wAfter w:w="50" w:type="pct"/>
          <w:trHeight w:val="387"/>
        </w:trPr>
        <w:tc>
          <w:tcPr>
            <w:tcW w:w="649" w:type="pct"/>
            <w:vMerge w:val="restart"/>
            <w:tcBorders>
              <w:top w:val="nil"/>
              <w:left w:val="nil"/>
              <w:bottom w:val="single" w:sz="4" w:space="0" w:color="000000"/>
              <w:right w:val="nil"/>
            </w:tcBorders>
            <w:shd w:val="clear" w:color="auto" w:fill="auto"/>
            <w:vAlign w:val="center"/>
            <w:hideMark/>
          </w:tcPr>
          <w:p w14:paraId="7A24158E"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Year</w:t>
            </w:r>
          </w:p>
        </w:tc>
        <w:tc>
          <w:tcPr>
            <w:tcW w:w="556" w:type="pct"/>
            <w:gridSpan w:val="2"/>
            <w:vMerge w:val="restart"/>
            <w:tcBorders>
              <w:top w:val="nil"/>
              <w:left w:val="nil"/>
              <w:bottom w:val="single" w:sz="4" w:space="0" w:color="000000"/>
              <w:right w:val="nil"/>
            </w:tcBorders>
            <w:shd w:val="clear" w:color="auto" w:fill="auto"/>
            <w:vAlign w:val="center"/>
            <w:hideMark/>
          </w:tcPr>
          <w:p w14:paraId="555BEC0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Total</w:t>
            </w:r>
          </w:p>
        </w:tc>
        <w:tc>
          <w:tcPr>
            <w:tcW w:w="196" w:type="pct"/>
            <w:tcBorders>
              <w:top w:val="nil"/>
              <w:left w:val="nil"/>
              <w:bottom w:val="nil"/>
              <w:right w:val="nil"/>
            </w:tcBorders>
            <w:shd w:val="clear" w:color="auto" w:fill="auto"/>
            <w:vAlign w:val="center"/>
            <w:hideMark/>
          </w:tcPr>
          <w:p w14:paraId="4279F9A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000" w:type="pct"/>
            <w:gridSpan w:val="4"/>
            <w:tcBorders>
              <w:top w:val="single" w:sz="4" w:space="0" w:color="auto"/>
              <w:left w:val="nil"/>
              <w:bottom w:val="single" w:sz="4" w:space="0" w:color="auto"/>
              <w:right w:val="nil"/>
            </w:tcBorders>
            <w:shd w:val="clear" w:color="auto" w:fill="auto"/>
            <w:vAlign w:val="center"/>
            <w:hideMark/>
          </w:tcPr>
          <w:p w14:paraId="5C6AFE8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 Slow-turnover</w:t>
            </w:r>
          </w:p>
        </w:tc>
        <w:tc>
          <w:tcPr>
            <w:tcW w:w="196" w:type="pct"/>
            <w:gridSpan w:val="2"/>
            <w:tcBorders>
              <w:top w:val="nil"/>
              <w:left w:val="nil"/>
              <w:bottom w:val="single" w:sz="4" w:space="0" w:color="auto"/>
              <w:right w:val="nil"/>
            </w:tcBorders>
            <w:shd w:val="clear" w:color="auto" w:fill="auto"/>
            <w:vAlign w:val="center"/>
            <w:hideMark/>
          </w:tcPr>
          <w:p w14:paraId="0FB2E40D" w14:textId="77777777" w:rsidR="00F770FF" w:rsidRPr="00EC42F7" w:rsidRDefault="00F770FF" w:rsidP="009704E4">
            <w:pPr>
              <w:spacing w:after="0" w:line="240" w:lineRule="auto"/>
              <w:jc w:val="center"/>
              <w:rPr>
                <w:rFonts w:ascii="Calibri" w:eastAsia="Times New Roman" w:hAnsi="Calibri" w:cs="Times New Roman"/>
                <w:color w:val="000000"/>
              </w:rPr>
            </w:pPr>
            <w:r w:rsidRPr="00EC42F7">
              <w:rPr>
                <w:rFonts w:ascii="Calibri" w:eastAsia="Times New Roman" w:hAnsi="Calibri" w:cs="Times New Roman"/>
                <w:color w:val="000000"/>
              </w:rPr>
              <w:t> </w:t>
            </w:r>
          </w:p>
        </w:tc>
        <w:tc>
          <w:tcPr>
            <w:tcW w:w="1172" w:type="pct"/>
            <w:gridSpan w:val="4"/>
            <w:tcBorders>
              <w:top w:val="single" w:sz="4" w:space="0" w:color="auto"/>
              <w:left w:val="nil"/>
              <w:bottom w:val="single" w:sz="4" w:space="0" w:color="auto"/>
              <w:right w:val="nil"/>
            </w:tcBorders>
            <w:shd w:val="clear" w:color="auto" w:fill="auto"/>
            <w:vAlign w:val="center"/>
            <w:hideMark/>
          </w:tcPr>
          <w:p w14:paraId="5CE36EE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 Average-turnover</w:t>
            </w:r>
          </w:p>
        </w:tc>
        <w:tc>
          <w:tcPr>
            <w:tcW w:w="196" w:type="pct"/>
            <w:tcBorders>
              <w:top w:val="nil"/>
              <w:left w:val="nil"/>
              <w:bottom w:val="single" w:sz="4" w:space="0" w:color="auto"/>
              <w:right w:val="nil"/>
            </w:tcBorders>
            <w:shd w:val="clear" w:color="auto" w:fill="auto"/>
            <w:vAlign w:val="center"/>
            <w:hideMark/>
          </w:tcPr>
          <w:p w14:paraId="1C21BBBB" w14:textId="77777777" w:rsidR="00F770FF" w:rsidRPr="00EC42F7" w:rsidRDefault="00F770FF" w:rsidP="009704E4">
            <w:pPr>
              <w:spacing w:after="0" w:line="240" w:lineRule="auto"/>
              <w:jc w:val="center"/>
              <w:rPr>
                <w:rFonts w:ascii="Calibri" w:eastAsia="Times New Roman" w:hAnsi="Calibri" w:cs="Times New Roman"/>
                <w:color w:val="000000"/>
              </w:rPr>
            </w:pPr>
            <w:r w:rsidRPr="00EC42F7">
              <w:rPr>
                <w:rFonts w:ascii="Calibri" w:eastAsia="Times New Roman" w:hAnsi="Calibri" w:cs="Times New Roman"/>
                <w:color w:val="000000"/>
              </w:rPr>
              <w:t> </w:t>
            </w:r>
          </w:p>
        </w:tc>
        <w:tc>
          <w:tcPr>
            <w:tcW w:w="984" w:type="pct"/>
            <w:gridSpan w:val="4"/>
            <w:tcBorders>
              <w:top w:val="single" w:sz="4" w:space="0" w:color="auto"/>
              <w:left w:val="nil"/>
              <w:bottom w:val="single" w:sz="4" w:space="0" w:color="auto"/>
              <w:right w:val="nil"/>
            </w:tcBorders>
            <w:shd w:val="clear" w:color="auto" w:fill="auto"/>
            <w:vAlign w:val="center"/>
            <w:hideMark/>
          </w:tcPr>
          <w:p w14:paraId="552BB06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(3) Fast-turnover</w:t>
            </w:r>
          </w:p>
        </w:tc>
      </w:tr>
      <w:tr w:rsidR="0023576E" w:rsidRPr="00EC42F7" w14:paraId="4A484B0C" w14:textId="77777777" w:rsidTr="0023576E">
        <w:trPr>
          <w:gridAfter w:val="1"/>
          <w:wAfter w:w="50" w:type="pct"/>
          <w:trHeight w:val="254"/>
        </w:trPr>
        <w:tc>
          <w:tcPr>
            <w:tcW w:w="649" w:type="pct"/>
            <w:vMerge/>
            <w:tcBorders>
              <w:top w:val="nil"/>
              <w:left w:val="nil"/>
              <w:bottom w:val="single" w:sz="4" w:space="0" w:color="000000"/>
              <w:right w:val="nil"/>
            </w:tcBorders>
            <w:vAlign w:val="center"/>
            <w:hideMark/>
          </w:tcPr>
          <w:p w14:paraId="3B368E9E" w14:textId="77777777" w:rsidR="00F770FF" w:rsidRPr="00EC42F7" w:rsidRDefault="00F770FF" w:rsidP="009704E4">
            <w:pPr>
              <w:spacing w:after="0" w:line="240" w:lineRule="auto"/>
              <w:rPr>
                <w:rFonts w:ascii="Century Schoolbook" w:eastAsia="Times New Roman" w:hAnsi="Century Schoolbook" w:cs="Times New Roman"/>
                <w:color w:val="000000"/>
                <w:sz w:val="20"/>
                <w:szCs w:val="20"/>
              </w:rPr>
            </w:pPr>
          </w:p>
        </w:tc>
        <w:tc>
          <w:tcPr>
            <w:tcW w:w="556" w:type="pct"/>
            <w:gridSpan w:val="2"/>
            <w:vMerge/>
            <w:tcBorders>
              <w:top w:val="nil"/>
              <w:left w:val="nil"/>
              <w:bottom w:val="single" w:sz="4" w:space="0" w:color="000000"/>
              <w:right w:val="nil"/>
            </w:tcBorders>
            <w:vAlign w:val="center"/>
            <w:hideMark/>
          </w:tcPr>
          <w:p w14:paraId="370A1359" w14:textId="77777777" w:rsidR="00F770FF" w:rsidRPr="00EC42F7" w:rsidRDefault="00F770FF" w:rsidP="009704E4">
            <w:pPr>
              <w:spacing w:after="0" w:line="240" w:lineRule="auto"/>
              <w:rPr>
                <w:rFonts w:ascii="Century Schoolbook" w:eastAsia="Times New Roman" w:hAnsi="Century Schoolbook" w:cs="Times New Roman"/>
                <w:color w:val="000000"/>
                <w:sz w:val="20"/>
                <w:szCs w:val="20"/>
              </w:rPr>
            </w:pPr>
          </w:p>
        </w:tc>
        <w:tc>
          <w:tcPr>
            <w:tcW w:w="196" w:type="pct"/>
            <w:tcBorders>
              <w:top w:val="nil"/>
              <w:left w:val="nil"/>
              <w:bottom w:val="nil"/>
              <w:right w:val="nil"/>
            </w:tcBorders>
            <w:shd w:val="clear" w:color="auto" w:fill="auto"/>
            <w:vAlign w:val="center"/>
            <w:hideMark/>
          </w:tcPr>
          <w:p w14:paraId="18950FE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21" w:type="pct"/>
            <w:gridSpan w:val="2"/>
            <w:tcBorders>
              <w:top w:val="nil"/>
              <w:left w:val="nil"/>
              <w:bottom w:val="single" w:sz="4" w:space="0" w:color="auto"/>
              <w:right w:val="nil"/>
            </w:tcBorders>
            <w:shd w:val="clear" w:color="auto" w:fill="auto"/>
            <w:noWrap/>
            <w:vAlign w:val="center"/>
            <w:hideMark/>
          </w:tcPr>
          <w:p w14:paraId="298FF134" w14:textId="77777777" w:rsidR="00F770FF" w:rsidRPr="00EC42F7" w:rsidRDefault="00F770FF" w:rsidP="009704E4">
            <w:pPr>
              <w:spacing w:after="0" w:line="240" w:lineRule="auto"/>
              <w:jc w:val="center"/>
              <w:rPr>
                <w:rFonts w:ascii="Century Schoolbook" w:eastAsia="Times New Roman" w:hAnsi="Century Schoolbook" w:cs="Times New Roman"/>
                <w:color w:val="000000"/>
              </w:rPr>
            </w:pPr>
            <w:r w:rsidRPr="00EC42F7">
              <w:rPr>
                <w:rFonts w:ascii="Century Schoolbook" w:eastAsia="Times New Roman" w:hAnsi="Century Schoolbook" w:cs="Times New Roman"/>
                <w:color w:val="000000"/>
              </w:rPr>
              <w:t>#</w:t>
            </w:r>
          </w:p>
        </w:tc>
        <w:tc>
          <w:tcPr>
            <w:tcW w:w="479" w:type="pct"/>
            <w:gridSpan w:val="2"/>
            <w:tcBorders>
              <w:top w:val="nil"/>
              <w:left w:val="nil"/>
              <w:bottom w:val="single" w:sz="4" w:space="0" w:color="auto"/>
              <w:right w:val="nil"/>
            </w:tcBorders>
            <w:shd w:val="clear" w:color="auto" w:fill="auto"/>
            <w:vAlign w:val="center"/>
            <w:hideMark/>
          </w:tcPr>
          <w:p w14:paraId="12251B0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w:t>
            </w:r>
          </w:p>
        </w:tc>
        <w:tc>
          <w:tcPr>
            <w:tcW w:w="196" w:type="pct"/>
            <w:gridSpan w:val="2"/>
            <w:tcBorders>
              <w:top w:val="nil"/>
              <w:left w:val="nil"/>
              <w:bottom w:val="nil"/>
              <w:right w:val="nil"/>
            </w:tcBorders>
            <w:shd w:val="clear" w:color="auto" w:fill="auto"/>
            <w:vAlign w:val="center"/>
            <w:hideMark/>
          </w:tcPr>
          <w:p w14:paraId="348AABC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single" w:sz="4" w:space="0" w:color="auto"/>
              <w:right w:val="nil"/>
            </w:tcBorders>
            <w:shd w:val="clear" w:color="auto" w:fill="auto"/>
            <w:noWrap/>
            <w:vAlign w:val="center"/>
            <w:hideMark/>
          </w:tcPr>
          <w:p w14:paraId="46ED52D4" w14:textId="77777777" w:rsidR="00F770FF" w:rsidRPr="00EC42F7" w:rsidRDefault="00F770FF" w:rsidP="009704E4">
            <w:pPr>
              <w:spacing w:after="0" w:line="240" w:lineRule="auto"/>
              <w:jc w:val="center"/>
              <w:rPr>
                <w:rFonts w:ascii="Century Schoolbook" w:eastAsia="Times New Roman" w:hAnsi="Century Schoolbook" w:cs="Times New Roman"/>
                <w:color w:val="000000"/>
              </w:rPr>
            </w:pPr>
            <w:r w:rsidRPr="00EC42F7">
              <w:rPr>
                <w:rFonts w:ascii="Century Schoolbook" w:eastAsia="Times New Roman" w:hAnsi="Century Schoolbook" w:cs="Times New Roman"/>
                <w:color w:val="000000"/>
              </w:rPr>
              <w:t>#</w:t>
            </w:r>
          </w:p>
        </w:tc>
        <w:tc>
          <w:tcPr>
            <w:tcW w:w="516" w:type="pct"/>
            <w:gridSpan w:val="2"/>
            <w:tcBorders>
              <w:top w:val="nil"/>
              <w:left w:val="nil"/>
              <w:bottom w:val="single" w:sz="4" w:space="0" w:color="auto"/>
              <w:right w:val="nil"/>
            </w:tcBorders>
            <w:shd w:val="clear" w:color="auto" w:fill="auto"/>
            <w:vAlign w:val="center"/>
            <w:hideMark/>
          </w:tcPr>
          <w:p w14:paraId="198F5ED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w:t>
            </w:r>
          </w:p>
        </w:tc>
        <w:tc>
          <w:tcPr>
            <w:tcW w:w="196" w:type="pct"/>
            <w:tcBorders>
              <w:top w:val="nil"/>
              <w:left w:val="nil"/>
              <w:bottom w:val="nil"/>
              <w:right w:val="nil"/>
            </w:tcBorders>
            <w:shd w:val="clear" w:color="auto" w:fill="auto"/>
            <w:vAlign w:val="center"/>
            <w:hideMark/>
          </w:tcPr>
          <w:p w14:paraId="2C353C9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single" w:sz="4" w:space="0" w:color="auto"/>
              <w:right w:val="nil"/>
            </w:tcBorders>
            <w:shd w:val="clear" w:color="auto" w:fill="auto"/>
            <w:noWrap/>
            <w:vAlign w:val="center"/>
            <w:hideMark/>
          </w:tcPr>
          <w:p w14:paraId="1161227A" w14:textId="77777777" w:rsidR="00F770FF" w:rsidRPr="00EC42F7" w:rsidRDefault="00F770FF" w:rsidP="009704E4">
            <w:pPr>
              <w:spacing w:after="0" w:line="240" w:lineRule="auto"/>
              <w:jc w:val="center"/>
              <w:rPr>
                <w:rFonts w:ascii="Century Schoolbook" w:eastAsia="Times New Roman" w:hAnsi="Century Schoolbook" w:cs="Times New Roman"/>
                <w:color w:val="000000"/>
              </w:rPr>
            </w:pPr>
            <w:r w:rsidRPr="00EC42F7">
              <w:rPr>
                <w:rFonts w:ascii="Century Schoolbook" w:eastAsia="Times New Roman" w:hAnsi="Century Schoolbook" w:cs="Times New Roman"/>
                <w:color w:val="000000"/>
              </w:rPr>
              <w:t>#</w:t>
            </w:r>
          </w:p>
        </w:tc>
        <w:tc>
          <w:tcPr>
            <w:tcW w:w="403" w:type="pct"/>
            <w:tcBorders>
              <w:top w:val="nil"/>
              <w:left w:val="nil"/>
              <w:bottom w:val="single" w:sz="4" w:space="0" w:color="auto"/>
              <w:right w:val="nil"/>
            </w:tcBorders>
            <w:shd w:val="clear" w:color="auto" w:fill="auto"/>
            <w:vAlign w:val="center"/>
            <w:hideMark/>
          </w:tcPr>
          <w:p w14:paraId="567464B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w:t>
            </w:r>
          </w:p>
        </w:tc>
      </w:tr>
      <w:tr w:rsidR="0023576E" w:rsidRPr="00EC42F7" w14:paraId="142939B7"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5273D64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1996</w:t>
            </w:r>
          </w:p>
        </w:tc>
        <w:tc>
          <w:tcPr>
            <w:tcW w:w="556" w:type="pct"/>
            <w:gridSpan w:val="2"/>
            <w:tcBorders>
              <w:top w:val="nil"/>
              <w:left w:val="nil"/>
              <w:bottom w:val="nil"/>
              <w:right w:val="nil"/>
            </w:tcBorders>
            <w:shd w:val="clear" w:color="000000" w:fill="FFFFFF"/>
            <w:hideMark/>
          </w:tcPr>
          <w:p w14:paraId="40F0A0E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521</w:t>
            </w:r>
          </w:p>
        </w:tc>
        <w:tc>
          <w:tcPr>
            <w:tcW w:w="196" w:type="pct"/>
            <w:tcBorders>
              <w:top w:val="nil"/>
              <w:left w:val="nil"/>
              <w:bottom w:val="nil"/>
              <w:right w:val="nil"/>
            </w:tcBorders>
            <w:shd w:val="clear" w:color="000000" w:fill="FFFFFF"/>
            <w:hideMark/>
          </w:tcPr>
          <w:p w14:paraId="6A5AD8A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3A37353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69</w:t>
            </w:r>
          </w:p>
        </w:tc>
        <w:tc>
          <w:tcPr>
            <w:tcW w:w="479" w:type="pct"/>
            <w:gridSpan w:val="2"/>
            <w:tcBorders>
              <w:top w:val="nil"/>
              <w:left w:val="nil"/>
              <w:bottom w:val="nil"/>
              <w:right w:val="nil"/>
            </w:tcBorders>
            <w:shd w:val="clear" w:color="auto" w:fill="auto"/>
            <w:hideMark/>
          </w:tcPr>
          <w:p w14:paraId="730287E7"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13%</w:t>
            </w:r>
          </w:p>
        </w:tc>
        <w:tc>
          <w:tcPr>
            <w:tcW w:w="196" w:type="pct"/>
            <w:gridSpan w:val="2"/>
            <w:tcBorders>
              <w:top w:val="nil"/>
              <w:left w:val="nil"/>
              <w:bottom w:val="nil"/>
              <w:right w:val="nil"/>
            </w:tcBorders>
            <w:shd w:val="clear" w:color="auto" w:fill="auto"/>
            <w:hideMark/>
          </w:tcPr>
          <w:p w14:paraId="432496D7"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6DBB7B9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391</w:t>
            </w:r>
          </w:p>
        </w:tc>
        <w:tc>
          <w:tcPr>
            <w:tcW w:w="516" w:type="pct"/>
            <w:gridSpan w:val="2"/>
            <w:tcBorders>
              <w:top w:val="nil"/>
              <w:left w:val="nil"/>
              <w:bottom w:val="nil"/>
              <w:right w:val="nil"/>
            </w:tcBorders>
            <w:shd w:val="clear" w:color="auto" w:fill="auto"/>
            <w:hideMark/>
          </w:tcPr>
          <w:p w14:paraId="4C802BC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75%</w:t>
            </w:r>
          </w:p>
        </w:tc>
        <w:tc>
          <w:tcPr>
            <w:tcW w:w="196" w:type="pct"/>
            <w:tcBorders>
              <w:top w:val="nil"/>
              <w:left w:val="nil"/>
              <w:bottom w:val="nil"/>
              <w:right w:val="nil"/>
            </w:tcBorders>
            <w:shd w:val="clear" w:color="auto" w:fill="auto"/>
            <w:hideMark/>
          </w:tcPr>
          <w:p w14:paraId="6C1BB9C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7EB2A3E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61</w:t>
            </w:r>
          </w:p>
        </w:tc>
        <w:tc>
          <w:tcPr>
            <w:tcW w:w="403" w:type="pct"/>
            <w:tcBorders>
              <w:top w:val="nil"/>
              <w:left w:val="nil"/>
              <w:bottom w:val="nil"/>
              <w:right w:val="nil"/>
            </w:tcBorders>
            <w:shd w:val="clear" w:color="auto" w:fill="auto"/>
            <w:hideMark/>
          </w:tcPr>
          <w:p w14:paraId="264730D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12%</w:t>
            </w:r>
          </w:p>
        </w:tc>
      </w:tr>
      <w:tr w:rsidR="0023576E" w:rsidRPr="00EC42F7" w14:paraId="1D0FB820"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0C97EF4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1997</w:t>
            </w:r>
          </w:p>
        </w:tc>
        <w:tc>
          <w:tcPr>
            <w:tcW w:w="556" w:type="pct"/>
            <w:gridSpan w:val="2"/>
            <w:tcBorders>
              <w:top w:val="nil"/>
              <w:left w:val="nil"/>
              <w:bottom w:val="nil"/>
              <w:right w:val="nil"/>
            </w:tcBorders>
            <w:shd w:val="clear" w:color="000000" w:fill="FFFFFF"/>
            <w:hideMark/>
          </w:tcPr>
          <w:p w14:paraId="3BC27F4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816</w:t>
            </w:r>
          </w:p>
        </w:tc>
        <w:tc>
          <w:tcPr>
            <w:tcW w:w="196" w:type="pct"/>
            <w:tcBorders>
              <w:top w:val="nil"/>
              <w:left w:val="nil"/>
              <w:bottom w:val="nil"/>
              <w:right w:val="nil"/>
            </w:tcBorders>
            <w:shd w:val="clear" w:color="000000" w:fill="FFFFFF"/>
            <w:hideMark/>
          </w:tcPr>
          <w:p w14:paraId="2F99D1D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3B14C38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138</w:t>
            </w:r>
          </w:p>
        </w:tc>
        <w:tc>
          <w:tcPr>
            <w:tcW w:w="479" w:type="pct"/>
            <w:gridSpan w:val="2"/>
            <w:tcBorders>
              <w:top w:val="nil"/>
              <w:left w:val="nil"/>
              <w:bottom w:val="nil"/>
              <w:right w:val="nil"/>
            </w:tcBorders>
            <w:shd w:val="clear" w:color="auto" w:fill="auto"/>
            <w:hideMark/>
          </w:tcPr>
          <w:p w14:paraId="269F083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17%</w:t>
            </w:r>
          </w:p>
        </w:tc>
        <w:tc>
          <w:tcPr>
            <w:tcW w:w="196" w:type="pct"/>
            <w:gridSpan w:val="2"/>
            <w:tcBorders>
              <w:top w:val="nil"/>
              <w:left w:val="nil"/>
              <w:bottom w:val="nil"/>
              <w:right w:val="nil"/>
            </w:tcBorders>
            <w:shd w:val="clear" w:color="auto" w:fill="auto"/>
            <w:hideMark/>
          </w:tcPr>
          <w:p w14:paraId="3E0BC3F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646A5A6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591</w:t>
            </w:r>
          </w:p>
        </w:tc>
        <w:tc>
          <w:tcPr>
            <w:tcW w:w="516" w:type="pct"/>
            <w:gridSpan w:val="2"/>
            <w:tcBorders>
              <w:top w:val="nil"/>
              <w:left w:val="nil"/>
              <w:bottom w:val="nil"/>
              <w:right w:val="nil"/>
            </w:tcBorders>
            <w:shd w:val="clear" w:color="auto" w:fill="auto"/>
            <w:hideMark/>
          </w:tcPr>
          <w:p w14:paraId="5F1A588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72%</w:t>
            </w:r>
          </w:p>
        </w:tc>
        <w:tc>
          <w:tcPr>
            <w:tcW w:w="196" w:type="pct"/>
            <w:tcBorders>
              <w:top w:val="nil"/>
              <w:left w:val="nil"/>
              <w:bottom w:val="nil"/>
              <w:right w:val="nil"/>
            </w:tcBorders>
            <w:shd w:val="clear" w:color="auto" w:fill="auto"/>
            <w:hideMark/>
          </w:tcPr>
          <w:p w14:paraId="10C27D8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1057232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87</w:t>
            </w:r>
          </w:p>
        </w:tc>
        <w:tc>
          <w:tcPr>
            <w:tcW w:w="403" w:type="pct"/>
            <w:tcBorders>
              <w:top w:val="nil"/>
              <w:left w:val="nil"/>
              <w:bottom w:val="nil"/>
              <w:right w:val="nil"/>
            </w:tcBorders>
            <w:shd w:val="clear" w:color="auto" w:fill="auto"/>
            <w:hideMark/>
          </w:tcPr>
          <w:p w14:paraId="79ED3B7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w:t>
            </w:r>
          </w:p>
        </w:tc>
      </w:tr>
      <w:tr w:rsidR="0023576E" w:rsidRPr="00EC42F7" w14:paraId="52FDB466"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7F17606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1998</w:t>
            </w:r>
          </w:p>
        </w:tc>
        <w:tc>
          <w:tcPr>
            <w:tcW w:w="556" w:type="pct"/>
            <w:gridSpan w:val="2"/>
            <w:tcBorders>
              <w:top w:val="nil"/>
              <w:left w:val="nil"/>
              <w:bottom w:val="nil"/>
              <w:right w:val="nil"/>
            </w:tcBorders>
            <w:shd w:val="clear" w:color="000000" w:fill="FFFFFF"/>
            <w:hideMark/>
          </w:tcPr>
          <w:p w14:paraId="3ED9C21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934</w:t>
            </w:r>
          </w:p>
        </w:tc>
        <w:tc>
          <w:tcPr>
            <w:tcW w:w="196" w:type="pct"/>
            <w:tcBorders>
              <w:top w:val="nil"/>
              <w:left w:val="nil"/>
              <w:bottom w:val="nil"/>
              <w:right w:val="nil"/>
            </w:tcBorders>
            <w:shd w:val="clear" w:color="000000" w:fill="FFFFFF"/>
            <w:hideMark/>
          </w:tcPr>
          <w:p w14:paraId="42F76CE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2918D7FE"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193</w:t>
            </w:r>
          </w:p>
        </w:tc>
        <w:tc>
          <w:tcPr>
            <w:tcW w:w="479" w:type="pct"/>
            <w:gridSpan w:val="2"/>
            <w:tcBorders>
              <w:top w:val="nil"/>
              <w:left w:val="nil"/>
              <w:bottom w:val="nil"/>
              <w:right w:val="nil"/>
            </w:tcBorders>
            <w:shd w:val="clear" w:color="auto" w:fill="auto"/>
            <w:hideMark/>
          </w:tcPr>
          <w:p w14:paraId="3923067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21%</w:t>
            </w:r>
          </w:p>
        </w:tc>
        <w:tc>
          <w:tcPr>
            <w:tcW w:w="196" w:type="pct"/>
            <w:gridSpan w:val="2"/>
            <w:tcBorders>
              <w:top w:val="nil"/>
              <w:left w:val="nil"/>
              <w:bottom w:val="nil"/>
              <w:right w:val="nil"/>
            </w:tcBorders>
            <w:shd w:val="clear" w:color="auto" w:fill="auto"/>
            <w:hideMark/>
          </w:tcPr>
          <w:p w14:paraId="0FBBB8E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2FB06BA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651</w:t>
            </w:r>
          </w:p>
        </w:tc>
        <w:tc>
          <w:tcPr>
            <w:tcW w:w="516" w:type="pct"/>
            <w:gridSpan w:val="2"/>
            <w:tcBorders>
              <w:top w:val="nil"/>
              <w:left w:val="nil"/>
              <w:bottom w:val="nil"/>
              <w:right w:val="nil"/>
            </w:tcBorders>
            <w:shd w:val="clear" w:color="auto" w:fill="auto"/>
            <w:hideMark/>
          </w:tcPr>
          <w:p w14:paraId="1E1FA0D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70%</w:t>
            </w:r>
          </w:p>
        </w:tc>
        <w:tc>
          <w:tcPr>
            <w:tcW w:w="196" w:type="pct"/>
            <w:tcBorders>
              <w:top w:val="nil"/>
              <w:left w:val="nil"/>
              <w:bottom w:val="nil"/>
              <w:right w:val="nil"/>
            </w:tcBorders>
            <w:shd w:val="clear" w:color="auto" w:fill="auto"/>
            <w:hideMark/>
          </w:tcPr>
          <w:p w14:paraId="3E694B0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686FB12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90</w:t>
            </w:r>
          </w:p>
        </w:tc>
        <w:tc>
          <w:tcPr>
            <w:tcW w:w="403" w:type="pct"/>
            <w:tcBorders>
              <w:top w:val="nil"/>
              <w:left w:val="nil"/>
              <w:bottom w:val="nil"/>
              <w:right w:val="nil"/>
            </w:tcBorders>
            <w:shd w:val="clear" w:color="auto" w:fill="auto"/>
            <w:hideMark/>
          </w:tcPr>
          <w:p w14:paraId="1FEC9AD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w:t>
            </w:r>
          </w:p>
        </w:tc>
      </w:tr>
      <w:tr w:rsidR="0023576E" w:rsidRPr="00EC42F7" w14:paraId="2C123C91"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69FE9C0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1999</w:t>
            </w:r>
          </w:p>
        </w:tc>
        <w:tc>
          <w:tcPr>
            <w:tcW w:w="556" w:type="pct"/>
            <w:gridSpan w:val="2"/>
            <w:tcBorders>
              <w:top w:val="nil"/>
              <w:left w:val="nil"/>
              <w:bottom w:val="nil"/>
              <w:right w:val="nil"/>
            </w:tcBorders>
            <w:shd w:val="clear" w:color="000000" w:fill="FFFFFF"/>
            <w:hideMark/>
          </w:tcPr>
          <w:p w14:paraId="67B46C6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1106</w:t>
            </w:r>
          </w:p>
        </w:tc>
        <w:tc>
          <w:tcPr>
            <w:tcW w:w="196" w:type="pct"/>
            <w:tcBorders>
              <w:top w:val="nil"/>
              <w:left w:val="nil"/>
              <w:bottom w:val="nil"/>
              <w:right w:val="nil"/>
            </w:tcBorders>
            <w:shd w:val="clear" w:color="000000" w:fill="FFFFFF"/>
            <w:hideMark/>
          </w:tcPr>
          <w:p w14:paraId="0FAF2CD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4E581F4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241</w:t>
            </w:r>
          </w:p>
        </w:tc>
        <w:tc>
          <w:tcPr>
            <w:tcW w:w="479" w:type="pct"/>
            <w:gridSpan w:val="2"/>
            <w:tcBorders>
              <w:top w:val="nil"/>
              <w:left w:val="nil"/>
              <w:bottom w:val="nil"/>
              <w:right w:val="nil"/>
            </w:tcBorders>
            <w:shd w:val="clear" w:color="auto" w:fill="auto"/>
            <w:hideMark/>
          </w:tcPr>
          <w:p w14:paraId="25B3D0B7"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22%</w:t>
            </w:r>
          </w:p>
        </w:tc>
        <w:tc>
          <w:tcPr>
            <w:tcW w:w="196" w:type="pct"/>
            <w:gridSpan w:val="2"/>
            <w:tcBorders>
              <w:top w:val="nil"/>
              <w:left w:val="nil"/>
              <w:bottom w:val="nil"/>
              <w:right w:val="nil"/>
            </w:tcBorders>
            <w:shd w:val="clear" w:color="auto" w:fill="auto"/>
            <w:hideMark/>
          </w:tcPr>
          <w:p w14:paraId="7E5AB69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791CF02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765</w:t>
            </w:r>
          </w:p>
        </w:tc>
        <w:tc>
          <w:tcPr>
            <w:tcW w:w="516" w:type="pct"/>
            <w:gridSpan w:val="2"/>
            <w:tcBorders>
              <w:top w:val="nil"/>
              <w:left w:val="nil"/>
              <w:bottom w:val="nil"/>
              <w:right w:val="nil"/>
            </w:tcBorders>
            <w:shd w:val="clear" w:color="auto" w:fill="auto"/>
            <w:hideMark/>
          </w:tcPr>
          <w:p w14:paraId="6636659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69%</w:t>
            </w:r>
          </w:p>
        </w:tc>
        <w:tc>
          <w:tcPr>
            <w:tcW w:w="196" w:type="pct"/>
            <w:tcBorders>
              <w:top w:val="nil"/>
              <w:left w:val="nil"/>
              <w:bottom w:val="nil"/>
              <w:right w:val="nil"/>
            </w:tcBorders>
            <w:shd w:val="clear" w:color="auto" w:fill="auto"/>
            <w:hideMark/>
          </w:tcPr>
          <w:p w14:paraId="4FE3D56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727DB25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100</w:t>
            </w:r>
          </w:p>
        </w:tc>
        <w:tc>
          <w:tcPr>
            <w:tcW w:w="403" w:type="pct"/>
            <w:tcBorders>
              <w:top w:val="nil"/>
              <w:left w:val="nil"/>
              <w:bottom w:val="nil"/>
              <w:right w:val="nil"/>
            </w:tcBorders>
            <w:shd w:val="clear" w:color="auto" w:fill="auto"/>
            <w:hideMark/>
          </w:tcPr>
          <w:p w14:paraId="5B2EC39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9%</w:t>
            </w:r>
          </w:p>
        </w:tc>
      </w:tr>
      <w:tr w:rsidR="0023576E" w:rsidRPr="00EC42F7" w14:paraId="40059C8D"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52AA4FCE"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2000</w:t>
            </w:r>
          </w:p>
        </w:tc>
        <w:tc>
          <w:tcPr>
            <w:tcW w:w="556" w:type="pct"/>
            <w:gridSpan w:val="2"/>
            <w:tcBorders>
              <w:top w:val="nil"/>
              <w:left w:val="nil"/>
              <w:bottom w:val="nil"/>
              <w:right w:val="nil"/>
            </w:tcBorders>
            <w:shd w:val="clear" w:color="000000" w:fill="FFFFFF"/>
            <w:hideMark/>
          </w:tcPr>
          <w:p w14:paraId="6AC4767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1297</w:t>
            </w:r>
          </w:p>
        </w:tc>
        <w:tc>
          <w:tcPr>
            <w:tcW w:w="196" w:type="pct"/>
            <w:tcBorders>
              <w:top w:val="nil"/>
              <w:left w:val="nil"/>
              <w:bottom w:val="nil"/>
              <w:right w:val="nil"/>
            </w:tcBorders>
            <w:shd w:val="clear" w:color="000000" w:fill="FFFFFF"/>
            <w:hideMark/>
          </w:tcPr>
          <w:p w14:paraId="0E018AE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6C3A60F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293</w:t>
            </w:r>
          </w:p>
        </w:tc>
        <w:tc>
          <w:tcPr>
            <w:tcW w:w="479" w:type="pct"/>
            <w:gridSpan w:val="2"/>
            <w:tcBorders>
              <w:top w:val="nil"/>
              <w:left w:val="nil"/>
              <w:bottom w:val="nil"/>
              <w:right w:val="nil"/>
            </w:tcBorders>
            <w:shd w:val="clear" w:color="auto" w:fill="auto"/>
            <w:hideMark/>
          </w:tcPr>
          <w:p w14:paraId="16A69B2E"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23%</w:t>
            </w:r>
          </w:p>
        </w:tc>
        <w:tc>
          <w:tcPr>
            <w:tcW w:w="196" w:type="pct"/>
            <w:gridSpan w:val="2"/>
            <w:tcBorders>
              <w:top w:val="nil"/>
              <w:left w:val="nil"/>
              <w:bottom w:val="nil"/>
              <w:right w:val="nil"/>
            </w:tcBorders>
            <w:shd w:val="clear" w:color="auto" w:fill="auto"/>
            <w:hideMark/>
          </w:tcPr>
          <w:p w14:paraId="109BF71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4A6252B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868</w:t>
            </w:r>
          </w:p>
        </w:tc>
        <w:tc>
          <w:tcPr>
            <w:tcW w:w="516" w:type="pct"/>
            <w:gridSpan w:val="2"/>
            <w:tcBorders>
              <w:top w:val="nil"/>
              <w:left w:val="nil"/>
              <w:bottom w:val="nil"/>
              <w:right w:val="nil"/>
            </w:tcBorders>
            <w:shd w:val="clear" w:color="auto" w:fill="auto"/>
            <w:hideMark/>
          </w:tcPr>
          <w:p w14:paraId="390B326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67%</w:t>
            </w:r>
          </w:p>
        </w:tc>
        <w:tc>
          <w:tcPr>
            <w:tcW w:w="196" w:type="pct"/>
            <w:tcBorders>
              <w:top w:val="nil"/>
              <w:left w:val="nil"/>
              <w:bottom w:val="nil"/>
              <w:right w:val="nil"/>
            </w:tcBorders>
            <w:shd w:val="clear" w:color="auto" w:fill="auto"/>
            <w:hideMark/>
          </w:tcPr>
          <w:p w14:paraId="7D98AA8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64D2B71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136</w:t>
            </w:r>
          </w:p>
        </w:tc>
        <w:tc>
          <w:tcPr>
            <w:tcW w:w="403" w:type="pct"/>
            <w:tcBorders>
              <w:top w:val="nil"/>
              <w:left w:val="nil"/>
              <w:bottom w:val="nil"/>
              <w:right w:val="nil"/>
            </w:tcBorders>
            <w:shd w:val="clear" w:color="auto" w:fill="auto"/>
            <w:hideMark/>
          </w:tcPr>
          <w:p w14:paraId="02C7A4B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w:t>
            </w:r>
          </w:p>
        </w:tc>
      </w:tr>
      <w:tr w:rsidR="0023576E" w:rsidRPr="00EC42F7" w14:paraId="488F14FC"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325391E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2001</w:t>
            </w:r>
          </w:p>
        </w:tc>
        <w:tc>
          <w:tcPr>
            <w:tcW w:w="556" w:type="pct"/>
            <w:gridSpan w:val="2"/>
            <w:tcBorders>
              <w:top w:val="nil"/>
              <w:left w:val="nil"/>
              <w:bottom w:val="nil"/>
              <w:right w:val="nil"/>
            </w:tcBorders>
            <w:shd w:val="clear" w:color="000000" w:fill="FFFFFF"/>
            <w:hideMark/>
          </w:tcPr>
          <w:p w14:paraId="4B125DF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1327</w:t>
            </w:r>
          </w:p>
        </w:tc>
        <w:tc>
          <w:tcPr>
            <w:tcW w:w="196" w:type="pct"/>
            <w:tcBorders>
              <w:top w:val="nil"/>
              <w:left w:val="nil"/>
              <w:bottom w:val="nil"/>
              <w:right w:val="nil"/>
            </w:tcBorders>
            <w:shd w:val="clear" w:color="000000" w:fill="FFFFFF"/>
            <w:hideMark/>
          </w:tcPr>
          <w:p w14:paraId="1AAB5B9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3AE4A22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281</w:t>
            </w:r>
          </w:p>
        </w:tc>
        <w:tc>
          <w:tcPr>
            <w:tcW w:w="479" w:type="pct"/>
            <w:gridSpan w:val="2"/>
            <w:tcBorders>
              <w:top w:val="nil"/>
              <w:left w:val="nil"/>
              <w:bottom w:val="nil"/>
              <w:right w:val="nil"/>
            </w:tcBorders>
            <w:shd w:val="clear" w:color="auto" w:fill="auto"/>
            <w:hideMark/>
          </w:tcPr>
          <w:p w14:paraId="702E12F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21%</w:t>
            </w:r>
          </w:p>
        </w:tc>
        <w:tc>
          <w:tcPr>
            <w:tcW w:w="196" w:type="pct"/>
            <w:gridSpan w:val="2"/>
            <w:tcBorders>
              <w:top w:val="nil"/>
              <w:left w:val="nil"/>
              <w:bottom w:val="nil"/>
              <w:right w:val="nil"/>
            </w:tcBorders>
            <w:shd w:val="clear" w:color="auto" w:fill="auto"/>
            <w:hideMark/>
          </w:tcPr>
          <w:p w14:paraId="3299F17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56D1E99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909</w:t>
            </w:r>
          </w:p>
        </w:tc>
        <w:tc>
          <w:tcPr>
            <w:tcW w:w="516" w:type="pct"/>
            <w:gridSpan w:val="2"/>
            <w:tcBorders>
              <w:top w:val="nil"/>
              <w:left w:val="nil"/>
              <w:bottom w:val="nil"/>
              <w:right w:val="nil"/>
            </w:tcBorders>
            <w:shd w:val="clear" w:color="auto" w:fill="auto"/>
            <w:hideMark/>
          </w:tcPr>
          <w:p w14:paraId="4DFBA4B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69%</w:t>
            </w:r>
          </w:p>
        </w:tc>
        <w:tc>
          <w:tcPr>
            <w:tcW w:w="196" w:type="pct"/>
            <w:tcBorders>
              <w:top w:val="nil"/>
              <w:left w:val="nil"/>
              <w:bottom w:val="nil"/>
              <w:right w:val="nil"/>
            </w:tcBorders>
            <w:shd w:val="clear" w:color="auto" w:fill="auto"/>
            <w:hideMark/>
          </w:tcPr>
          <w:p w14:paraId="49E9FBC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306D0D8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137</w:t>
            </w:r>
          </w:p>
        </w:tc>
        <w:tc>
          <w:tcPr>
            <w:tcW w:w="403" w:type="pct"/>
            <w:tcBorders>
              <w:top w:val="nil"/>
              <w:left w:val="nil"/>
              <w:bottom w:val="nil"/>
              <w:right w:val="nil"/>
            </w:tcBorders>
            <w:shd w:val="clear" w:color="auto" w:fill="auto"/>
            <w:hideMark/>
          </w:tcPr>
          <w:p w14:paraId="62AE01F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w:t>
            </w:r>
          </w:p>
        </w:tc>
      </w:tr>
      <w:tr w:rsidR="0023576E" w:rsidRPr="00EC42F7" w14:paraId="2FB9E572"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3424EBB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2002</w:t>
            </w:r>
          </w:p>
        </w:tc>
        <w:tc>
          <w:tcPr>
            <w:tcW w:w="556" w:type="pct"/>
            <w:gridSpan w:val="2"/>
            <w:tcBorders>
              <w:top w:val="nil"/>
              <w:left w:val="nil"/>
              <w:bottom w:val="nil"/>
              <w:right w:val="nil"/>
            </w:tcBorders>
            <w:shd w:val="clear" w:color="000000" w:fill="FFFFFF"/>
            <w:hideMark/>
          </w:tcPr>
          <w:p w14:paraId="077412C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1336</w:t>
            </w:r>
          </w:p>
        </w:tc>
        <w:tc>
          <w:tcPr>
            <w:tcW w:w="196" w:type="pct"/>
            <w:tcBorders>
              <w:top w:val="nil"/>
              <w:left w:val="nil"/>
              <w:bottom w:val="nil"/>
              <w:right w:val="nil"/>
            </w:tcBorders>
            <w:shd w:val="clear" w:color="000000" w:fill="FFFFFF"/>
            <w:hideMark/>
          </w:tcPr>
          <w:p w14:paraId="0B01AF8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5AB7368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269</w:t>
            </w:r>
          </w:p>
        </w:tc>
        <w:tc>
          <w:tcPr>
            <w:tcW w:w="479" w:type="pct"/>
            <w:gridSpan w:val="2"/>
            <w:tcBorders>
              <w:top w:val="nil"/>
              <w:left w:val="nil"/>
              <w:bottom w:val="nil"/>
              <w:right w:val="nil"/>
            </w:tcBorders>
            <w:shd w:val="clear" w:color="auto" w:fill="auto"/>
            <w:hideMark/>
          </w:tcPr>
          <w:p w14:paraId="41B33E7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w:t>
            </w:r>
          </w:p>
        </w:tc>
        <w:tc>
          <w:tcPr>
            <w:tcW w:w="196" w:type="pct"/>
            <w:gridSpan w:val="2"/>
            <w:tcBorders>
              <w:top w:val="nil"/>
              <w:left w:val="nil"/>
              <w:bottom w:val="nil"/>
              <w:right w:val="nil"/>
            </w:tcBorders>
            <w:shd w:val="clear" w:color="auto" w:fill="auto"/>
            <w:hideMark/>
          </w:tcPr>
          <w:p w14:paraId="146F62C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102C103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942</w:t>
            </w:r>
          </w:p>
        </w:tc>
        <w:tc>
          <w:tcPr>
            <w:tcW w:w="516" w:type="pct"/>
            <w:gridSpan w:val="2"/>
            <w:tcBorders>
              <w:top w:val="nil"/>
              <w:left w:val="nil"/>
              <w:bottom w:val="nil"/>
              <w:right w:val="nil"/>
            </w:tcBorders>
            <w:shd w:val="clear" w:color="auto" w:fill="auto"/>
            <w:hideMark/>
          </w:tcPr>
          <w:p w14:paraId="05776EE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71%</w:t>
            </w:r>
          </w:p>
        </w:tc>
        <w:tc>
          <w:tcPr>
            <w:tcW w:w="196" w:type="pct"/>
            <w:tcBorders>
              <w:top w:val="nil"/>
              <w:left w:val="nil"/>
              <w:bottom w:val="nil"/>
              <w:right w:val="nil"/>
            </w:tcBorders>
            <w:shd w:val="clear" w:color="auto" w:fill="auto"/>
            <w:hideMark/>
          </w:tcPr>
          <w:p w14:paraId="51E6EBC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22F063A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125</w:t>
            </w:r>
          </w:p>
        </w:tc>
        <w:tc>
          <w:tcPr>
            <w:tcW w:w="403" w:type="pct"/>
            <w:tcBorders>
              <w:top w:val="nil"/>
              <w:left w:val="nil"/>
              <w:bottom w:val="nil"/>
              <w:right w:val="nil"/>
            </w:tcBorders>
            <w:shd w:val="clear" w:color="auto" w:fill="auto"/>
            <w:hideMark/>
          </w:tcPr>
          <w:p w14:paraId="7B2AB04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9%</w:t>
            </w:r>
          </w:p>
        </w:tc>
      </w:tr>
      <w:tr w:rsidR="0023576E" w:rsidRPr="00EC42F7" w14:paraId="08DCA154"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09A402E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2003</w:t>
            </w:r>
          </w:p>
        </w:tc>
        <w:tc>
          <w:tcPr>
            <w:tcW w:w="556" w:type="pct"/>
            <w:gridSpan w:val="2"/>
            <w:tcBorders>
              <w:top w:val="nil"/>
              <w:left w:val="nil"/>
              <w:bottom w:val="nil"/>
              <w:right w:val="nil"/>
            </w:tcBorders>
            <w:shd w:val="clear" w:color="000000" w:fill="FFFFFF"/>
            <w:hideMark/>
          </w:tcPr>
          <w:p w14:paraId="740F61F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1602</w:t>
            </w:r>
          </w:p>
        </w:tc>
        <w:tc>
          <w:tcPr>
            <w:tcW w:w="196" w:type="pct"/>
            <w:tcBorders>
              <w:top w:val="nil"/>
              <w:left w:val="nil"/>
              <w:bottom w:val="nil"/>
              <w:right w:val="nil"/>
            </w:tcBorders>
            <w:shd w:val="clear" w:color="000000" w:fill="FFFFFF"/>
            <w:hideMark/>
          </w:tcPr>
          <w:p w14:paraId="0D2EB7C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544CD57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285</w:t>
            </w:r>
          </w:p>
        </w:tc>
        <w:tc>
          <w:tcPr>
            <w:tcW w:w="479" w:type="pct"/>
            <w:gridSpan w:val="2"/>
            <w:tcBorders>
              <w:top w:val="nil"/>
              <w:left w:val="nil"/>
              <w:bottom w:val="nil"/>
              <w:right w:val="nil"/>
            </w:tcBorders>
            <w:shd w:val="clear" w:color="auto" w:fill="auto"/>
            <w:hideMark/>
          </w:tcPr>
          <w:p w14:paraId="22A5E1FE"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18%</w:t>
            </w:r>
          </w:p>
        </w:tc>
        <w:tc>
          <w:tcPr>
            <w:tcW w:w="196" w:type="pct"/>
            <w:gridSpan w:val="2"/>
            <w:tcBorders>
              <w:top w:val="nil"/>
              <w:left w:val="nil"/>
              <w:bottom w:val="nil"/>
              <w:right w:val="nil"/>
            </w:tcBorders>
            <w:shd w:val="clear" w:color="auto" w:fill="auto"/>
            <w:hideMark/>
          </w:tcPr>
          <w:p w14:paraId="50DB83B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105A124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1104</w:t>
            </w:r>
          </w:p>
        </w:tc>
        <w:tc>
          <w:tcPr>
            <w:tcW w:w="516" w:type="pct"/>
            <w:gridSpan w:val="2"/>
            <w:tcBorders>
              <w:top w:val="nil"/>
              <w:left w:val="nil"/>
              <w:bottom w:val="nil"/>
              <w:right w:val="nil"/>
            </w:tcBorders>
            <w:shd w:val="clear" w:color="auto" w:fill="auto"/>
            <w:hideMark/>
          </w:tcPr>
          <w:p w14:paraId="6A7AEF4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69%</w:t>
            </w:r>
          </w:p>
        </w:tc>
        <w:tc>
          <w:tcPr>
            <w:tcW w:w="196" w:type="pct"/>
            <w:tcBorders>
              <w:top w:val="nil"/>
              <w:left w:val="nil"/>
              <w:bottom w:val="nil"/>
              <w:right w:val="nil"/>
            </w:tcBorders>
            <w:shd w:val="clear" w:color="auto" w:fill="auto"/>
            <w:hideMark/>
          </w:tcPr>
          <w:p w14:paraId="09394777"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7577523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213</w:t>
            </w:r>
          </w:p>
        </w:tc>
        <w:tc>
          <w:tcPr>
            <w:tcW w:w="403" w:type="pct"/>
            <w:tcBorders>
              <w:top w:val="nil"/>
              <w:left w:val="nil"/>
              <w:bottom w:val="nil"/>
              <w:right w:val="nil"/>
            </w:tcBorders>
            <w:shd w:val="clear" w:color="auto" w:fill="auto"/>
            <w:hideMark/>
          </w:tcPr>
          <w:p w14:paraId="7D999B0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13%</w:t>
            </w:r>
          </w:p>
        </w:tc>
      </w:tr>
      <w:tr w:rsidR="0023576E" w:rsidRPr="00EC42F7" w14:paraId="1B06F67D"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1325C1E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2004</w:t>
            </w:r>
          </w:p>
        </w:tc>
        <w:tc>
          <w:tcPr>
            <w:tcW w:w="556" w:type="pct"/>
            <w:gridSpan w:val="2"/>
            <w:tcBorders>
              <w:top w:val="nil"/>
              <w:left w:val="nil"/>
              <w:bottom w:val="nil"/>
              <w:right w:val="nil"/>
            </w:tcBorders>
            <w:shd w:val="clear" w:color="000000" w:fill="FFFFFF"/>
            <w:hideMark/>
          </w:tcPr>
          <w:p w14:paraId="2A8C58BE"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1714</w:t>
            </w:r>
          </w:p>
        </w:tc>
        <w:tc>
          <w:tcPr>
            <w:tcW w:w="196" w:type="pct"/>
            <w:tcBorders>
              <w:top w:val="nil"/>
              <w:left w:val="nil"/>
              <w:bottom w:val="nil"/>
              <w:right w:val="nil"/>
            </w:tcBorders>
            <w:shd w:val="clear" w:color="000000" w:fill="FFFFFF"/>
            <w:hideMark/>
          </w:tcPr>
          <w:p w14:paraId="65352FB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447540C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282</w:t>
            </w:r>
          </w:p>
        </w:tc>
        <w:tc>
          <w:tcPr>
            <w:tcW w:w="479" w:type="pct"/>
            <w:gridSpan w:val="2"/>
            <w:tcBorders>
              <w:top w:val="nil"/>
              <w:left w:val="nil"/>
              <w:bottom w:val="nil"/>
              <w:right w:val="nil"/>
            </w:tcBorders>
            <w:shd w:val="clear" w:color="auto" w:fill="auto"/>
            <w:hideMark/>
          </w:tcPr>
          <w:p w14:paraId="6142C0F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w:t>
            </w:r>
          </w:p>
        </w:tc>
        <w:tc>
          <w:tcPr>
            <w:tcW w:w="196" w:type="pct"/>
            <w:gridSpan w:val="2"/>
            <w:tcBorders>
              <w:top w:val="nil"/>
              <w:left w:val="nil"/>
              <w:bottom w:val="nil"/>
              <w:right w:val="nil"/>
            </w:tcBorders>
            <w:shd w:val="clear" w:color="auto" w:fill="auto"/>
            <w:hideMark/>
          </w:tcPr>
          <w:p w14:paraId="58F1F08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54A4CC8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1204</w:t>
            </w:r>
          </w:p>
        </w:tc>
        <w:tc>
          <w:tcPr>
            <w:tcW w:w="516" w:type="pct"/>
            <w:gridSpan w:val="2"/>
            <w:tcBorders>
              <w:top w:val="nil"/>
              <w:left w:val="nil"/>
              <w:bottom w:val="nil"/>
              <w:right w:val="nil"/>
            </w:tcBorders>
            <w:shd w:val="clear" w:color="auto" w:fill="auto"/>
            <w:hideMark/>
          </w:tcPr>
          <w:p w14:paraId="5147F37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70%</w:t>
            </w:r>
          </w:p>
        </w:tc>
        <w:tc>
          <w:tcPr>
            <w:tcW w:w="196" w:type="pct"/>
            <w:tcBorders>
              <w:top w:val="nil"/>
              <w:left w:val="nil"/>
              <w:bottom w:val="nil"/>
              <w:right w:val="nil"/>
            </w:tcBorders>
            <w:shd w:val="clear" w:color="auto" w:fill="auto"/>
            <w:hideMark/>
          </w:tcPr>
          <w:p w14:paraId="50542FE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48BEFE5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228</w:t>
            </w:r>
          </w:p>
        </w:tc>
        <w:tc>
          <w:tcPr>
            <w:tcW w:w="403" w:type="pct"/>
            <w:tcBorders>
              <w:top w:val="nil"/>
              <w:left w:val="nil"/>
              <w:bottom w:val="nil"/>
              <w:right w:val="nil"/>
            </w:tcBorders>
            <w:shd w:val="clear" w:color="auto" w:fill="auto"/>
            <w:hideMark/>
          </w:tcPr>
          <w:p w14:paraId="62315E9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13%</w:t>
            </w:r>
          </w:p>
        </w:tc>
      </w:tr>
      <w:tr w:rsidR="0023576E" w:rsidRPr="00EC42F7" w14:paraId="402BA05F"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752AEA4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2005</w:t>
            </w:r>
          </w:p>
        </w:tc>
        <w:tc>
          <w:tcPr>
            <w:tcW w:w="556" w:type="pct"/>
            <w:gridSpan w:val="2"/>
            <w:tcBorders>
              <w:top w:val="nil"/>
              <w:left w:val="nil"/>
              <w:bottom w:val="nil"/>
              <w:right w:val="nil"/>
            </w:tcBorders>
            <w:shd w:val="clear" w:color="000000" w:fill="FFFFFF"/>
            <w:hideMark/>
          </w:tcPr>
          <w:p w14:paraId="0A69BF7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1692</w:t>
            </w:r>
          </w:p>
        </w:tc>
        <w:tc>
          <w:tcPr>
            <w:tcW w:w="196" w:type="pct"/>
            <w:tcBorders>
              <w:top w:val="nil"/>
              <w:left w:val="nil"/>
              <w:bottom w:val="nil"/>
              <w:right w:val="nil"/>
            </w:tcBorders>
            <w:shd w:val="clear" w:color="000000" w:fill="FFFFFF"/>
            <w:hideMark/>
          </w:tcPr>
          <w:p w14:paraId="15E2276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200E234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306</w:t>
            </w:r>
          </w:p>
        </w:tc>
        <w:tc>
          <w:tcPr>
            <w:tcW w:w="479" w:type="pct"/>
            <w:gridSpan w:val="2"/>
            <w:tcBorders>
              <w:top w:val="nil"/>
              <w:left w:val="nil"/>
              <w:bottom w:val="nil"/>
              <w:right w:val="nil"/>
            </w:tcBorders>
            <w:shd w:val="clear" w:color="auto" w:fill="auto"/>
            <w:hideMark/>
          </w:tcPr>
          <w:p w14:paraId="596B857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18%</w:t>
            </w:r>
          </w:p>
        </w:tc>
        <w:tc>
          <w:tcPr>
            <w:tcW w:w="196" w:type="pct"/>
            <w:gridSpan w:val="2"/>
            <w:tcBorders>
              <w:top w:val="nil"/>
              <w:left w:val="nil"/>
              <w:bottom w:val="nil"/>
              <w:right w:val="nil"/>
            </w:tcBorders>
            <w:shd w:val="clear" w:color="auto" w:fill="auto"/>
            <w:hideMark/>
          </w:tcPr>
          <w:p w14:paraId="0CEB6AE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3E7065B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1186</w:t>
            </w:r>
          </w:p>
        </w:tc>
        <w:tc>
          <w:tcPr>
            <w:tcW w:w="516" w:type="pct"/>
            <w:gridSpan w:val="2"/>
            <w:tcBorders>
              <w:top w:val="nil"/>
              <w:left w:val="nil"/>
              <w:bottom w:val="nil"/>
              <w:right w:val="nil"/>
            </w:tcBorders>
            <w:shd w:val="clear" w:color="auto" w:fill="auto"/>
            <w:hideMark/>
          </w:tcPr>
          <w:p w14:paraId="78FA58B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70%</w:t>
            </w:r>
          </w:p>
        </w:tc>
        <w:tc>
          <w:tcPr>
            <w:tcW w:w="196" w:type="pct"/>
            <w:tcBorders>
              <w:top w:val="nil"/>
              <w:left w:val="nil"/>
              <w:bottom w:val="nil"/>
              <w:right w:val="nil"/>
            </w:tcBorders>
            <w:shd w:val="clear" w:color="auto" w:fill="auto"/>
            <w:hideMark/>
          </w:tcPr>
          <w:p w14:paraId="3729883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4F5C9BC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w:t>
            </w:r>
          </w:p>
        </w:tc>
        <w:tc>
          <w:tcPr>
            <w:tcW w:w="403" w:type="pct"/>
            <w:tcBorders>
              <w:top w:val="nil"/>
              <w:left w:val="nil"/>
              <w:bottom w:val="nil"/>
              <w:right w:val="nil"/>
            </w:tcBorders>
            <w:shd w:val="clear" w:color="auto" w:fill="auto"/>
            <w:hideMark/>
          </w:tcPr>
          <w:p w14:paraId="2ED1C2D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12%</w:t>
            </w:r>
          </w:p>
        </w:tc>
      </w:tr>
      <w:tr w:rsidR="0023576E" w:rsidRPr="00EC42F7" w14:paraId="43CB07F5"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64B42B2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2006</w:t>
            </w:r>
          </w:p>
        </w:tc>
        <w:tc>
          <w:tcPr>
            <w:tcW w:w="556" w:type="pct"/>
            <w:gridSpan w:val="2"/>
            <w:tcBorders>
              <w:top w:val="nil"/>
              <w:left w:val="nil"/>
              <w:bottom w:val="nil"/>
              <w:right w:val="nil"/>
            </w:tcBorders>
            <w:shd w:val="clear" w:color="000000" w:fill="FFFFFF"/>
            <w:hideMark/>
          </w:tcPr>
          <w:p w14:paraId="6EE99FA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1704</w:t>
            </w:r>
          </w:p>
        </w:tc>
        <w:tc>
          <w:tcPr>
            <w:tcW w:w="196" w:type="pct"/>
            <w:tcBorders>
              <w:top w:val="nil"/>
              <w:left w:val="nil"/>
              <w:bottom w:val="nil"/>
              <w:right w:val="nil"/>
            </w:tcBorders>
            <w:shd w:val="clear" w:color="000000" w:fill="FFFFFF"/>
            <w:hideMark/>
          </w:tcPr>
          <w:p w14:paraId="139E09D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30EBED2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348</w:t>
            </w:r>
          </w:p>
        </w:tc>
        <w:tc>
          <w:tcPr>
            <w:tcW w:w="479" w:type="pct"/>
            <w:gridSpan w:val="2"/>
            <w:tcBorders>
              <w:top w:val="nil"/>
              <w:left w:val="nil"/>
              <w:bottom w:val="nil"/>
              <w:right w:val="nil"/>
            </w:tcBorders>
            <w:shd w:val="clear" w:color="auto" w:fill="auto"/>
            <w:hideMark/>
          </w:tcPr>
          <w:p w14:paraId="65F58A3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w:t>
            </w:r>
          </w:p>
        </w:tc>
        <w:tc>
          <w:tcPr>
            <w:tcW w:w="196" w:type="pct"/>
            <w:gridSpan w:val="2"/>
            <w:tcBorders>
              <w:top w:val="nil"/>
              <w:left w:val="nil"/>
              <w:bottom w:val="nil"/>
              <w:right w:val="nil"/>
            </w:tcBorders>
            <w:shd w:val="clear" w:color="auto" w:fill="auto"/>
            <w:hideMark/>
          </w:tcPr>
          <w:p w14:paraId="17C36D4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3F43A00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1175</w:t>
            </w:r>
          </w:p>
        </w:tc>
        <w:tc>
          <w:tcPr>
            <w:tcW w:w="516" w:type="pct"/>
            <w:gridSpan w:val="2"/>
            <w:tcBorders>
              <w:top w:val="nil"/>
              <w:left w:val="nil"/>
              <w:bottom w:val="nil"/>
              <w:right w:val="nil"/>
            </w:tcBorders>
            <w:shd w:val="clear" w:color="auto" w:fill="auto"/>
            <w:hideMark/>
          </w:tcPr>
          <w:p w14:paraId="205EC34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69%</w:t>
            </w:r>
          </w:p>
        </w:tc>
        <w:tc>
          <w:tcPr>
            <w:tcW w:w="196" w:type="pct"/>
            <w:tcBorders>
              <w:top w:val="nil"/>
              <w:left w:val="nil"/>
              <w:bottom w:val="nil"/>
              <w:right w:val="nil"/>
            </w:tcBorders>
            <w:shd w:val="clear" w:color="auto" w:fill="auto"/>
            <w:hideMark/>
          </w:tcPr>
          <w:p w14:paraId="6E75232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1ED24BC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181</w:t>
            </w:r>
          </w:p>
        </w:tc>
        <w:tc>
          <w:tcPr>
            <w:tcW w:w="403" w:type="pct"/>
            <w:tcBorders>
              <w:top w:val="nil"/>
              <w:left w:val="nil"/>
              <w:bottom w:val="nil"/>
              <w:right w:val="nil"/>
            </w:tcBorders>
            <w:shd w:val="clear" w:color="auto" w:fill="auto"/>
            <w:hideMark/>
          </w:tcPr>
          <w:p w14:paraId="04B235E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w:t>
            </w:r>
          </w:p>
        </w:tc>
      </w:tr>
      <w:tr w:rsidR="0023576E" w:rsidRPr="00EC42F7" w14:paraId="6AEA37EC"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5EFD137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2007</w:t>
            </w:r>
          </w:p>
        </w:tc>
        <w:tc>
          <w:tcPr>
            <w:tcW w:w="556" w:type="pct"/>
            <w:gridSpan w:val="2"/>
            <w:tcBorders>
              <w:top w:val="nil"/>
              <w:left w:val="nil"/>
              <w:bottom w:val="nil"/>
              <w:right w:val="nil"/>
            </w:tcBorders>
            <w:shd w:val="clear" w:color="000000" w:fill="FFFFFF"/>
            <w:hideMark/>
          </w:tcPr>
          <w:p w14:paraId="2DE00DA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1699</w:t>
            </w:r>
          </w:p>
        </w:tc>
        <w:tc>
          <w:tcPr>
            <w:tcW w:w="196" w:type="pct"/>
            <w:tcBorders>
              <w:top w:val="nil"/>
              <w:left w:val="nil"/>
              <w:bottom w:val="nil"/>
              <w:right w:val="nil"/>
            </w:tcBorders>
            <w:shd w:val="clear" w:color="000000" w:fill="FFFFFF"/>
            <w:hideMark/>
          </w:tcPr>
          <w:p w14:paraId="07778DB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1084701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365</w:t>
            </w:r>
          </w:p>
        </w:tc>
        <w:tc>
          <w:tcPr>
            <w:tcW w:w="479" w:type="pct"/>
            <w:gridSpan w:val="2"/>
            <w:tcBorders>
              <w:top w:val="nil"/>
              <w:left w:val="nil"/>
              <w:bottom w:val="nil"/>
              <w:right w:val="nil"/>
            </w:tcBorders>
            <w:shd w:val="clear" w:color="auto" w:fill="auto"/>
            <w:hideMark/>
          </w:tcPr>
          <w:p w14:paraId="43CDB8B7"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21%</w:t>
            </w:r>
          </w:p>
        </w:tc>
        <w:tc>
          <w:tcPr>
            <w:tcW w:w="196" w:type="pct"/>
            <w:gridSpan w:val="2"/>
            <w:tcBorders>
              <w:top w:val="nil"/>
              <w:left w:val="nil"/>
              <w:bottom w:val="nil"/>
              <w:right w:val="nil"/>
            </w:tcBorders>
            <w:shd w:val="clear" w:color="auto" w:fill="auto"/>
            <w:hideMark/>
          </w:tcPr>
          <w:p w14:paraId="4634167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574E2F0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1184</w:t>
            </w:r>
          </w:p>
        </w:tc>
        <w:tc>
          <w:tcPr>
            <w:tcW w:w="516" w:type="pct"/>
            <w:gridSpan w:val="2"/>
            <w:tcBorders>
              <w:top w:val="nil"/>
              <w:left w:val="nil"/>
              <w:bottom w:val="nil"/>
              <w:right w:val="nil"/>
            </w:tcBorders>
            <w:shd w:val="clear" w:color="auto" w:fill="auto"/>
            <w:hideMark/>
          </w:tcPr>
          <w:p w14:paraId="6D6F76B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70%</w:t>
            </w:r>
          </w:p>
        </w:tc>
        <w:tc>
          <w:tcPr>
            <w:tcW w:w="196" w:type="pct"/>
            <w:tcBorders>
              <w:top w:val="nil"/>
              <w:left w:val="nil"/>
              <w:bottom w:val="nil"/>
              <w:right w:val="nil"/>
            </w:tcBorders>
            <w:shd w:val="clear" w:color="auto" w:fill="auto"/>
            <w:hideMark/>
          </w:tcPr>
          <w:p w14:paraId="682AFDE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545BB7F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150</w:t>
            </w:r>
          </w:p>
        </w:tc>
        <w:tc>
          <w:tcPr>
            <w:tcW w:w="403" w:type="pct"/>
            <w:tcBorders>
              <w:top w:val="nil"/>
              <w:left w:val="nil"/>
              <w:bottom w:val="nil"/>
              <w:right w:val="nil"/>
            </w:tcBorders>
            <w:shd w:val="clear" w:color="auto" w:fill="auto"/>
            <w:hideMark/>
          </w:tcPr>
          <w:p w14:paraId="5DADAD9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9%</w:t>
            </w:r>
          </w:p>
        </w:tc>
      </w:tr>
      <w:tr w:rsidR="0023576E" w:rsidRPr="00EC42F7" w14:paraId="2B73E83F"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36705B6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2008</w:t>
            </w:r>
          </w:p>
        </w:tc>
        <w:tc>
          <w:tcPr>
            <w:tcW w:w="556" w:type="pct"/>
            <w:gridSpan w:val="2"/>
            <w:tcBorders>
              <w:top w:val="nil"/>
              <w:left w:val="nil"/>
              <w:bottom w:val="nil"/>
              <w:right w:val="nil"/>
            </w:tcBorders>
            <w:shd w:val="clear" w:color="000000" w:fill="FFFFFF"/>
            <w:hideMark/>
          </w:tcPr>
          <w:p w14:paraId="0F6F9C9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1650</w:t>
            </w:r>
          </w:p>
        </w:tc>
        <w:tc>
          <w:tcPr>
            <w:tcW w:w="196" w:type="pct"/>
            <w:tcBorders>
              <w:top w:val="nil"/>
              <w:left w:val="nil"/>
              <w:bottom w:val="nil"/>
              <w:right w:val="nil"/>
            </w:tcBorders>
            <w:shd w:val="clear" w:color="000000" w:fill="FFFFFF"/>
            <w:hideMark/>
          </w:tcPr>
          <w:p w14:paraId="47D737B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2680CEF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411</w:t>
            </w:r>
          </w:p>
        </w:tc>
        <w:tc>
          <w:tcPr>
            <w:tcW w:w="479" w:type="pct"/>
            <w:gridSpan w:val="2"/>
            <w:tcBorders>
              <w:top w:val="nil"/>
              <w:left w:val="nil"/>
              <w:bottom w:val="nil"/>
              <w:right w:val="nil"/>
            </w:tcBorders>
            <w:shd w:val="clear" w:color="auto" w:fill="auto"/>
            <w:hideMark/>
          </w:tcPr>
          <w:p w14:paraId="36913DD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25%</w:t>
            </w:r>
          </w:p>
        </w:tc>
        <w:tc>
          <w:tcPr>
            <w:tcW w:w="196" w:type="pct"/>
            <w:gridSpan w:val="2"/>
            <w:tcBorders>
              <w:top w:val="nil"/>
              <w:left w:val="nil"/>
              <w:bottom w:val="nil"/>
              <w:right w:val="nil"/>
            </w:tcBorders>
            <w:shd w:val="clear" w:color="auto" w:fill="auto"/>
            <w:hideMark/>
          </w:tcPr>
          <w:p w14:paraId="7CFD2B1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176B7CC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1113</w:t>
            </w:r>
          </w:p>
        </w:tc>
        <w:tc>
          <w:tcPr>
            <w:tcW w:w="516" w:type="pct"/>
            <w:gridSpan w:val="2"/>
            <w:tcBorders>
              <w:top w:val="nil"/>
              <w:left w:val="nil"/>
              <w:bottom w:val="nil"/>
              <w:right w:val="nil"/>
            </w:tcBorders>
            <w:shd w:val="clear" w:color="auto" w:fill="auto"/>
            <w:hideMark/>
          </w:tcPr>
          <w:p w14:paraId="119ED3B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67%</w:t>
            </w:r>
          </w:p>
        </w:tc>
        <w:tc>
          <w:tcPr>
            <w:tcW w:w="196" w:type="pct"/>
            <w:tcBorders>
              <w:top w:val="nil"/>
              <w:left w:val="nil"/>
              <w:bottom w:val="nil"/>
              <w:right w:val="nil"/>
            </w:tcBorders>
            <w:shd w:val="clear" w:color="auto" w:fill="auto"/>
            <w:hideMark/>
          </w:tcPr>
          <w:p w14:paraId="152C926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69FA715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126</w:t>
            </w:r>
          </w:p>
        </w:tc>
        <w:tc>
          <w:tcPr>
            <w:tcW w:w="403" w:type="pct"/>
            <w:tcBorders>
              <w:top w:val="nil"/>
              <w:left w:val="nil"/>
              <w:bottom w:val="nil"/>
              <w:right w:val="nil"/>
            </w:tcBorders>
            <w:shd w:val="clear" w:color="auto" w:fill="auto"/>
            <w:hideMark/>
          </w:tcPr>
          <w:p w14:paraId="47DAAEE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8%</w:t>
            </w:r>
          </w:p>
        </w:tc>
      </w:tr>
      <w:tr w:rsidR="0023576E" w:rsidRPr="00EC42F7" w14:paraId="54692A52"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18A1920E"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2009</w:t>
            </w:r>
          </w:p>
        </w:tc>
        <w:tc>
          <w:tcPr>
            <w:tcW w:w="556" w:type="pct"/>
            <w:gridSpan w:val="2"/>
            <w:tcBorders>
              <w:top w:val="nil"/>
              <w:left w:val="nil"/>
              <w:bottom w:val="nil"/>
              <w:right w:val="nil"/>
            </w:tcBorders>
            <w:shd w:val="clear" w:color="000000" w:fill="FFFFFF"/>
            <w:hideMark/>
          </w:tcPr>
          <w:p w14:paraId="096CDC6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1638</w:t>
            </w:r>
          </w:p>
        </w:tc>
        <w:tc>
          <w:tcPr>
            <w:tcW w:w="196" w:type="pct"/>
            <w:tcBorders>
              <w:top w:val="nil"/>
              <w:left w:val="nil"/>
              <w:bottom w:val="nil"/>
              <w:right w:val="nil"/>
            </w:tcBorders>
            <w:shd w:val="clear" w:color="000000" w:fill="FFFFFF"/>
            <w:hideMark/>
          </w:tcPr>
          <w:p w14:paraId="305059E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1595976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374</w:t>
            </w:r>
          </w:p>
        </w:tc>
        <w:tc>
          <w:tcPr>
            <w:tcW w:w="479" w:type="pct"/>
            <w:gridSpan w:val="2"/>
            <w:tcBorders>
              <w:top w:val="nil"/>
              <w:left w:val="nil"/>
              <w:bottom w:val="nil"/>
              <w:right w:val="nil"/>
            </w:tcBorders>
            <w:shd w:val="clear" w:color="auto" w:fill="auto"/>
            <w:hideMark/>
          </w:tcPr>
          <w:p w14:paraId="26DE5C3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23%</w:t>
            </w:r>
          </w:p>
        </w:tc>
        <w:tc>
          <w:tcPr>
            <w:tcW w:w="196" w:type="pct"/>
            <w:gridSpan w:val="2"/>
            <w:tcBorders>
              <w:top w:val="nil"/>
              <w:left w:val="nil"/>
              <w:bottom w:val="nil"/>
              <w:right w:val="nil"/>
            </w:tcBorders>
            <w:shd w:val="clear" w:color="auto" w:fill="auto"/>
            <w:hideMark/>
          </w:tcPr>
          <w:p w14:paraId="3B85090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79B8BB0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1117</w:t>
            </w:r>
          </w:p>
        </w:tc>
        <w:tc>
          <w:tcPr>
            <w:tcW w:w="516" w:type="pct"/>
            <w:gridSpan w:val="2"/>
            <w:tcBorders>
              <w:top w:val="nil"/>
              <w:left w:val="nil"/>
              <w:bottom w:val="nil"/>
              <w:right w:val="nil"/>
            </w:tcBorders>
            <w:shd w:val="clear" w:color="auto" w:fill="auto"/>
            <w:hideMark/>
          </w:tcPr>
          <w:p w14:paraId="3EEB885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68%</w:t>
            </w:r>
          </w:p>
        </w:tc>
        <w:tc>
          <w:tcPr>
            <w:tcW w:w="196" w:type="pct"/>
            <w:tcBorders>
              <w:top w:val="nil"/>
              <w:left w:val="nil"/>
              <w:bottom w:val="nil"/>
              <w:right w:val="nil"/>
            </w:tcBorders>
            <w:shd w:val="clear" w:color="auto" w:fill="auto"/>
            <w:hideMark/>
          </w:tcPr>
          <w:p w14:paraId="6CDAE74B"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24E81917"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147</w:t>
            </w:r>
          </w:p>
        </w:tc>
        <w:tc>
          <w:tcPr>
            <w:tcW w:w="403" w:type="pct"/>
            <w:tcBorders>
              <w:top w:val="nil"/>
              <w:left w:val="nil"/>
              <w:bottom w:val="nil"/>
              <w:right w:val="nil"/>
            </w:tcBorders>
            <w:shd w:val="clear" w:color="auto" w:fill="auto"/>
            <w:hideMark/>
          </w:tcPr>
          <w:p w14:paraId="7717501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9%</w:t>
            </w:r>
          </w:p>
        </w:tc>
      </w:tr>
      <w:tr w:rsidR="0023576E" w:rsidRPr="00EC42F7" w14:paraId="137B131B"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6189783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2010</w:t>
            </w:r>
          </w:p>
        </w:tc>
        <w:tc>
          <w:tcPr>
            <w:tcW w:w="556" w:type="pct"/>
            <w:gridSpan w:val="2"/>
            <w:tcBorders>
              <w:top w:val="nil"/>
              <w:left w:val="nil"/>
              <w:bottom w:val="nil"/>
              <w:right w:val="nil"/>
            </w:tcBorders>
            <w:shd w:val="clear" w:color="000000" w:fill="FFFFFF"/>
            <w:hideMark/>
          </w:tcPr>
          <w:p w14:paraId="71D5831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1654</w:t>
            </w:r>
          </w:p>
        </w:tc>
        <w:tc>
          <w:tcPr>
            <w:tcW w:w="196" w:type="pct"/>
            <w:tcBorders>
              <w:top w:val="nil"/>
              <w:left w:val="nil"/>
              <w:bottom w:val="nil"/>
              <w:right w:val="nil"/>
            </w:tcBorders>
            <w:shd w:val="clear" w:color="000000" w:fill="FFFFFF"/>
            <w:hideMark/>
          </w:tcPr>
          <w:p w14:paraId="2712CA2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16E2B21C"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377</w:t>
            </w:r>
          </w:p>
        </w:tc>
        <w:tc>
          <w:tcPr>
            <w:tcW w:w="479" w:type="pct"/>
            <w:gridSpan w:val="2"/>
            <w:tcBorders>
              <w:top w:val="nil"/>
              <w:left w:val="nil"/>
              <w:bottom w:val="nil"/>
              <w:right w:val="nil"/>
            </w:tcBorders>
            <w:shd w:val="clear" w:color="auto" w:fill="auto"/>
            <w:hideMark/>
          </w:tcPr>
          <w:p w14:paraId="11D7918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23%</w:t>
            </w:r>
          </w:p>
        </w:tc>
        <w:tc>
          <w:tcPr>
            <w:tcW w:w="196" w:type="pct"/>
            <w:gridSpan w:val="2"/>
            <w:tcBorders>
              <w:top w:val="nil"/>
              <w:left w:val="nil"/>
              <w:bottom w:val="nil"/>
              <w:right w:val="nil"/>
            </w:tcBorders>
            <w:shd w:val="clear" w:color="auto" w:fill="auto"/>
            <w:hideMark/>
          </w:tcPr>
          <w:p w14:paraId="15F681B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2CDC3B7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1091</w:t>
            </w:r>
          </w:p>
        </w:tc>
        <w:tc>
          <w:tcPr>
            <w:tcW w:w="516" w:type="pct"/>
            <w:gridSpan w:val="2"/>
            <w:tcBorders>
              <w:top w:val="nil"/>
              <w:left w:val="nil"/>
              <w:bottom w:val="nil"/>
              <w:right w:val="nil"/>
            </w:tcBorders>
            <w:shd w:val="clear" w:color="auto" w:fill="auto"/>
            <w:hideMark/>
          </w:tcPr>
          <w:p w14:paraId="17E28EE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66%</w:t>
            </w:r>
          </w:p>
        </w:tc>
        <w:tc>
          <w:tcPr>
            <w:tcW w:w="196" w:type="pct"/>
            <w:tcBorders>
              <w:top w:val="nil"/>
              <w:left w:val="nil"/>
              <w:bottom w:val="nil"/>
              <w:right w:val="nil"/>
            </w:tcBorders>
            <w:shd w:val="clear" w:color="auto" w:fill="auto"/>
            <w:hideMark/>
          </w:tcPr>
          <w:p w14:paraId="6991677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0A3A625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186</w:t>
            </w:r>
          </w:p>
        </w:tc>
        <w:tc>
          <w:tcPr>
            <w:tcW w:w="403" w:type="pct"/>
            <w:tcBorders>
              <w:top w:val="nil"/>
              <w:left w:val="nil"/>
              <w:bottom w:val="nil"/>
              <w:right w:val="nil"/>
            </w:tcBorders>
            <w:shd w:val="clear" w:color="auto" w:fill="auto"/>
            <w:hideMark/>
          </w:tcPr>
          <w:p w14:paraId="7CDBB35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w:t>
            </w:r>
          </w:p>
        </w:tc>
      </w:tr>
      <w:tr w:rsidR="0023576E" w:rsidRPr="00EC42F7" w14:paraId="67194365"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73989CD7"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2011</w:t>
            </w:r>
          </w:p>
        </w:tc>
        <w:tc>
          <w:tcPr>
            <w:tcW w:w="556" w:type="pct"/>
            <w:gridSpan w:val="2"/>
            <w:tcBorders>
              <w:top w:val="nil"/>
              <w:left w:val="nil"/>
              <w:bottom w:val="nil"/>
              <w:right w:val="nil"/>
            </w:tcBorders>
            <w:shd w:val="clear" w:color="000000" w:fill="FFFFFF"/>
            <w:hideMark/>
          </w:tcPr>
          <w:p w14:paraId="40C5E07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1650</w:t>
            </w:r>
          </w:p>
        </w:tc>
        <w:tc>
          <w:tcPr>
            <w:tcW w:w="196" w:type="pct"/>
            <w:tcBorders>
              <w:top w:val="nil"/>
              <w:left w:val="nil"/>
              <w:bottom w:val="nil"/>
              <w:right w:val="nil"/>
            </w:tcBorders>
            <w:shd w:val="clear" w:color="000000" w:fill="FFFFFF"/>
            <w:hideMark/>
          </w:tcPr>
          <w:p w14:paraId="0241E2F9"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34AD097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390</w:t>
            </w:r>
          </w:p>
        </w:tc>
        <w:tc>
          <w:tcPr>
            <w:tcW w:w="479" w:type="pct"/>
            <w:gridSpan w:val="2"/>
            <w:tcBorders>
              <w:top w:val="nil"/>
              <w:left w:val="nil"/>
              <w:bottom w:val="nil"/>
              <w:right w:val="nil"/>
            </w:tcBorders>
            <w:shd w:val="clear" w:color="auto" w:fill="auto"/>
            <w:hideMark/>
          </w:tcPr>
          <w:p w14:paraId="6D516EC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24%</w:t>
            </w:r>
          </w:p>
        </w:tc>
        <w:tc>
          <w:tcPr>
            <w:tcW w:w="196" w:type="pct"/>
            <w:gridSpan w:val="2"/>
            <w:tcBorders>
              <w:top w:val="nil"/>
              <w:left w:val="nil"/>
              <w:bottom w:val="nil"/>
              <w:right w:val="nil"/>
            </w:tcBorders>
            <w:shd w:val="clear" w:color="auto" w:fill="auto"/>
            <w:hideMark/>
          </w:tcPr>
          <w:p w14:paraId="6814AB6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7BFF7A4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1094</w:t>
            </w:r>
          </w:p>
        </w:tc>
        <w:tc>
          <w:tcPr>
            <w:tcW w:w="516" w:type="pct"/>
            <w:gridSpan w:val="2"/>
            <w:tcBorders>
              <w:top w:val="nil"/>
              <w:left w:val="nil"/>
              <w:bottom w:val="nil"/>
              <w:right w:val="nil"/>
            </w:tcBorders>
            <w:shd w:val="clear" w:color="auto" w:fill="auto"/>
            <w:hideMark/>
          </w:tcPr>
          <w:p w14:paraId="1303186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66%</w:t>
            </w:r>
          </w:p>
        </w:tc>
        <w:tc>
          <w:tcPr>
            <w:tcW w:w="196" w:type="pct"/>
            <w:tcBorders>
              <w:top w:val="nil"/>
              <w:left w:val="nil"/>
              <w:bottom w:val="nil"/>
              <w:right w:val="nil"/>
            </w:tcBorders>
            <w:shd w:val="clear" w:color="auto" w:fill="auto"/>
            <w:hideMark/>
          </w:tcPr>
          <w:p w14:paraId="78CB6E1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2F4B90A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166</w:t>
            </w:r>
          </w:p>
        </w:tc>
        <w:tc>
          <w:tcPr>
            <w:tcW w:w="403" w:type="pct"/>
            <w:tcBorders>
              <w:top w:val="nil"/>
              <w:left w:val="nil"/>
              <w:bottom w:val="nil"/>
              <w:right w:val="nil"/>
            </w:tcBorders>
            <w:shd w:val="clear" w:color="auto" w:fill="auto"/>
            <w:hideMark/>
          </w:tcPr>
          <w:p w14:paraId="00F8E29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w:t>
            </w:r>
          </w:p>
        </w:tc>
      </w:tr>
      <w:tr w:rsidR="0023576E" w:rsidRPr="00EC42F7" w14:paraId="779F4712" w14:textId="77777777" w:rsidTr="0023576E">
        <w:trPr>
          <w:gridAfter w:val="1"/>
          <w:wAfter w:w="50" w:type="pct"/>
          <w:trHeight w:val="254"/>
        </w:trPr>
        <w:tc>
          <w:tcPr>
            <w:tcW w:w="649" w:type="pct"/>
            <w:tcBorders>
              <w:top w:val="nil"/>
              <w:left w:val="nil"/>
              <w:bottom w:val="nil"/>
              <w:right w:val="nil"/>
            </w:tcBorders>
            <w:shd w:val="clear" w:color="000000" w:fill="FFFFFF"/>
            <w:hideMark/>
          </w:tcPr>
          <w:p w14:paraId="4F3B6EA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2012</w:t>
            </w:r>
          </w:p>
        </w:tc>
        <w:tc>
          <w:tcPr>
            <w:tcW w:w="556" w:type="pct"/>
            <w:gridSpan w:val="2"/>
            <w:tcBorders>
              <w:top w:val="nil"/>
              <w:left w:val="nil"/>
              <w:bottom w:val="nil"/>
              <w:right w:val="nil"/>
            </w:tcBorders>
            <w:shd w:val="clear" w:color="000000" w:fill="FFFFFF"/>
            <w:hideMark/>
          </w:tcPr>
          <w:p w14:paraId="3610F6B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1702</w:t>
            </w:r>
          </w:p>
        </w:tc>
        <w:tc>
          <w:tcPr>
            <w:tcW w:w="196" w:type="pct"/>
            <w:tcBorders>
              <w:top w:val="nil"/>
              <w:left w:val="nil"/>
              <w:bottom w:val="nil"/>
              <w:right w:val="nil"/>
            </w:tcBorders>
            <w:shd w:val="clear" w:color="000000" w:fill="FFFFFF"/>
            <w:hideMark/>
          </w:tcPr>
          <w:p w14:paraId="43D6134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nil"/>
              <w:right w:val="nil"/>
            </w:tcBorders>
            <w:shd w:val="clear" w:color="auto" w:fill="auto"/>
            <w:hideMark/>
          </w:tcPr>
          <w:p w14:paraId="06AECFE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423</w:t>
            </w:r>
          </w:p>
        </w:tc>
        <w:tc>
          <w:tcPr>
            <w:tcW w:w="479" w:type="pct"/>
            <w:gridSpan w:val="2"/>
            <w:tcBorders>
              <w:top w:val="nil"/>
              <w:left w:val="nil"/>
              <w:bottom w:val="nil"/>
              <w:right w:val="nil"/>
            </w:tcBorders>
            <w:shd w:val="clear" w:color="auto" w:fill="auto"/>
            <w:hideMark/>
          </w:tcPr>
          <w:p w14:paraId="7B6BB35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25%</w:t>
            </w:r>
          </w:p>
        </w:tc>
        <w:tc>
          <w:tcPr>
            <w:tcW w:w="196" w:type="pct"/>
            <w:gridSpan w:val="2"/>
            <w:tcBorders>
              <w:top w:val="nil"/>
              <w:left w:val="nil"/>
              <w:bottom w:val="nil"/>
              <w:right w:val="nil"/>
            </w:tcBorders>
            <w:shd w:val="clear" w:color="auto" w:fill="auto"/>
            <w:hideMark/>
          </w:tcPr>
          <w:p w14:paraId="6DCB7D7F"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329A653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1101</w:t>
            </w:r>
          </w:p>
        </w:tc>
        <w:tc>
          <w:tcPr>
            <w:tcW w:w="516" w:type="pct"/>
            <w:gridSpan w:val="2"/>
            <w:tcBorders>
              <w:top w:val="nil"/>
              <w:left w:val="nil"/>
              <w:bottom w:val="nil"/>
              <w:right w:val="nil"/>
            </w:tcBorders>
            <w:shd w:val="clear" w:color="auto" w:fill="auto"/>
            <w:hideMark/>
          </w:tcPr>
          <w:p w14:paraId="68293D4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65%</w:t>
            </w:r>
          </w:p>
        </w:tc>
        <w:tc>
          <w:tcPr>
            <w:tcW w:w="196" w:type="pct"/>
            <w:tcBorders>
              <w:top w:val="nil"/>
              <w:left w:val="nil"/>
              <w:bottom w:val="nil"/>
              <w:right w:val="nil"/>
            </w:tcBorders>
            <w:shd w:val="clear" w:color="auto" w:fill="auto"/>
            <w:hideMark/>
          </w:tcPr>
          <w:p w14:paraId="1121A2C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526E1357"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178</w:t>
            </w:r>
          </w:p>
        </w:tc>
        <w:tc>
          <w:tcPr>
            <w:tcW w:w="403" w:type="pct"/>
            <w:tcBorders>
              <w:top w:val="nil"/>
              <w:left w:val="nil"/>
              <w:bottom w:val="nil"/>
              <w:right w:val="nil"/>
            </w:tcBorders>
            <w:shd w:val="clear" w:color="auto" w:fill="auto"/>
            <w:hideMark/>
          </w:tcPr>
          <w:p w14:paraId="63E8DE2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w:t>
            </w:r>
          </w:p>
        </w:tc>
      </w:tr>
      <w:tr w:rsidR="0023576E" w:rsidRPr="00EC42F7" w14:paraId="0B271A81" w14:textId="77777777" w:rsidTr="0023576E">
        <w:trPr>
          <w:gridAfter w:val="1"/>
          <w:wAfter w:w="50" w:type="pct"/>
          <w:trHeight w:val="254"/>
        </w:trPr>
        <w:tc>
          <w:tcPr>
            <w:tcW w:w="649" w:type="pct"/>
            <w:tcBorders>
              <w:top w:val="nil"/>
              <w:left w:val="nil"/>
              <w:bottom w:val="nil"/>
              <w:right w:val="nil"/>
            </w:tcBorders>
            <w:shd w:val="clear" w:color="auto" w:fill="auto"/>
            <w:hideMark/>
          </w:tcPr>
          <w:p w14:paraId="347673A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2013</w:t>
            </w:r>
          </w:p>
        </w:tc>
        <w:tc>
          <w:tcPr>
            <w:tcW w:w="556" w:type="pct"/>
            <w:gridSpan w:val="2"/>
            <w:tcBorders>
              <w:top w:val="nil"/>
              <w:left w:val="nil"/>
              <w:bottom w:val="nil"/>
              <w:right w:val="nil"/>
            </w:tcBorders>
            <w:shd w:val="clear" w:color="000000" w:fill="FFFFFF"/>
            <w:hideMark/>
          </w:tcPr>
          <w:p w14:paraId="3F3EA52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1636</w:t>
            </w:r>
          </w:p>
        </w:tc>
        <w:tc>
          <w:tcPr>
            <w:tcW w:w="196" w:type="pct"/>
            <w:tcBorders>
              <w:top w:val="nil"/>
              <w:left w:val="nil"/>
              <w:bottom w:val="nil"/>
              <w:right w:val="nil"/>
            </w:tcBorders>
            <w:shd w:val="clear" w:color="auto" w:fill="auto"/>
            <w:hideMark/>
          </w:tcPr>
          <w:p w14:paraId="6152B5D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21" w:type="pct"/>
            <w:gridSpan w:val="2"/>
            <w:tcBorders>
              <w:top w:val="nil"/>
              <w:left w:val="nil"/>
              <w:bottom w:val="nil"/>
              <w:right w:val="nil"/>
            </w:tcBorders>
            <w:shd w:val="clear" w:color="auto" w:fill="auto"/>
            <w:hideMark/>
          </w:tcPr>
          <w:p w14:paraId="3D15D4F0"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417</w:t>
            </w:r>
          </w:p>
        </w:tc>
        <w:tc>
          <w:tcPr>
            <w:tcW w:w="479" w:type="pct"/>
            <w:gridSpan w:val="2"/>
            <w:tcBorders>
              <w:top w:val="nil"/>
              <w:left w:val="nil"/>
              <w:bottom w:val="nil"/>
              <w:right w:val="nil"/>
            </w:tcBorders>
            <w:shd w:val="clear" w:color="auto" w:fill="auto"/>
            <w:hideMark/>
          </w:tcPr>
          <w:p w14:paraId="0996D601"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25%</w:t>
            </w:r>
          </w:p>
        </w:tc>
        <w:tc>
          <w:tcPr>
            <w:tcW w:w="196" w:type="pct"/>
            <w:gridSpan w:val="2"/>
            <w:tcBorders>
              <w:top w:val="nil"/>
              <w:left w:val="nil"/>
              <w:bottom w:val="nil"/>
              <w:right w:val="nil"/>
            </w:tcBorders>
            <w:shd w:val="clear" w:color="auto" w:fill="auto"/>
            <w:hideMark/>
          </w:tcPr>
          <w:p w14:paraId="7A9C9D8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657" w:type="pct"/>
            <w:gridSpan w:val="2"/>
            <w:tcBorders>
              <w:top w:val="nil"/>
              <w:left w:val="nil"/>
              <w:bottom w:val="nil"/>
              <w:right w:val="nil"/>
            </w:tcBorders>
            <w:shd w:val="clear" w:color="auto" w:fill="auto"/>
            <w:noWrap/>
            <w:vAlign w:val="bottom"/>
            <w:hideMark/>
          </w:tcPr>
          <w:p w14:paraId="65545AF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1044</w:t>
            </w:r>
          </w:p>
        </w:tc>
        <w:tc>
          <w:tcPr>
            <w:tcW w:w="516" w:type="pct"/>
            <w:gridSpan w:val="2"/>
            <w:tcBorders>
              <w:top w:val="nil"/>
              <w:left w:val="nil"/>
              <w:bottom w:val="nil"/>
              <w:right w:val="nil"/>
            </w:tcBorders>
            <w:shd w:val="clear" w:color="auto" w:fill="auto"/>
            <w:hideMark/>
          </w:tcPr>
          <w:p w14:paraId="7031EF8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64%</w:t>
            </w:r>
          </w:p>
        </w:tc>
        <w:tc>
          <w:tcPr>
            <w:tcW w:w="196" w:type="pct"/>
            <w:tcBorders>
              <w:top w:val="nil"/>
              <w:left w:val="nil"/>
              <w:bottom w:val="nil"/>
              <w:right w:val="nil"/>
            </w:tcBorders>
            <w:shd w:val="clear" w:color="auto" w:fill="auto"/>
            <w:hideMark/>
          </w:tcPr>
          <w:p w14:paraId="46BEB9F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581" w:type="pct"/>
            <w:gridSpan w:val="3"/>
            <w:tcBorders>
              <w:top w:val="nil"/>
              <w:left w:val="nil"/>
              <w:bottom w:val="nil"/>
              <w:right w:val="nil"/>
            </w:tcBorders>
            <w:shd w:val="clear" w:color="auto" w:fill="auto"/>
            <w:hideMark/>
          </w:tcPr>
          <w:p w14:paraId="1DF08A34"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175</w:t>
            </w:r>
          </w:p>
        </w:tc>
        <w:tc>
          <w:tcPr>
            <w:tcW w:w="403" w:type="pct"/>
            <w:tcBorders>
              <w:top w:val="nil"/>
              <w:left w:val="nil"/>
              <w:bottom w:val="nil"/>
              <w:right w:val="nil"/>
            </w:tcBorders>
            <w:shd w:val="clear" w:color="auto" w:fill="auto"/>
            <w:hideMark/>
          </w:tcPr>
          <w:p w14:paraId="2FF2A81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11%</w:t>
            </w:r>
          </w:p>
        </w:tc>
      </w:tr>
      <w:tr w:rsidR="0023576E" w:rsidRPr="00EC42F7" w14:paraId="5999072F" w14:textId="77777777" w:rsidTr="0023576E">
        <w:trPr>
          <w:gridAfter w:val="1"/>
          <w:wAfter w:w="50" w:type="pct"/>
          <w:trHeight w:val="265"/>
        </w:trPr>
        <w:tc>
          <w:tcPr>
            <w:tcW w:w="649" w:type="pct"/>
            <w:tcBorders>
              <w:top w:val="nil"/>
              <w:left w:val="nil"/>
              <w:bottom w:val="double" w:sz="6" w:space="0" w:color="auto"/>
              <w:right w:val="nil"/>
            </w:tcBorders>
            <w:shd w:val="clear" w:color="auto" w:fill="auto"/>
            <w:vAlign w:val="bottom"/>
            <w:hideMark/>
          </w:tcPr>
          <w:p w14:paraId="7630776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Overall</w:t>
            </w:r>
          </w:p>
        </w:tc>
        <w:tc>
          <w:tcPr>
            <w:tcW w:w="556" w:type="pct"/>
            <w:gridSpan w:val="2"/>
            <w:tcBorders>
              <w:top w:val="nil"/>
              <w:left w:val="nil"/>
              <w:bottom w:val="double" w:sz="6" w:space="0" w:color="auto"/>
              <w:right w:val="nil"/>
            </w:tcBorders>
            <w:shd w:val="clear" w:color="auto" w:fill="auto"/>
            <w:vAlign w:val="bottom"/>
            <w:hideMark/>
          </w:tcPr>
          <w:p w14:paraId="3C62125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25678</w:t>
            </w:r>
          </w:p>
        </w:tc>
        <w:tc>
          <w:tcPr>
            <w:tcW w:w="196" w:type="pct"/>
            <w:tcBorders>
              <w:top w:val="nil"/>
              <w:left w:val="nil"/>
              <w:bottom w:val="double" w:sz="6" w:space="0" w:color="auto"/>
              <w:right w:val="nil"/>
            </w:tcBorders>
            <w:shd w:val="clear" w:color="auto" w:fill="auto"/>
            <w:vAlign w:val="bottom"/>
            <w:hideMark/>
          </w:tcPr>
          <w:p w14:paraId="1965B48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21" w:type="pct"/>
            <w:gridSpan w:val="2"/>
            <w:tcBorders>
              <w:top w:val="nil"/>
              <w:left w:val="nil"/>
              <w:bottom w:val="double" w:sz="6" w:space="0" w:color="auto"/>
              <w:right w:val="nil"/>
            </w:tcBorders>
            <w:shd w:val="clear" w:color="auto" w:fill="auto"/>
            <w:vAlign w:val="bottom"/>
            <w:hideMark/>
          </w:tcPr>
          <w:p w14:paraId="6DCB3F42"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5462</w:t>
            </w:r>
          </w:p>
        </w:tc>
        <w:tc>
          <w:tcPr>
            <w:tcW w:w="479" w:type="pct"/>
            <w:gridSpan w:val="2"/>
            <w:tcBorders>
              <w:top w:val="nil"/>
              <w:left w:val="nil"/>
              <w:bottom w:val="double" w:sz="6" w:space="0" w:color="auto"/>
              <w:right w:val="nil"/>
            </w:tcBorders>
            <w:shd w:val="clear" w:color="auto" w:fill="auto"/>
            <w:hideMark/>
          </w:tcPr>
          <w:p w14:paraId="2946CB3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21%</w:t>
            </w:r>
          </w:p>
        </w:tc>
        <w:tc>
          <w:tcPr>
            <w:tcW w:w="196" w:type="pct"/>
            <w:gridSpan w:val="2"/>
            <w:tcBorders>
              <w:top w:val="nil"/>
              <w:left w:val="nil"/>
              <w:bottom w:val="double" w:sz="6" w:space="0" w:color="auto"/>
              <w:right w:val="nil"/>
            </w:tcBorders>
            <w:shd w:val="clear" w:color="auto" w:fill="auto"/>
            <w:vAlign w:val="bottom"/>
            <w:hideMark/>
          </w:tcPr>
          <w:p w14:paraId="1BEF3A7A"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657" w:type="pct"/>
            <w:gridSpan w:val="2"/>
            <w:tcBorders>
              <w:top w:val="nil"/>
              <w:left w:val="nil"/>
              <w:bottom w:val="double" w:sz="6" w:space="0" w:color="auto"/>
              <w:right w:val="nil"/>
            </w:tcBorders>
            <w:shd w:val="clear" w:color="auto" w:fill="auto"/>
            <w:vAlign w:val="bottom"/>
            <w:hideMark/>
          </w:tcPr>
          <w:p w14:paraId="43A31BF5"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17530</w:t>
            </w:r>
          </w:p>
        </w:tc>
        <w:tc>
          <w:tcPr>
            <w:tcW w:w="516" w:type="pct"/>
            <w:gridSpan w:val="2"/>
            <w:tcBorders>
              <w:top w:val="nil"/>
              <w:left w:val="nil"/>
              <w:bottom w:val="double" w:sz="6" w:space="0" w:color="auto"/>
              <w:right w:val="nil"/>
            </w:tcBorders>
            <w:shd w:val="clear" w:color="auto" w:fill="auto"/>
            <w:hideMark/>
          </w:tcPr>
          <w:p w14:paraId="63746456"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68%</w:t>
            </w:r>
          </w:p>
        </w:tc>
        <w:tc>
          <w:tcPr>
            <w:tcW w:w="196" w:type="pct"/>
            <w:tcBorders>
              <w:top w:val="nil"/>
              <w:left w:val="nil"/>
              <w:bottom w:val="double" w:sz="6" w:space="0" w:color="auto"/>
              <w:right w:val="nil"/>
            </w:tcBorders>
            <w:shd w:val="clear" w:color="auto" w:fill="auto"/>
            <w:vAlign w:val="bottom"/>
            <w:hideMark/>
          </w:tcPr>
          <w:p w14:paraId="033A2B63"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 </w:t>
            </w:r>
          </w:p>
        </w:tc>
        <w:tc>
          <w:tcPr>
            <w:tcW w:w="581" w:type="pct"/>
            <w:gridSpan w:val="3"/>
            <w:tcBorders>
              <w:top w:val="nil"/>
              <w:left w:val="nil"/>
              <w:bottom w:val="double" w:sz="6" w:space="0" w:color="auto"/>
              <w:right w:val="nil"/>
            </w:tcBorders>
            <w:shd w:val="clear" w:color="auto" w:fill="auto"/>
            <w:vAlign w:val="bottom"/>
            <w:hideMark/>
          </w:tcPr>
          <w:p w14:paraId="699F16E8"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2686</w:t>
            </w:r>
          </w:p>
        </w:tc>
        <w:tc>
          <w:tcPr>
            <w:tcW w:w="403" w:type="pct"/>
            <w:tcBorders>
              <w:top w:val="nil"/>
              <w:left w:val="nil"/>
              <w:bottom w:val="double" w:sz="6" w:space="0" w:color="auto"/>
              <w:right w:val="nil"/>
            </w:tcBorders>
            <w:shd w:val="clear" w:color="auto" w:fill="auto"/>
            <w:hideMark/>
          </w:tcPr>
          <w:p w14:paraId="173EA6FD" w14:textId="77777777" w:rsidR="00F770FF" w:rsidRPr="00EC42F7" w:rsidRDefault="00F770FF" w:rsidP="009704E4">
            <w:pPr>
              <w:spacing w:after="0" w:line="240" w:lineRule="auto"/>
              <w:jc w:val="center"/>
              <w:rPr>
                <w:rFonts w:ascii="Century Schoolbook" w:eastAsia="Times New Roman" w:hAnsi="Century Schoolbook" w:cs="Times New Roman"/>
                <w:color w:val="000000"/>
                <w:sz w:val="20"/>
                <w:szCs w:val="20"/>
              </w:rPr>
            </w:pPr>
            <w:r w:rsidRPr="00EC42F7">
              <w:rPr>
                <w:rFonts w:ascii="Century Schoolbook" w:eastAsia="Times New Roman" w:hAnsi="Century Schoolbook" w:cs="Times New Roman"/>
                <w:color w:val="000000"/>
                <w:sz w:val="20"/>
                <w:szCs w:val="20"/>
              </w:rPr>
              <w:t>10%</w:t>
            </w:r>
          </w:p>
        </w:tc>
      </w:tr>
      <w:tr w:rsidR="00F770FF" w:rsidRPr="00E00286" w14:paraId="294A69E5" w14:textId="77777777" w:rsidTr="0023576E">
        <w:trPr>
          <w:trHeight w:val="300"/>
        </w:trPr>
        <w:tc>
          <w:tcPr>
            <w:tcW w:w="5000" w:type="pct"/>
            <w:gridSpan w:val="20"/>
            <w:tcBorders>
              <w:top w:val="nil"/>
              <w:left w:val="nil"/>
              <w:bottom w:val="single" w:sz="4" w:space="0" w:color="auto"/>
              <w:right w:val="nil"/>
            </w:tcBorders>
            <w:shd w:val="clear" w:color="000000" w:fill="FFFFFF"/>
            <w:vAlign w:val="bottom"/>
            <w:hideMark/>
          </w:tcPr>
          <w:p w14:paraId="7A628E71" w14:textId="77777777" w:rsidR="0023576E" w:rsidRDefault="00F770FF" w:rsidP="009704E4">
            <w:pPr>
              <w:spacing w:after="0" w:line="240" w:lineRule="auto"/>
              <w:rPr>
                <w:rFonts w:ascii="Century Schoolbook" w:eastAsia="Times New Roman" w:hAnsi="Century Schoolbook" w:cs="Times New Roman"/>
                <w:sz w:val="20"/>
                <w:szCs w:val="20"/>
                <w:u w:val="single"/>
                <w:lang w:eastAsia="fr-FR"/>
              </w:rPr>
            </w:pPr>
            <w:r w:rsidRPr="00E00286">
              <w:rPr>
                <w:rFonts w:ascii="Century Schoolbook" w:eastAsia="Times New Roman" w:hAnsi="Century Schoolbook" w:cs="Times New Roman"/>
                <w:sz w:val="20"/>
                <w:szCs w:val="20"/>
                <w:u w:val="single"/>
                <w:lang w:eastAsia="fr-FR"/>
              </w:rPr>
              <w:br w:type="page"/>
            </w:r>
          </w:p>
          <w:p w14:paraId="4DD96D7E" w14:textId="31FF7392" w:rsidR="00F770FF" w:rsidRPr="00E00286" w:rsidRDefault="00F770FF" w:rsidP="009704E4">
            <w:pPr>
              <w:spacing w:after="0" w:line="240" w:lineRule="auto"/>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b/>
                <w:bCs/>
                <w:color w:val="000000"/>
                <w:sz w:val="20"/>
                <w:szCs w:val="20"/>
              </w:rPr>
              <w:t>Panel B.</w:t>
            </w:r>
            <w:r w:rsidRPr="00E00286">
              <w:rPr>
                <w:rFonts w:ascii="Century Schoolbook" w:eastAsia="Times New Roman" w:hAnsi="Century Schoolbook" w:cs="Times New Roman"/>
                <w:color w:val="000000"/>
                <w:sz w:val="20"/>
                <w:szCs w:val="20"/>
              </w:rPr>
              <w:t xml:space="preserve">  Bias-adjusted time between recommendation revisions (in months)</w:t>
            </w:r>
          </w:p>
        </w:tc>
      </w:tr>
      <w:tr w:rsidR="00F770FF" w:rsidRPr="00E00286" w14:paraId="180606E2" w14:textId="77777777" w:rsidTr="0023576E">
        <w:trPr>
          <w:trHeight w:val="276"/>
        </w:trPr>
        <w:tc>
          <w:tcPr>
            <w:tcW w:w="947" w:type="pct"/>
            <w:gridSpan w:val="2"/>
            <w:tcBorders>
              <w:top w:val="nil"/>
              <w:left w:val="nil"/>
              <w:bottom w:val="single" w:sz="4" w:space="0" w:color="auto"/>
              <w:right w:val="nil"/>
            </w:tcBorders>
            <w:shd w:val="clear" w:color="000000" w:fill="FFFFFF"/>
            <w:noWrap/>
            <w:vAlign w:val="center"/>
            <w:hideMark/>
          </w:tcPr>
          <w:p w14:paraId="26CD37FB" w14:textId="77777777" w:rsidR="00F770FF" w:rsidRPr="00E00286" w:rsidRDefault="00F770FF" w:rsidP="009704E4">
            <w:pPr>
              <w:spacing w:after="0" w:line="240" w:lineRule="auto"/>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 </w:t>
            </w:r>
          </w:p>
        </w:tc>
        <w:tc>
          <w:tcPr>
            <w:tcW w:w="502" w:type="pct"/>
            <w:gridSpan w:val="3"/>
            <w:tcBorders>
              <w:top w:val="nil"/>
              <w:left w:val="nil"/>
              <w:bottom w:val="single" w:sz="4" w:space="0" w:color="auto"/>
              <w:right w:val="nil"/>
            </w:tcBorders>
            <w:shd w:val="clear" w:color="000000" w:fill="FFFFFF"/>
            <w:noWrap/>
            <w:vAlign w:val="center"/>
            <w:hideMark/>
          </w:tcPr>
          <w:p w14:paraId="29E95E18"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Nobs</w:t>
            </w:r>
          </w:p>
        </w:tc>
        <w:tc>
          <w:tcPr>
            <w:tcW w:w="503" w:type="pct"/>
            <w:gridSpan w:val="2"/>
            <w:tcBorders>
              <w:top w:val="nil"/>
              <w:left w:val="nil"/>
              <w:bottom w:val="single" w:sz="4" w:space="0" w:color="auto"/>
              <w:right w:val="nil"/>
            </w:tcBorders>
            <w:shd w:val="clear" w:color="000000" w:fill="FFFFFF"/>
            <w:noWrap/>
            <w:vAlign w:val="center"/>
            <w:hideMark/>
          </w:tcPr>
          <w:p w14:paraId="78CB8440"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Mean</w:t>
            </w:r>
          </w:p>
        </w:tc>
        <w:tc>
          <w:tcPr>
            <w:tcW w:w="503" w:type="pct"/>
            <w:gridSpan w:val="2"/>
            <w:tcBorders>
              <w:top w:val="nil"/>
              <w:left w:val="nil"/>
              <w:bottom w:val="single" w:sz="4" w:space="0" w:color="auto"/>
              <w:right w:val="nil"/>
            </w:tcBorders>
            <w:shd w:val="clear" w:color="000000" w:fill="FFFFFF"/>
            <w:noWrap/>
            <w:vAlign w:val="center"/>
            <w:hideMark/>
          </w:tcPr>
          <w:p w14:paraId="329D7AAB"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Median</w:t>
            </w:r>
          </w:p>
        </w:tc>
        <w:tc>
          <w:tcPr>
            <w:tcW w:w="531" w:type="pct"/>
            <w:gridSpan w:val="2"/>
            <w:tcBorders>
              <w:top w:val="nil"/>
              <w:left w:val="nil"/>
              <w:bottom w:val="single" w:sz="4" w:space="0" w:color="auto"/>
              <w:right w:val="nil"/>
            </w:tcBorders>
            <w:shd w:val="clear" w:color="000000" w:fill="FFFFFF"/>
            <w:noWrap/>
            <w:vAlign w:val="center"/>
            <w:hideMark/>
          </w:tcPr>
          <w:p w14:paraId="5E77CFDB"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Std. dev.</w:t>
            </w:r>
          </w:p>
        </w:tc>
        <w:tc>
          <w:tcPr>
            <w:tcW w:w="503" w:type="pct"/>
            <w:gridSpan w:val="2"/>
            <w:tcBorders>
              <w:top w:val="nil"/>
              <w:left w:val="nil"/>
              <w:bottom w:val="single" w:sz="4" w:space="0" w:color="auto"/>
              <w:right w:val="nil"/>
            </w:tcBorders>
            <w:shd w:val="clear" w:color="000000" w:fill="FFFFFF"/>
            <w:noWrap/>
            <w:vAlign w:val="center"/>
            <w:hideMark/>
          </w:tcPr>
          <w:p w14:paraId="356DE751"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Min.</w:t>
            </w:r>
          </w:p>
        </w:tc>
        <w:tc>
          <w:tcPr>
            <w:tcW w:w="507" w:type="pct"/>
            <w:gridSpan w:val="3"/>
            <w:tcBorders>
              <w:top w:val="nil"/>
              <w:left w:val="nil"/>
              <w:bottom w:val="single" w:sz="4" w:space="0" w:color="auto"/>
              <w:right w:val="nil"/>
            </w:tcBorders>
            <w:shd w:val="clear" w:color="000000" w:fill="FFFFFF"/>
            <w:noWrap/>
            <w:vAlign w:val="center"/>
            <w:hideMark/>
          </w:tcPr>
          <w:p w14:paraId="544FD156"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 xml:space="preserve">25th </w:t>
            </w:r>
            <w:proofErr w:type="spellStart"/>
            <w:r w:rsidRPr="00E00286">
              <w:rPr>
                <w:rFonts w:ascii="Century Schoolbook" w:eastAsia="Times New Roman" w:hAnsi="Century Schoolbook" w:cs="Times New Roman"/>
                <w:color w:val="000000"/>
                <w:sz w:val="20"/>
                <w:szCs w:val="20"/>
              </w:rPr>
              <w:t>pct</w:t>
            </w:r>
            <w:proofErr w:type="spellEnd"/>
          </w:p>
        </w:tc>
        <w:tc>
          <w:tcPr>
            <w:tcW w:w="507" w:type="pct"/>
            <w:tcBorders>
              <w:top w:val="nil"/>
              <w:left w:val="nil"/>
              <w:bottom w:val="single" w:sz="4" w:space="0" w:color="auto"/>
              <w:right w:val="nil"/>
            </w:tcBorders>
            <w:shd w:val="clear" w:color="000000" w:fill="FFFFFF"/>
            <w:noWrap/>
            <w:vAlign w:val="center"/>
            <w:hideMark/>
          </w:tcPr>
          <w:p w14:paraId="151EB1F4"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 xml:space="preserve">75th </w:t>
            </w:r>
            <w:proofErr w:type="spellStart"/>
            <w:r w:rsidRPr="00E00286">
              <w:rPr>
                <w:rFonts w:ascii="Century Schoolbook" w:eastAsia="Times New Roman" w:hAnsi="Century Schoolbook" w:cs="Times New Roman"/>
                <w:color w:val="000000"/>
                <w:sz w:val="20"/>
                <w:szCs w:val="20"/>
              </w:rPr>
              <w:t>pct</w:t>
            </w:r>
            <w:proofErr w:type="spellEnd"/>
          </w:p>
        </w:tc>
        <w:tc>
          <w:tcPr>
            <w:tcW w:w="498" w:type="pct"/>
            <w:gridSpan w:val="3"/>
            <w:tcBorders>
              <w:top w:val="nil"/>
              <w:left w:val="nil"/>
              <w:bottom w:val="single" w:sz="4" w:space="0" w:color="auto"/>
              <w:right w:val="nil"/>
            </w:tcBorders>
            <w:shd w:val="clear" w:color="000000" w:fill="FFFFFF"/>
            <w:noWrap/>
            <w:vAlign w:val="center"/>
            <w:hideMark/>
          </w:tcPr>
          <w:p w14:paraId="559D8BB8"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Max.</w:t>
            </w:r>
          </w:p>
        </w:tc>
      </w:tr>
      <w:tr w:rsidR="00F770FF" w:rsidRPr="00E00286" w14:paraId="74850795" w14:textId="77777777" w:rsidTr="0023576E">
        <w:trPr>
          <w:trHeight w:val="276"/>
        </w:trPr>
        <w:tc>
          <w:tcPr>
            <w:tcW w:w="947" w:type="pct"/>
            <w:gridSpan w:val="2"/>
            <w:tcBorders>
              <w:top w:val="nil"/>
              <w:left w:val="nil"/>
              <w:bottom w:val="nil"/>
              <w:right w:val="nil"/>
            </w:tcBorders>
            <w:shd w:val="clear" w:color="000000" w:fill="FFFFFF"/>
            <w:noWrap/>
            <w:vAlign w:val="bottom"/>
            <w:hideMark/>
          </w:tcPr>
          <w:p w14:paraId="3A42DB4D" w14:textId="77777777" w:rsidR="00F770FF" w:rsidRPr="00E00286" w:rsidRDefault="00F770FF" w:rsidP="009704E4">
            <w:pPr>
              <w:spacing w:after="0" w:line="240" w:lineRule="auto"/>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All analysts</w:t>
            </w:r>
          </w:p>
        </w:tc>
        <w:tc>
          <w:tcPr>
            <w:tcW w:w="502" w:type="pct"/>
            <w:gridSpan w:val="3"/>
            <w:tcBorders>
              <w:top w:val="nil"/>
              <w:left w:val="nil"/>
              <w:bottom w:val="nil"/>
              <w:right w:val="nil"/>
            </w:tcBorders>
            <w:shd w:val="clear" w:color="000000" w:fill="FFFFFF"/>
            <w:vAlign w:val="center"/>
            <w:hideMark/>
          </w:tcPr>
          <w:p w14:paraId="31E3F297"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25,678</w:t>
            </w:r>
          </w:p>
        </w:tc>
        <w:tc>
          <w:tcPr>
            <w:tcW w:w="503" w:type="pct"/>
            <w:gridSpan w:val="2"/>
            <w:tcBorders>
              <w:top w:val="nil"/>
              <w:left w:val="nil"/>
              <w:bottom w:val="nil"/>
              <w:right w:val="nil"/>
            </w:tcBorders>
            <w:shd w:val="clear" w:color="000000" w:fill="FFFFFF"/>
            <w:hideMark/>
          </w:tcPr>
          <w:p w14:paraId="10DE47A0"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13.1</w:t>
            </w:r>
          </w:p>
        </w:tc>
        <w:tc>
          <w:tcPr>
            <w:tcW w:w="503" w:type="pct"/>
            <w:gridSpan w:val="2"/>
            <w:tcBorders>
              <w:top w:val="nil"/>
              <w:left w:val="nil"/>
              <w:bottom w:val="nil"/>
              <w:right w:val="nil"/>
            </w:tcBorders>
            <w:shd w:val="clear" w:color="000000" w:fill="FFFFFF"/>
            <w:hideMark/>
          </w:tcPr>
          <w:p w14:paraId="3A6E8484"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12.2</w:t>
            </w:r>
          </w:p>
        </w:tc>
        <w:tc>
          <w:tcPr>
            <w:tcW w:w="531" w:type="pct"/>
            <w:gridSpan w:val="2"/>
            <w:tcBorders>
              <w:top w:val="nil"/>
              <w:left w:val="nil"/>
              <w:bottom w:val="nil"/>
              <w:right w:val="nil"/>
            </w:tcBorders>
            <w:shd w:val="clear" w:color="000000" w:fill="FFFFFF"/>
            <w:hideMark/>
          </w:tcPr>
          <w:p w14:paraId="3CDE890E"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6.0</w:t>
            </w:r>
          </w:p>
        </w:tc>
        <w:tc>
          <w:tcPr>
            <w:tcW w:w="503" w:type="pct"/>
            <w:gridSpan w:val="2"/>
            <w:tcBorders>
              <w:top w:val="nil"/>
              <w:left w:val="nil"/>
              <w:bottom w:val="nil"/>
              <w:right w:val="nil"/>
            </w:tcBorders>
            <w:shd w:val="clear" w:color="000000" w:fill="FFFFFF"/>
            <w:hideMark/>
          </w:tcPr>
          <w:p w14:paraId="403CB467"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1.0</w:t>
            </w:r>
          </w:p>
        </w:tc>
        <w:tc>
          <w:tcPr>
            <w:tcW w:w="507" w:type="pct"/>
            <w:gridSpan w:val="3"/>
            <w:tcBorders>
              <w:top w:val="nil"/>
              <w:left w:val="nil"/>
              <w:bottom w:val="nil"/>
              <w:right w:val="nil"/>
            </w:tcBorders>
            <w:shd w:val="clear" w:color="000000" w:fill="FFFFFF"/>
            <w:hideMark/>
          </w:tcPr>
          <w:p w14:paraId="73E1B6D8"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8.8</w:t>
            </w:r>
          </w:p>
        </w:tc>
        <w:tc>
          <w:tcPr>
            <w:tcW w:w="507" w:type="pct"/>
            <w:tcBorders>
              <w:top w:val="nil"/>
              <w:left w:val="nil"/>
              <w:bottom w:val="nil"/>
              <w:right w:val="nil"/>
            </w:tcBorders>
            <w:shd w:val="clear" w:color="000000" w:fill="FFFFFF"/>
            <w:hideMark/>
          </w:tcPr>
          <w:p w14:paraId="35307E18"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16.3</w:t>
            </w:r>
          </w:p>
        </w:tc>
        <w:tc>
          <w:tcPr>
            <w:tcW w:w="498" w:type="pct"/>
            <w:gridSpan w:val="3"/>
            <w:tcBorders>
              <w:top w:val="nil"/>
              <w:left w:val="nil"/>
              <w:bottom w:val="nil"/>
              <w:right w:val="nil"/>
            </w:tcBorders>
            <w:shd w:val="clear" w:color="000000" w:fill="FFFFFF"/>
            <w:hideMark/>
          </w:tcPr>
          <w:p w14:paraId="206241DA"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55.9</w:t>
            </w:r>
          </w:p>
        </w:tc>
      </w:tr>
      <w:tr w:rsidR="00F770FF" w:rsidRPr="00E00286" w14:paraId="5999A59B" w14:textId="77777777" w:rsidTr="0023576E">
        <w:trPr>
          <w:trHeight w:val="276"/>
        </w:trPr>
        <w:tc>
          <w:tcPr>
            <w:tcW w:w="1952" w:type="pct"/>
            <w:gridSpan w:val="7"/>
            <w:tcBorders>
              <w:top w:val="nil"/>
              <w:left w:val="nil"/>
              <w:bottom w:val="nil"/>
              <w:right w:val="nil"/>
            </w:tcBorders>
            <w:shd w:val="clear" w:color="000000" w:fill="FFFFFF"/>
            <w:noWrap/>
            <w:vAlign w:val="bottom"/>
            <w:hideMark/>
          </w:tcPr>
          <w:p w14:paraId="2E80D298" w14:textId="77777777" w:rsidR="00F770FF" w:rsidRPr="00E00286" w:rsidRDefault="00F770FF" w:rsidP="009704E4">
            <w:pPr>
              <w:spacing w:after="0" w:line="240" w:lineRule="auto"/>
              <w:rPr>
                <w:rFonts w:ascii="Century Schoolbook" w:eastAsia="Times New Roman" w:hAnsi="Century Schoolbook" w:cs="Times New Roman"/>
                <w:i/>
                <w:iCs/>
                <w:color w:val="000000"/>
                <w:sz w:val="20"/>
                <w:szCs w:val="20"/>
              </w:rPr>
            </w:pPr>
            <w:r w:rsidRPr="00E00286">
              <w:rPr>
                <w:rFonts w:ascii="Century Schoolbook" w:eastAsia="Times New Roman" w:hAnsi="Century Schoolbook" w:cs="Times New Roman"/>
                <w:i/>
                <w:iCs/>
                <w:color w:val="000000"/>
                <w:sz w:val="20"/>
                <w:szCs w:val="20"/>
              </w:rPr>
              <w:t>Grouped by turnover classification</w:t>
            </w:r>
          </w:p>
        </w:tc>
        <w:tc>
          <w:tcPr>
            <w:tcW w:w="503" w:type="pct"/>
            <w:gridSpan w:val="2"/>
            <w:tcBorders>
              <w:top w:val="nil"/>
              <w:left w:val="nil"/>
              <w:bottom w:val="nil"/>
              <w:right w:val="nil"/>
            </w:tcBorders>
            <w:shd w:val="clear" w:color="000000" w:fill="FFFFFF"/>
            <w:noWrap/>
            <w:vAlign w:val="bottom"/>
            <w:hideMark/>
          </w:tcPr>
          <w:p w14:paraId="1F1BE79D"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 </w:t>
            </w:r>
          </w:p>
        </w:tc>
        <w:tc>
          <w:tcPr>
            <w:tcW w:w="531" w:type="pct"/>
            <w:gridSpan w:val="2"/>
            <w:tcBorders>
              <w:top w:val="nil"/>
              <w:left w:val="nil"/>
              <w:bottom w:val="nil"/>
              <w:right w:val="nil"/>
            </w:tcBorders>
            <w:shd w:val="clear" w:color="000000" w:fill="FFFFFF"/>
            <w:noWrap/>
            <w:vAlign w:val="bottom"/>
            <w:hideMark/>
          </w:tcPr>
          <w:p w14:paraId="0C913613"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 </w:t>
            </w:r>
          </w:p>
        </w:tc>
        <w:tc>
          <w:tcPr>
            <w:tcW w:w="503" w:type="pct"/>
            <w:gridSpan w:val="2"/>
            <w:tcBorders>
              <w:top w:val="nil"/>
              <w:left w:val="nil"/>
              <w:bottom w:val="nil"/>
              <w:right w:val="nil"/>
            </w:tcBorders>
            <w:shd w:val="clear" w:color="000000" w:fill="FFFFFF"/>
            <w:noWrap/>
            <w:vAlign w:val="bottom"/>
            <w:hideMark/>
          </w:tcPr>
          <w:p w14:paraId="39D427AE"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 </w:t>
            </w:r>
          </w:p>
        </w:tc>
        <w:tc>
          <w:tcPr>
            <w:tcW w:w="507" w:type="pct"/>
            <w:gridSpan w:val="3"/>
            <w:tcBorders>
              <w:top w:val="nil"/>
              <w:left w:val="nil"/>
              <w:bottom w:val="nil"/>
              <w:right w:val="nil"/>
            </w:tcBorders>
            <w:shd w:val="clear" w:color="000000" w:fill="FFFFFF"/>
            <w:noWrap/>
            <w:vAlign w:val="bottom"/>
            <w:hideMark/>
          </w:tcPr>
          <w:p w14:paraId="1B032192"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 </w:t>
            </w:r>
          </w:p>
        </w:tc>
        <w:tc>
          <w:tcPr>
            <w:tcW w:w="507" w:type="pct"/>
            <w:tcBorders>
              <w:top w:val="nil"/>
              <w:left w:val="nil"/>
              <w:bottom w:val="nil"/>
              <w:right w:val="nil"/>
            </w:tcBorders>
            <w:shd w:val="clear" w:color="000000" w:fill="FFFFFF"/>
            <w:noWrap/>
            <w:vAlign w:val="bottom"/>
            <w:hideMark/>
          </w:tcPr>
          <w:p w14:paraId="622B8BF8"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 </w:t>
            </w:r>
          </w:p>
        </w:tc>
        <w:tc>
          <w:tcPr>
            <w:tcW w:w="498" w:type="pct"/>
            <w:gridSpan w:val="3"/>
            <w:tcBorders>
              <w:top w:val="nil"/>
              <w:left w:val="nil"/>
              <w:bottom w:val="nil"/>
              <w:right w:val="nil"/>
            </w:tcBorders>
            <w:shd w:val="clear" w:color="000000" w:fill="FFFFFF"/>
            <w:noWrap/>
            <w:vAlign w:val="bottom"/>
            <w:hideMark/>
          </w:tcPr>
          <w:p w14:paraId="3BA59032"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 </w:t>
            </w:r>
          </w:p>
        </w:tc>
      </w:tr>
      <w:tr w:rsidR="00F770FF" w:rsidRPr="00E00286" w14:paraId="48409D24" w14:textId="77777777" w:rsidTr="0023576E">
        <w:trPr>
          <w:trHeight w:val="276"/>
        </w:trPr>
        <w:tc>
          <w:tcPr>
            <w:tcW w:w="947" w:type="pct"/>
            <w:gridSpan w:val="2"/>
            <w:tcBorders>
              <w:top w:val="nil"/>
              <w:left w:val="nil"/>
              <w:bottom w:val="nil"/>
              <w:right w:val="nil"/>
            </w:tcBorders>
            <w:shd w:val="clear" w:color="000000" w:fill="FFFFFF"/>
            <w:noWrap/>
            <w:vAlign w:val="bottom"/>
            <w:hideMark/>
          </w:tcPr>
          <w:p w14:paraId="7673042C" w14:textId="77777777" w:rsidR="00F770FF" w:rsidRPr="00E00286" w:rsidRDefault="00F770FF" w:rsidP="009704E4">
            <w:pPr>
              <w:spacing w:after="0" w:line="240" w:lineRule="auto"/>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 Slow turnover</w:t>
            </w:r>
          </w:p>
        </w:tc>
        <w:tc>
          <w:tcPr>
            <w:tcW w:w="502" w:type="pct"/>
            <w:gridSpan w:val="3"/>
            <w:tcBorders>
              <w:top w:val="nil"/>
              <w:left w:val="nil"/>
              <w:bottom w:val="nil"/>
              <w:right w:val="nil"/>
            </w:tcBorders>
            <w:shd w:val="clear" w:color="000000" w:fill="FFFFFF"/>
            <w:hideMark/>
          </w:tcPr>
          <w:p w14:paraId="3573F629"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5,462</w:t>
            </w:r>
          </w:p>
        </w:tc>
        <w:tc>
          <w:tcPr>
            <w:tcW w:w="503" w:type="pct"/>
            <w:gridSpan w:val="2"/>
            <w:tcBorders>
              <w:top w:val="nil"/>
              <w:left w:val="nil"/>
              <w:bottom w:val="nil"/>
              <w:right w:val="nil"/>
            </w:tcBorders>
            <w:shd w:val="clear" w:color="000000" w:fill="FFFFFF"/>
            <w:hideMark/>
          </w:tcPr>
          <w:p w14:paraId="3CB74535"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20.2</w:t>
            </w:r>
          </w:p>
        </w:tc>
        <w:tc>
          <w:tcPr>
            <w:tcW w:w="503" w:type="pct"/>
            <w:gridSpan w:val="2"/>
            <w:tcBorders>
              <w:top w:val="nil"/>
              <w:left w:val="nil"/>
              <w:bottom w:val="nil"/>
              <w:right w:val="nil"/>
            </w:tcBorders>
            <w:shd w:val="clear" w:color="000000" w:fill="FFFFFF"/>
            <w:hideMark/>
          </w:tcPr>
          <w:p w14:paraId="5DE6D293"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19.4</w:t>
            </w:r>
          </w:p>
        </w:tc>
        <w:tc>
          <w:tcPr>
            <w:tcW w:w="531" w:type="pct"/>
            <w:gridSpan w:val="2"/>
            <w:tcBorders>
              <w:top w:val="nil"/>
              <w:left w:val="nil"/>
              <w:bottom w:val="nil"/>
              <w:right w:val="nil"/>
            </w:tcBorders>
            <w:shd w:val="clear" w:color="000000" w:fill="FFFFFF"/>
            <w:hideMark/>
          </w:tcPr>
          <w:p w14:paraId="7B2946D0"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6.0</w:t>
            </w:r>
          </w:p>
        </w:tc>
        <w:tc>
          <w:tcPr>
            <w:tcW w:w="503" w:type="pct"/>
            <w:gridSpan w:val="2"/>
            <w:tcBorders>
              <w:top w:val="nil"/>
              <w:left w:val="nil"/>
              <w:bottom w:val="nil"/>
              <w:right w:val="nil"/>
            </w:tcBorders>
            <w:shd w:val="clear" w:color="000000" w:fill="FFFFFF"/>
            <w:hideMark/>
          </w:tcPr>
          <w:p w14:paraId="798E8B9A"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5.1</w:t>
            </w:r>
          </w:p>
        </w:tc>
        <w:tc>
          <w:tcPr>
            <w:tcW w:w="507" w:type="pct"/>
            <w:gridSpan w:val="3"/>
            <w:tcBorders>
              <w:top w:val="nil"/>
              <w:left w:val="nil"/>
              <w:bottom w:val="nil"/>
              <w:right w:val="nil"/>
            </w:tcBorders>
            <w:shd w:val="clear" w:color="000000" w:fill="FFFFFF"/>
            <w:hideMark/>
          </w:tcPr>
          <w:p w14:paraId="6C8E7E77"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16.2</w:t>
            </w:r>
          </w:p>
        </w:tc>
        <w:tc>
          <w:tcPr>
            <w:tcW w:w="507" w:type="pct"/>
            <w:tcBorders>
              <w:top w:val="nil"/>
              <w:left w:val="nil"/>
              <w:bottom w:val="nil"/>
              <w:right w:val="nil"/>
            </w:tcBorders>
            <w:shd w:val="clear" w:color="000000" w:fill="FFFFFF"/>
            <w:hideMark/>
          </w:tcPr>
          <w:p w14:paraId="31968E3F"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23.4</w:t>
            </w:r>
          </w:p>
        </w:tc>
        <w:tc>
          <w:tcPr>
            <w:tcW w:w="498" w:type="pct"/>
            <w:gridSpan w:val="3"/>
            <w:tcBorders>
              <w:top w:val="nil"/>
              <w:left w:val="nil"/>
              <w:bottom w:val="nil"/>
              <w:right w:val="nil"/>
            </w:tcBorders>
            <w:shd w:val="clear" w:color="000000" w:fill="FFFFFF"/>
            <w:hideMark/>
          </w:tcPr>
          <w:p w14:paraId="77DBD9D4"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55.9</w:t>
            </w:r>
          </w:p>
        </w:tc>
      </w:tr>
      <w:tr w:rsidR="00F770FF" w:rsidRPr="00E00286" w14:paraId="416F35D8" w14:textId="77777777" w:rsidTr="0023576E">
        <w:trPr>
          <w:trHeight w:val="276"/>
        </w:trPr>
        <w:tc>
          <w:tcPr>
            <w:tcW w:w="947" w:type="pct"/>
            <w:gridSpan w:val="2"/>
            <w:tcBorders>
              <w:top w:val="nil"/>
              <w:left w:val="nil"/>
              <w:bottom w:val="nil"/>
              <w:right w:val="nil"/>
            </w:tcBorders>
            <w:shd w:val="clear" w:color="000000" w:fill="FFFFFF"/>
            <w:noWrap/>
            <w:vAlign w:val="bottom"/>
            <w:hideMark/>
          </w:tcPr>
          <w:p w14:paraId="71D9431E" w14:textId="77777777" w:rsidR="00F770FF" w:rsidRPr="00E00286" w:rsidRDefault="00F770FF" w:rsidP="009704E4">
            <w:pPr>
              <w:spacing w:after="0" w:line="240" w:lineRule="auto"/>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(2)</w:t>
            </w:r>
          </w:p>
        </w:tc>
        <w:tc>
          <w:tcPr>
            <w:tcW w:w="502" w:type="pct"/>
            <w:gridSpan w:val="3"/>
            <w:tcBorders>
              <w:top w:val="nil"/>
              <w:left w:val="nil"/>
              <w:bottom w:val="nil"/>
              <w:right w:val="nil"/>
            </w:tcBorders>
            <w:shd w:val="clear" w:color="000000" w:fill="FFFFFF"/>
            <w:hideMark/>
          </w:tcPr>
          <w:p w14:paraId="36F0DC52"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17,530</w:t>
            </w:r>
          </w:p>
        </w:tc>
        <w:tc>
          <w:tcPr>
            <w:tcW w:w="503" w:type="pct"/>
            <w:gridSpan w:val="2"/>
            <w:tcBorders>
              <w:top w:val="nil"/>
              <w:left w:val="nil"/>
              <w:bottom w:val="nil"/>
              <w:right w:val="nil"/>
            </w:tcBorders>
            <w:shd w:val="clear" w:color="000000" w:fill="FFFFFF"/>
            <w:hideMark/>
          </w:tcPr>
          <w:p w14:paraId="51410A88"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11.9</w:t>
            </w:r>
          </w:p>
        </w:tc>
        <w:tc>
          <w:tcPr>
            <w:tcW w:w="503" w:type="pct"/>
            <w:gridSpan w:val="2"/>
            <w:tcBorders>
              <w:top w:val="nil"/>
              <w:left w:val="nil"/>
              <w:bottom w:val="nil"/>
              <w:right w:val="nil"/>
            </w:tcBorders>
            <w:shd w:val="clear" w:color="000000" w:fill="FFFFFF"/>
            <w:hideMark/>
          </w:tcPr>
          <w:p w14:paraId="473DEDF4"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11.5</w:t>
            </w:r>
          </w:p>
        </w:tc>
        <w:tc>
          <w:tcPr>
            <w:tcW w:w="531" w:type="pct"/>
            <w:gridSpan w:val="2"/>
            <w:tcBorders>
              <w:top w:val="nil"/>
              <w:left w:val="nil"/>
              <w:bottom w:val="nil"/>
              <w:right w:val="nil"/>
            </w:tcBorders>
            <w:shd w:val="clear" w:color="000000" w:fill="FFFFFF"/>
            <w:hideMark/>
          </w:tcPr>
          <w:p w14:paraId="2DDE8EB8"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3.9</w:t>
            </w:r>
          </w:p>
        </w:tc>
        <w:tc>
          <w:tcPr>
            <w:tcW w:w="503" w:type="pct"/>
            <w:gridSpan w:val="2"/>
            <w:tcBorders>
              <w:top w:val="nil"/>
              <w:left w:val="nil"/>
              <w:bottom w:val="nil"/>
              <w:right w:val="nil"/>
            </w:tcBorders>
            <w:shd w:val="clear" w:color="000000" w:fill="FFFFFF"/>
            <w:hideMark/>
          </w:tcPr>
          <w:p w14:paraId="4E1603F5"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2.3</w:t>
            </w:r>
          </w:p>
        </w:tc>
        <w:tc>
          <w:tcPr>
            <w:tcW w:w="507" w:type="pct"/>
            <w:gridSpan w:val="3"/>
            <w:tcBorders>
              <w:top w:val="nil"/>
              <w:left w:val="nil"/>
              <w:bottom w:val="nil"/>
              <w:right w:val="nil"/>
            </w:tcBorders>
            <w:shd w:val="clear" w:color="000000" w:fill="FFFFFF"/>
            <w:hideMark/>
          </w:tcPr>
          <w:p w14:paraId="3DA2A30C"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9.1</w:t>
            </w:r>
          </w:p>
        </w:tc>
        <w:tc>
          <w:tcPr>
            <w:tcW w:w="507" w:type="pct"/>
            <w:tcBorders>
              <w:top w:val="nil"/>
              <w:left w:val="nil"/>
              <w:bottom w:val="nil"/>
              <w:right w:val="nil"/>
            </w:tcBorders>
            <w:shd w:val="clear" w:color="000000" w:fill="FFFFFF"/>
            <w:hideMark/>
          </w:tcPr>
          <w:p w14:paraId="2355E36B"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14.4</w:t>
            </w:r>
          </w:p>
        </w:tc>
        <w:tc>
          <w:tcPr>
            <w:tcW w:w="498" w:type="pct"/>
            <w:gridSpan w:val="3"/>
            <w:tcBorders>
              <w:top w:val="nil"/>
              <w:left w:val="nil"/>
              <w:bottom w:val="nil"/>
              <w:right w:val="nil"/>
            </w:tcBorders>
            <w:shd w:val="clear" w:color="000000" w:fill="FFFFFF"/>
            <w:hideMark/>
          </w:tcPr>
          <w:p w14:paraId="31025477"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34.0</w:t>
            </w:r>
          </w:p>
        </w:tc>
      </w:tr>
      <w:tr w:rsidR="00F770FF" w:rsidRPr="00E00286" w14:paraId="1BD53073" w14:textId="77777777" w:rsidTr="0023576E">
        <w:trPr>
          <w:trHeight w:val="288"/>
        </w:trPr>
        <w:tc>
          <w:tcPr>
            <w:tcW w:w="947" w:type="pct"/>
            <w:gridSpan w:val="2"/>
            <w:tcBorders>
              <w:top w:val="nil"/>
              <w:left w:val="nil"/>
              <w:bottom w:val="double" w:sz="6" w:space="0" w:color="auto"/>
              <w:right w:val="nil"/>
            </w:tcBorders>
            <w:shd w:val="clear" w:color="000000" w:fill="FFFFFF"/>
            <w:noWrap/>
            <w:vAlign w:val="center"/>
            <w:hideMark/>
          </w:tcPr>
          <w:p w14:paraId="6271666D" w14:textId="77777777" w:rsidR="00F770FF" w:rsidRPr="00E00286" w:rsidRDefault="00F770FF" w:rsidP="009704E4">
            <w:pPr>
              <w:spacing w:after="0" w:line="240" w:lineRule="auto"/>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(3) Fast turnover</w:t>
            </w:r>
          </w:p>
        </w:tc>
        <w:tc>
          <w:tcPr>
            <w:tcW w:w="502" w:type="pct"/>
            <w:gridSpan w:val="3"/>
            <w:tcBorders>
              <w:top w:val="nil"/>
              <w:left w:val="nil"/>
              <w:bottom w:val="double" w:sz="6" w:space="0" w:color="auto"/>
              <w:right w:val="nil"/>
            </w:tcBorders>
            <w:shd w:val="clear" w:color="000000" w:fill="FFFFFF"/>
            <w:hideMark/>
          </w:tcPr>
          <w:p w14:paraId="33733DF6"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2,686</w:t>
            </w:r>
          </w:p>
        </w:tc>
        <w:tc>
          <w:tcPr>
            <w:tcW w:w="503" w:type="pct"/>
            <w:gridSpan w:val="2"/>
            <w:tcBorders>
              <w:top w:val="nil"/>
              <w:left w:val="nil"/>
              <w:bottom w:val="double" w:sz="6" w:space="0" w:color="auto"/>
              <w:right w:val="nil"/>
            </w:tcBorders>
            <w:shd w:val="clear" w:color="000000" w:fill="FFFFFF"/>
            <w:hideMark/>
          </w:tcPr>
          <w:p w14:paraId="671CE274"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6.2</w:t>
            </w:r>
          </w:p>
        </w:tc>
        <w:tc>
          <w:tcPr>
            <w:tcW w:w="503" w:type="pct"/>
            <w:gridSpan w:val="2"/>
            <w:tcBorders>
              <w:top w:val="nil"/>
              <w:left w:val="nil"/>
              <w:bottom w:val="double" w:sz="6" w:space="0" w:color="auto"/>
              <w:right w:val="nil"/>
            </w:tcBorders>
            <w:shd w:val="clear" w:color="000000" w:fill="FFFFFF"/>
            <w:hideMark/>
          </w:tcPr>
          <w:p w14:paraId="5A285F0B"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6.0</w:t>
            </w:r>
          </w:p>
        </w:tc>
        <w:tc>
          <w:tcPr>
            <w:tcW w:w="531" w:type="pct"/>
            <w:gridSpan w:val="2"/>
            <w:tcBorders>
              <w:top w:val="nil"/>
              <w:left w:val="nil"/>
              <w:bottom w:val="double" w:sz="6" w:space="0" w:color="auto"/>
              <w:right w:val="nil"/>
            </w:tcBorders>
            <w:shd w:val="clear" w:color="000000" w:fill="FFFFFF"/>
            <w:hideMark/>
          </w:tcPr>
          <w:p w14:paraId="59D32035"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2.3</w:t>
            </w:r>
          </w:p>
        </w:tc>
        <w:tc>
          <w:tcPr>
            <w:tcW w:w="503" w:type="pct"/>
            <w:gridSpan w:val="2"/>
            <w:tcBorders>
              <w:top w:val="nil"/>
              <w:left w:val="nil"/>
              <w:bottom w:val="double" w:sz="6" w:space="0" w:color="auto"/>
              <w:right w:val="nil"/>
            </w:tcBorders>
            <w:shd w:val="clear" w:color="000000" w:fill="FFFFFF"/>
            <w:hideMark/>
          </w:tcPr>
          <w:p w14:paraId="13876AB9"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1.0</w:t>
            </w:r>
          </w:p>
        </w:tc>
        <w:tc>
          <w:tcPr>
            <w:tcW w:w="507" w:type="pct"/>
            <w:gridSpan w:val="3"/>
            <w:tcBorders>
              <w:top w:val="nil"/>
              <w:left w:val="nil"/>
              <w:bottom w:val="double" w:sz="6" w:space="0" w:color="auto"/>
              <w:right w:val="nil"/>
            </w:tcBorders>
            <w:shd w:val="clear" w:color="000000" w:fill="FFFFFF"/>
            <w:hideMark/>
          </w:tcPr>
          <w:p w14:paraId="4D15EA09"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4.5</w:t>
            </w:r>
          </w:p>
        </w:tc>
        <w:tc>
          <w:tcPr>
            <w:tcW w:w="507" w:type="pct"/>
            <w:tcBorders>
              <w:top w:val="nil"/>
              <w:left w:val="nil"/>
              <w:bottom w:val="double" w:sz="6" w:space="0" w:color="auto"/>
              <w:right w:val="nil"/>
            </w:tcBorders>
            <w:shd w:val="clear" w:color="000000" w:fill="FFFFFF"/>
            <w:hideMark/>
          </w:tcPr>
          <w:p w14:paraId="5CC04943"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7.5</w:t>
            </w:r>
          </w:p>
        </w:tc>
        <w:tc>
          <w:tcPr>
            <w:tcW w:w="498" w:type="pct"/>
            <w:gridSpan w:val="3"/>
            <w:tcBorders>
              <w:top w:val="nil"/>
              <w:left w:val="nil"/>
              <w:bottom w:val="double" w:sz="6" w:space="0" w:color="auto"/>
              <w:right w:val="nil"/>
            </w:tcBorders>
            <w:shd w:val="clear" w:color="000000" w:fill="FFFFFF"/>
            <w:hideMark/>
          </w:tcPr>
          <w:p w14:paraId="57C7820E" w14:textId="77777777" w:rsidR="00F770FF" w:rsidRPr="00E00286" w:rsidRDefault="00F770FF" w:rsidP="009704E4">
            <w:pPr>
              <w:spacing w:after="0" w:line="240" w:lineRule="auto"/>
              <w:jc w:val="center"/>
              <w:rPr>
                <w:rFonts w:ascii="Century Schoolbook" w:eastAsia="Times New Roman" w:hAnsi="Century Schoolbook" w:cs="Times New Roman"/>
                <w:color w:val="000000"/>
                <w:sz w:val="20"/>
                <w:szCs w:val="20"/>
              </w:rPr>
            </w:pPr>
            <w:r w:rsidRPr="00E00286">
              <w:rPr>
                <w:rFonts w:ascii="Century Schoolbook" w:eastAsia="Times New Roman" w:hAnsi="Century Schoolbook" w:cs="Times New Roman"/>
                <w:color w:val="000000"/>
                <w:sz w:val="20"/>
                <w:szCs w:val="20"/>
              </w:rPr>
              <w:t>20.1</w:t>
            </w:r>
          </w:p>
        </w:tc>
      </w:tr>
    </w:tbl>
    <w:p w14:paraId="3976DDEB" w14:textId="77777777" w:rsidR="00F770FF" w:rsidRDefault="00F770FF" w:rsidP="00F770FF">
      <w:pPr>
        <w:rPr>
          <w:rFonts w:ascii="Century Schoolbook" w:eastAsia="Times New Roman" w:hAnsi="Century Schoolbook" w:cs="Times New Roman"/>
          <w:b/>
          <w:sz w:val="20"/>
          <w:szCs w:val="20"/>
          <w:lang w:eastAsia="fr-FR"/>
        </w:rPr>
      </w:pPr>
      <w:r>
        <w:rPr>
          <w:rFonts w:ascii="Century Schoolbook" w:eastAsia="Times New Roman" w:hAnsi="Century Schoolbook" w:cs="Times New Roman"/>
          <w:b/>
          <w:sz w:val="20"/>
          <w:szCs w:val="20"/>
          <w:lang w:eastAsia="fr-FR"/>
        </w:rPr>
        <w:br w:type="page"/>
      </w:r>
    </w:p>
    <w:p w14:paraId="202C54F8" w14:textId="77777777" w:rsidR="00F770FF" w:rsidRDefault="00F770FF" w:rsidP="00F770FF">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r w:rsidRPr="000F4D18">
        <w:rPr>
          <w:rFonts w:ascii="Century Schoolbook" w:eastAsia="Times New Roman" w:hAnsi="Century Schoolbook" w:cs="Times New Roman"/>
          <w:b/>
          <w:sz w:val="20"/>
          <w:szCs w:val="20"/>
          <w:lang w:eastAsia="fr-FR"/>
        </w:rPr>
        <w:lastRenderedPageBreak/>
        <w:t xml:space="preserve">Table </w:t>
      </w:r>
      <w:r>
        <w:rPr>
          <w:rFonts w:ascii="Century Schoolbook" w:eastAsia="Times New Roman" w:hAnsi="Century Schoolbook" w:cs="Times New Roman"/>
          <w:b/>
          <w:sz w:val="20"/>
          <w:szCs w:val="20"/>
          <w:lang w:eastAsia="fr-FR"/>
        </w:rPr>
        <w:t>3</w:t>
      </w:r>
    </w:p>
    <w:p w14:paraId="5FC46457" w14:textId="77777777" w:rsidR="00F770FF" w:rsidRDefault="00F770FF" w:rsidP="00F770FF">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r w:rsidRPr="00DF22B3">
        <w:rPr>
          <w:rFonts w:ascii="Century Schoolbook" w:eastAsia="Times New Roman" w:hAnsi="Century Schoolbook" w:cs="Times New Roman"/>
          <w:b/>
          <w:i/>
          <w:sz w:val="20"/>
          <w:szCs w:val="20"/>
          <w:lang w:eastAsia="fr-FR"/>
        </w:rPr>
        <w:t xml:space="preserve">Hazard model for </w:t>
      </w:r>
      <w:r>
        <w:rPr>
          <w:rFonts w:ascii="Century Schoolbook" w:eastAsia="Times New Roman" w:hAnsi="Century Schoolbook" w:cs="Times New Roman"/>
          <w:b/>
          <w:i/>
          <w:sz w:val="20"/>
          <w:szCs w:val="20"/>
          <w:lang w:eastAsia="fr-FR"/>
        </w:rPr>
        <w:t xml:space="preserve">predicting </w:t>
      </w:r>
      <w:r w:rsidRPr="00DF22B3">
        <w:rPr>
          <w:rFonts w:ascii="Century Schoolbook" w:eastAsia="Times New Roman" w:hAnsi="Century Schoolbook" w:cs="Times New Roman"/>
          <w:b/>
          <w:i/>
          <w:sz w:val="20"/>
          <w:szCs w:val="20"/>
          <w:lang w:eastAsia="fr-FR"/>
        </w:rPr>
        <w:t>time to the next recommendation change</w:t>
      </w:r>
    </w:p>
    <w:p w14:paraId="0C4A4AEE" w14:textId="77777777" w:rsidR="00F770FF" w:rsidRDefault="00F770FF" w:rsidP="00F770FF">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p>
    <w:p w14:paraId="19294077" w14:textId="77777777" w:rsidR="00F770FF" w:rsidRPr="00F24E35" w:rsidRDefault="00F770FF" w:rsidP="00F770FF">
      <w:pPr>
        <w:autoSpaceDE w:val="0"/>
        <w:autoSpaceDN w:val="0"/>
        <w:adjustRightInd w:val="0"/>
        <w:spacing w:after="0" w:line="240" w:lineRule="auto"/>
        <w:jc w:val="both"/>
        <w:rPr>
          <w:rFonts w:ascii="Century Schoolbook" w:hAnsi="Century Schoolbook" w:cs="Times New Roman"/>
          <w:sz w:val="21"/>
          <w:szCs w:val="21"/>
        </w:rPr>
      </w:pPr>
      <w:r w:rsidRPr="00F24E35">
        <w:rPr>
          <w:rFonts w:ascii="Century Schoolbook" w:eastAsia="Times New Roman" w:hAnsi="Century Schoolbook" w:cs="Times New Roman"/>
          <w:sz w:val="21"/>
          <w:szCs w:val="21"/>
          <w:lang w:eastAsia="fr-FR"/>
        </w:rPr>
        <w:t xml:space="preserve">This table reports results from estimating the Cox proportional hazard model for predicting time to the next recommendation change. The model is estimated for upgrade and downgrade revisions, separately. Panel A reports results for upgrade revisions, while Panel B reports results for downgrade revisions. The rate at which each outstanding recommendation on stock </w:t>
      </w:r>
      <w:r w:rsidRPr="00F24E35">
        <w:rPr>
          <w:rFonts w:ascii="Century Schoolbook" w:eastAsia="Times New Roman" w:hAnsi="Century Schoolbook" w:cs="Times New Roman"/>
          <w:i/>
          <w:sz w:val="21"/>
          <w:szCs w:val="21"/>
          <w:lang w:eastAsia="fr-FR"/>
        </w:rPr>
        <w:t>j</w:t>
      </w:r>
      <w:r w:rsidRPr="00F24E35">
        <w:rPr>
          <w:rFonts w:ascii="Century Schoolbook" w:eastAsia="Times New Roman" w:hAnsi="Century Schoolbook" w:cs="Times New Roman"/>
          <w:sz w:val="21"/>
          <w:szCs w:val="21"/>
          <w:lang w:eastAsia="fr-FR"/>
        </w:rPr>
        <w:t xml:space="preserve"> by an analyst </w:t>
      </w:r>
      <w:proofErr w:type="spellStart"/>
      <w:r w:rsidRPr="00F24E35">
        <w:rPr>
          <w:rFonts w:ascii="Century Schoolbook" w:eastAsia="Times New Roman" w:hAnsi="Century Schoolbook" w:cs="Times New Roman"/>
          <w:i/>
          <w:sz w:val="21"/>
          <w:szCs w:val="21"/>
          <w:lang w:eastAsia="fr-FR"/>
        </w:rPr>
        <w:t>a</w:t>
      </w:r>
      <w:proofErr w:type="spellEnd"/>
      <w:r w:rsidRPr="00F24E35">
        <w:rPr>
          <w:rFonts w:ascii="Century Schoolbook" w:eastAsia="Times New Roman" w:hAnsi="Century Schoolbook" w:cs="Times New Roman"/>
          <w:i/>
          <w:sz w:val="21"/>
          <w:szCs w:val="21"/>
          <w:lang w:eastAsia="fr-FR"/>
        </w:rPr>
        <w:t xml:space="preserve"> </w:t>
      </w:r>
      <w:r w:rsidRPr="00F24E35">
        <w:rPr>
          <w:rFonts w:ascii="Century Schoolbook" w:eastAsia="Times New Roman" w:hAnsi="Century Schoolbook" w:cs="Times New Roman"/>
          <w:sz w:val="21"/>
          <w:szCs w:val="21"/>
          <w:lang w:eastAsia="fr-FR"/>
        </w:rPr>
        <w:t xml:space="preserve">will be revised in week </w:t>
      </w:r>
      <w:r w:rsidRPr="00F24E35">
        <w:rPr>
          <w:rFonts w:ascii="Century Schoolbook" w:eastAsia="Times New Roman" w:hAnsi="Century Schoolbook" w:cs="Times New Roman"/>
          <w:i/>
          <w:sz w:val="21"/>
          <w:szCs w:val="21"/>
          <w:lang w:eastAsia="fr-FR"/>
        </w:rPr>
        <w:t>t</w:t>
      </w:r>
      <w:r w:rsidRPr="00F24E35">
        <w:rPr>
          <w:rFonts w:ascii="Century Schoolbook" w:eastAsia="Times New Roman" w:hAnsi="Century Schoolbook" w:cs="Times New Roman"/>
          <w:sz w:val="21"/>
          <w:szCs w:val="21"/>
          <w:lang w:eastAsia="fr-FR"/>
        </w:rPr>
        <w:t xml:space="preserve"> is determined by the </w:t>
      </w:r>
      <w:r w:rsidRPr="00F24E35">
        <w:rPr>
          <w:rFonts w:ascii="Century Schoolbook" w:hAnsi="Century Schoolbook" w:cs="Times New Roman"/>
          <w:sz w:val="21"/>
          <w:szCs w:val="21"/>
        </w:rPr>
        <w:t>hazard rate</w:t>
      </w:r>
      <m:oMath>
        <m:r>
          <w:rPr>
            <w:rFonts w:ascii="Cambria Math" w:hAnsi="Cambria Math" w:cs="Times New Roman"/>
            <w:sz w:val="21"/>
            <w:szCs w:val="21"/>
          </w:rPr>
          <m:t xml:space="preserve"> λ</m:t>
        </m:r>
        <m:d>
          <m:dPr>
            <m:ctrlPr>
              <w:rPr>
                <w:rFonts w:ascii="Cambria Math" w:hAnsi="Cambria Math" w:cs="Times New Roman"/>
                <w:i/>
                <w:sz w:val="21"/>
                <w:szCs w:val="21"/>
              </w:rPr>
            </m:ctrlPr>
          </m:dPr>
          <m:e>
            <m:r>
              <w:rPr>
                <w:rFonts w:ascii="Cambria Math" w:hAnsi="Cambria Math" w:cs="Times New Roman"/>
                <w:sz w:val="21"/>
                <w:szCs w:val="21"/>
              </w:rPr>
              <m:t xml:space="preserve"> t </m:t>
            </m:r>
          </m:e>
        </m:d>
      </m:oMath>
      <w:r w:rsidRPr="00F24E35">
        <w:rPr>
          <w:rFonts w:ascii="Century Schoolbook" w:eastAsiaTheme="minorEastAsia" w:hAnsi="Century Schoolbook" w:cs="Times New Roman"/>
          <w:sz w:val="21"/>
          <w:szCs w:val="21"/>
        </w:rPr>
        <w:t xml:space="preserve">. </w:t>
      </w:r>
      <w:r w:rsidRPr="00F24E35">
        <w:rPr>
          <w:rFonts w:ascii="Century Schoolbook" w:hAnsi="Century Schoolbook" w:cs="Times New Roman"/>
          <w:sz w:val="21"/>
          <w:szCs w:val="21"/>
        </w:rPr>
        <w:t>We assume the hazard rate at which each recommendation will be revised follows a log-linear model:</w:t>
      </w:r>
    </w:p>
    <w:p w14:paraId="5E9ACAF4" w14:textId="77777777" w:rsidR="00F770FF" w:rsidRPr="00F24E35" w:rsidRDefault="00F770FF" w:rsidP="00F770FF">
      <w:pPr>
        <w:autoSpaceDE w:val="0"/>
        <w:autoSpaceDN w:val="0"/>
        <w:adjustRightInd w:val="0"/>
        <w:spacing w:after="0" w:line="240" w:lineRule="auto"/>
        <w:jc w:val="both"/>
        <w:rPr>
          <w:rFonts w:ascii="Century Schoolbook" w:eastAsia="Times New Roman" w:hAnsi="Century Schoolbook" w:cs="Times New Roman"/>
          <w:sz w:val="21"/>
          <w:szCs w:val="21"/>
          <w:lang w:eastAsia="fr-FR"/>
        </w:rPr>
      </w:pPr>
    </w:p>
    <w:p w14:paraId="7368D58B" w14:textId="1FA6F5BC" w:rsidR="00F770FF" w:rsidRPr="00F24E35" w:rsidRDefault="00F770FF" w:rsidP="00F770FF">
      <w:pPr>
        <w:autoSpaceDE w:val="0"/>
        <w:autoSpaceDN w:val="0"/>
        <w:adjustRightInd w:val="0"/>
        <w:spacing w:after="0" w:line="240" w:lineRule="auto"/>
        <w:jc w:val="both"/>
        <w:rPr>
          <w:rFonts w:ascii="Century Schoolbook" w:eastAsia="Times New Roman" w:hAnsi="Century Schoolbook" w:cs="Times New Roman"/>
          <w:sz w:val="21"/>
          <w:szCs w:val="21"/>
          <w:lang w:eastAsia="fr-FR"/>
        </w:rPr>
      </w:pPr>
      <m:oMathPara>
        <m:oMath>
          <m:r>
            <w:rPr>
              <w:rFonts w:ascii="Cambria Math" w:hAnsi="Cambria Math"/>
              <w:sz w:val="21"/>
              <w:szCs w:val="21"/>
            </w:rPr>
            <m:t>λ</m:t>
          </m:r>
          <m:d>
            <m:dPr>
              <m:ctrlPr>
                <w:rPr>
                  <w:rFonts w:ascii="Cambria Math" w:hAnsi="Cambria Math"/>
                  <w:i/>
                  <w:sz w:val="21"/>
                  <w:szCs w:val="21"/>
                </w:rPr>
              </m:ctrlPr>
            </m:dPr>
            <m:e>
              <m:r>
                <w:rPr>
                  <w:rFonts w:ascii="Cambria Math" w:hAnsi="Cambria Math"/>
                  <w:sz w:val="21"/>
                  <w:szCs w:val="21"/>
                </w:rPr>
                <m:t xml:space="preserve">t </m:t>
              </m:r>
            </m:e>
          </m:d>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λ</m:t>
              </m:r>
            </m:e>
            <m:sub>
              <m:r>
                <w:rPr>
                  <w:rFonts w:ascii="Cambria Math" w:hAnsi="Cambria Math"/>
                  <w:sz w:val="21"/>
                  <w:szCs w:val="21"/>
                </w:rPr>
                <m:t>0,j</m:t>
              </m:r>
            </m:sub>
          </m:sSub>
          <m:d>
            <m:dPr>
              <m:ctrlPr>
                <w:rPr>
                  <w:rFonts w:ascii="Cambria Math" w:hAnsi="Cambria Math" w:cs="Times New Roman"/>
                  <w:i/>
                  <w:sz w:val="21"/>
                  <w:szCs w:val="21"/>
                </w:rPr>
              </m:ctrlPr>
            </m:dPr>
            <m:e>
              <m:r>
                <w:rPr>
                  <w:rFonts w:ascii="Cambria Math" w:hAnsi="Cambria Math"/>
                  <w:sz w:val="21"/>
                  <w:szCs w:val="21"/>
                </w:rPr>
                <m:t>t</m:t>
              </m:r>
            </m:e>
          </m:d>
          <m:func>
            <m:funcPr>
              <m:ctrlPr>
                <w:rPr>
                  <w:rFonts w:ascii="Cambria Math" w:hAnsi="Cambria Math"/>
                  <w:sz w:val="21"/>
                  <w:szCs w:val="21"/>
                </w:rPr>
              </m:ctrlPr>
            </m:funcPr>
            <m:fName>
              <m:r>
                <m:rPr>
                  <m:sty m:val="p"/>
                </m:rPr>
                <w:rPr>
                  <w:rFonts w:ascii="Cambria Math" w:hAnsi="Cambria Math"/>
                  <w:sz w:val="21"/>
                  <w:szCs w:val="21"/>
                </w:rPr>
                <m:t>exp</m:t>
              </m:r>
            </m:fName>
            <m:e>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i/>
                          <w:sz w:val="21"/>
                          <w:szCs w:val="21"/>
                        </w:rPr>
                        <w:sym w:font="Symbol" w:char="F061"/>
                      </m:r>
                    </m:e>
                    <m:sub>
                      <m:r>
                        <w:rPr>
                          <w:rFonts w:ascii="Cambria Math" w:hAnsi="Cambria Math"/>
                          <w:sz w:val="21"/>
                          <w:szCs w:val="21"/>
                        </w:rPr>
                        <m:t>Slow</m:t>
                      </m:r>
                    </m:sub>
                  </m:sSub>
                  <m:sSub>
                    <m:sSubPr>
                      <m:ctrlPr>
                        <w:rPr>
                          <w:rFonts w:ascii="Cambria Math" w:hAnsi="Cambria Math"/>
                          <w:i/>
                          <w:sz w:val="21"/>
                          <w:szCs w:val="21"/>
                        </w:rPr>
                      </m:ctrlPr>
                    </m:sSubPr>
                    <m:e>
                      <m:r>
                        <w:rPr>
                          <w:rFonts w:ascii="Cambria Math" w:hAnsi="Cambria Math"/>
                          <w:sz w:val="21"/>
                          <w:szCs w:val="21"/>
                        </w:rPr>
                        <m:t>Slow</m:t>
                      </m:r>
                    </m:e>
                    <m:sub>
                      <m:r>
                        <w:rPr>
                          <w:rFonts w:ascii="Cambria Math" w:hAnsi="Cambria Math"/>
                          <w:sz w:val="21"/>
                          <w:szCs w:val="21"/>
                        </w:rPr>
                        <m:t>a</m:t>
                      </m:r>
                    </m:sub>
                  </m:sSub>
                  <m:r>
                    <w:rPr>
                      <w:rFonts w:ascii="Cambria Math" w:hAnsi="Cambria Math"/>
                      <w:sz w:val="21"/>
                      <w:szCs w:val="21"/>
                    </w:rPr>
                    <m:t xml:space="preserve"> + </m:t>
                  </m:r>
                  <m:sSub>
                    <m:sSubPr>
                      <m:ctrlPr>
                        <w:rPr>
                          <w:rFonts w:ascii="Cambria Math" w:hAnsi="Cambria Math"/>
                          <w:i/>
                          <w:sz w:val="21"/>
                          <w:szCs w:val="21"/>
                        </w:rPr>
                      </m:ctrlPr>
                    </m:sSubPr>
                    <m:e>
                      <m:r>
                        <w:rPr>
                          <w:rFonts w:ascii="Cambria Math" w:hAnsi="Cambria Math"/>
                          <w:i/>
                          <w:sz w:val="21"/>
                          <w:szCs w:val="21"/>
                        </w:rPr>
                        <w:sym w:font="Symbol" w:char="F061"/>
                      </m:r>
                    </m:e>
                    <m:sub>
                      <m:r>
                        <w:rPr>
                          <w:rFonts w:ascii="Cambria Math" w:hAnsi="Cambria Math"/>
                          <w:sz w:val="21"/>
                          <w:szCs w:val="21"/>
                        </w:rPr>
                        <m:t>Fast</m:t>
                      </m:r>
                    </m:sub>
                  </m:sSub>
                  <m:sSub>
                    <m:sSubPr>
                      <m:ctrlPr>
                        <w:rPr>
                          <w:rFonts w:ascii="Cambria Math" w:hAnsi="Cambria Math"/>
                          <w:i/>
                          <w:sz w:val="21"/>
                          <w:szCs w:val="21"/>
                        </w:rPr>
                      </m:ctrlPr>
                    </m:sSubPr>
                    <m:e>
                      <m:r>
                        <w:rPr>
                          <w:rFonts w:ascii="Cambria Math" w:hAnsi="Cambria Math"/>
                          <w:sz w:val="21"/>
                          <w:szCs w:val="21"/>
                        </w:rPr>
                        <m:t>Fast</m:t>
                      </m:r>
                    </m:e>
                    <m:sub>
                      <m:r>
                        <w:rPr>
                          <w:rFonts w:ascii="Cambria Math" w:hAnsi="Cambria Math"/>
                          <w:sz w:val="21"/>
                          <w:szCs w:val="21"/>
                        </w:rPr>
                        <m:t>a</m:t>
                      </m:r>
                    </m:sub>
                  </m:sSub>
                  <m:r>
                    <m:rPr>
                      <m:sty m:val="p"/>
                    </m:rPr>
                    <w:rPr>
                      <w:rFonts w:ascii="Cambria Math" w:hAnsi="Cambria Math"/>
                      <w:sz w:val="21"/>
                      <w:szCs w:val="21"/>
                    </w:rPr>
                    <w:softHyphen/>
                  </m:r>
                  <m:r>
                    <w:rPr>
                      <w:rFonts w:ascii="Cambria Math" w:hAnsi="Cambria Math"/>
                      <w:sz w:val="21"/>
                      <w:szCs w:val="21"/>
                    </w:rPr>
                    <m:t xml:space="preserve">  </m:t>
                  </m:r>
                  <m:sSubSup>
                    <m:sSubSupPr>
                      <m:ctrlPr>
                        <w:rPr>
                          <w:rFonts w:ascii="Cambria Math" w:hAnsi="Cambria Math" w:cs="Times New Roman"/>
                          <w:i/>
                          <w:sz w:val="21"/>
                          <w:szCs w:val="21"/>
                        </w:rPr>
                      </m:ctrlPr>
                    </m:sSubSupPr>
                    <m:e>
                      <m:r>
                        <m:rPr>
                          <m:sty m:val="p"/>
                        </m:rPr>
                        <w:rPr>
                          <w:rFonts w:ascii="Cambria Math" w:hAnsi="Cambria Math"/>
                          <w:sz w:val="21"/>
                          <w:szCs w:val="21"/>
                        </w:rPr>
                        <m:t>+ Σ</m:t>
                      </m:r>
                    </m:e>
                    <m:sub>
                      <m:r>
                        <w:rPr>
                          <w:rFonts w:ascii="Cambria Math" w:hAnsi="Cambria Math"/>
                          <w:sz w:val="21"/>
                          <w:szCs w:val="21"/>
                        </w:rPr>
                        <m:t>i</m:t>
                      </m:r>
                    </m:sub>
                    <m:sup/>
                  </m:sSubSup>
                  <m:sSub>
                    <m:sSubPr>
                      <m:ctrlPr>
                        <w:rPr>
                          <w:rFonts w:ascii="Cambria Math" w:hAnsi="Cambria Math" w:cs="Times New Roman"/>
                          <w:i/>
                          <w:sz w:val="21"/>
                          <w:szCs w:val="21"/>
                        </w:rPr>
                      </m:ctrlPr>
                    </m:sSubPr>
                    <m:e>
                      <m:r>
                        <w:rPr>
                          <w:rFonts w:ascii="Cambria Math" w:hAnsi="Cambria Math"/>
                          <w:i/>
                          <w:sz w:val="21"/>
                          <w:szCs w:val="21"/>
                        </w:rPr>
                        <w:sym w:font="Symbol" w:char="F062"/>
                      </m:r>
                    </m:e>
                    <m:sub>
                      <m:r>
                        <w:rPr>
                          <w:rFonts w:ascii="Cambria Math" w:hAnsi="Cambria Math"/>
                          <w:sz w:val="21"/>
                          <w:szCs w:val="21"/>
                        </w:rPr>
                        <m:t>i</m:t>
                      </m:r>
                    </m:sub>
                  </m:sSub>
                  <m:sSub>
                    <m:sSubPr>
                      <m:ctrlPr>
                        <w:rPr>
                          <w:rFonts w:ascii="Cambria Math" w:hAnsi="Cambria Math" w:cs="Times New Roman"/>
                          <w:i/>
                          <w:sz w:val="21"/>
                          <w:szCs w:val="21"/>
                        </w:rPr>
                      </m:ctrlPr>
                    </m:sSubPr>
                    <m:e>
                      <m:r>
                        <w:rPr>
                          <w:rFonts w:ascii="Cambria Math" w:hAnsi="Cambria Math"/>
                          <w:sz w:val="21"/>
                          <w:szCs w:val="21"/>
                        </w:rPr>
                        <m:t>X</m:t>
                      </m:r>
                    </m:e>
                    <m:sub>
                      <m:r>
                        <w:rPr>
                          <w:rFonts w:ascii="Cambria Math" w:hAnsi="Cambria Math"/>
                          <w:sz w:val="21"/>
                          <w:szCs w:val="21"/>
                        </w:rPr>
                        <m:t>i,j</m:t>
                      </m:r>
                    </m:sub>
                  </m:sSub>
                  <m:r>
                    <w:rPr>
                      <w:rFonts w:ascii="Cambria Math" w:hAnsi="Cambria Math" w:cs="Times New Roman"/>
                      <w:sz w:val="21"/>
                      <w:szCs w:val="21"/>
                    </w:rPr>
                    <m:t xml:space="preserve">(t)+ </m:t>
                  </m:r>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a</m:t>
                      </m:r>
                    </m:sub>
                  </m:sSub>
                </m:e>
              </m:d>
            </m:e>
          </m:func>
          <m:r>
            <w:rPr>
              <w:rFonts w:ascii="Cambria Math" w:hAnsi="Cambria Math"/>
              <w:sz w:val="21"/>
              <w:szCs w:val="21"/>
            </w:rPr>
            <m:t>.</m:t>
          </m:r>
        </m:oMath>
      </m:oMathPara>
    </w:p>
    <w:p w14:paraId="17D52CB6" w14:textId="77777777" w:rsidR="00F770FF" w:rsidRPr="00F24E35" w:rsidRDefault="00F770FF" w:rsidP="00F770FF">
      <w:pPr>
        <w:autoSpaceDE w:val="0"/>
        <w:autoSpaceDN w:val="0"/>
        <w:adjustRightInd w:val="0"/>
        <w:spacing w:after="0" w:line="240" w:lineRule="auto"/>
        <w:jc w:val="both"/>
        <w:rPr>
          <w:rFonts w:ascii="Century Schoolbook" w:eastAsia="Times New Roman" w:hAnsi="Century Schoolbook" w:cs="Times New Roman"/>
          <w:sz w:val="21"/>
          <w:szCs w:val="21"/>
          <w:lang w:eastAsia="fr-FR"/>
        </w:rPr>
      </w:pPr>
    </w:p>
    <w:p w14:paraId="6820F54B" w14:textId="6EA150A2" w:rsidR="00F770FF" w:rsidRPr="00F24E35" w:rsidRDefault="00F770FF" w:rsidP="00482665">
      <w:pPr>
        <w:autoSpaceDE w:val="0"/>
        <w:autoSpaceDN w:val="0"/>
        <w:adjustRightInd w:val="0"/>
        <w:spacing w:after="0" w:line="240" w:lineRule="auto"/>
        <w:jc w:val="both"/>
        <w:rPr>
          <w:rFonts w:ascii="Century Schoolbook" w:eastAsia="Times New Roman" w:hAnsi="Century Schoolbook" w:cs="Times New Roman"/>
          <w:color w:val="000000"/>
          <w:sz w:val="21"/>
          <w:szCs w:val="21"/>
        </w:rPr>
      </w:pPr>
      <w:r w:rsidRPr="00F24E35">
        <w:rPr>
          <w:rFonts w:ascii="Century Schoolbook" w:hAnsi="Century Schoolbook" w:cs="Times New Roman"/>
          <w:sz w:val="21"/>
          <w:szCs w:val="21"/>
        </w:rPr>
        <w:t>The model is estimated at the recommendation-week level. We report the hazard ratio next to each estimated under the column labeled “HR”.</w:t>
      </w:r>
      <w:r w:rsidRPr="00F24E35">
        <w:rPr>
          <w:rFonts w:ascii="Century Schoolbook" w:eastAsia="Times New Roman" w:hAnsi="Century Schoolbook" w:cs="Times New Roman"/>
          <w:color w:val="000000"/>
          <w:sz w:val="21"/>
          <w:szCs w:val="21"/>
        </w:rPr>
        <w:t xml:space="preserve"> </w:t>
      </w:r>
      <w:r w:rsidRPr="00F24E35">
        <w:rPr>
          <w:rFonts w:ascii="Century Schoolbook" w:eastAsiaTheme="minorEastAsia" w:hAnsi="Century Schoolbook" w:cs="Times New Roman"/>
          <w:sz w:val="21"/>
          <w:szCs w:val="21"/>
        </w:rPr>
        <w:t xml:space="preserve">The main variable of interests are indicator variables </w:t>
      </w:r>
      <w:r w:rsidRPr="00F24E35">
        <w:rPr>
          <w:rFonts w:ascii="Century Schoolbook" w:eastAsiaTheme="minorEastAsia" w:hAnsi="Century Schoolbook" w:cs="Times New Roman"/>
          <w:i/>
          <w:sz w:val="21"/>
          <w:szCs w:val="21"/>
        </w:rPr>
        <w:t>Slow</w:t>
      </w:r>
      <w:r w:rsidRPr="00F24E35">
        <w:rPr>
          <w:rFonts w:ascii="Century Schoolbook" w:eastAsiaTheme="minorEastAsia" w:hAnsi="Century Schoolbook" w:cs="Times New Roman"/>
          <w:sz w:val="21"/>
          <w:szCs w:val="21"/>
        </w:rPr>
        <w:t xml:space="preserve"> and </w:t>
      </w:r>
      <w:r w:rsidRPr="00F24E35">
        <w:rPr>
          <w:rFonts w:ascii="Century Schoolbook" w:eastAsiaTheme="minorEastAsia" w:hAnsi="Century Schoolbook" w:cs="Times New Roman"/>
          <w:i/>
          <w:sz w:val="21"/>
          <w:szCs w:val="21"/>
        </w:rPr>
        <w:t xml:space="preserve">Fast, </w:t>
      </w:r>
      <w:r w:rsidRPr="00F24E35">
        <w:rPr>
          <w:rFonts w:ascii="Century Schoolbook" w:eastAsiaTheme="minorEastAsia" w:hAnsi="Century Schoolbook" w:cs="Times New Roman"/>
          <w:sz w:val="21"/>
          <w:szCs w:val="21"/>
        </w:rPr>
        <w:t xml:space="preserve">indicating the recommendation speed-style of the analyst obtained from the previous year. For instance, </w:t>
      </w:r>
      <w:proofErr w:type="gramStart"/>
      <w:r w:rsidRPr="00F24E35">
        <w:rPr>
          <w:rFonts w:ascii="Century Schoolbook" w:eastAsiaTheme="minorEastAsia" w:hAnsi="Century Schoolbook" w:cs="Times New Roman"/>
          <w:i/>
          <w:sz w:val="21"/>
          <w:szCs w:val="21"/>
        </w:rPr>
        <w:t>Slow</w:t>
      </w:r>
      <w:proofErr w:type="gramEnd"/>
      <w:r w:rsidRPr="00F24E35">
        <w:rPr>
          <w:rFonts w:ascii="Century Schoolbook" w:eastAsiaTheme="minorEastAsia" w:hAnsi="Century Schoolbook" w:cs="Times New Roman"/>
          <w:sz w:val="21"/>
          <w:szCs w:val="21"/>
        </w:rPr>
        <w:t xml:space="preserve"> (</w:t>
      </w:r>
      <w:r w:rsidRPr="00F24E35">
        <w:rPr>
          <w:rFonts w:ascii="Century Schoolbook" w:eastAsiaTheme="minorEastAsia" w:hAnsi="Century Schoolbook" w:cs="Times New Roman"/>
          <w:i/>
          <w:sz w:val="21"/>
          <w:szCs w:val="21"/>
        </w:rPr>
        <w:t>Fast</w:t>
      </w:r>
      <w:r w:rsidRPr="00F24E35">
        <w:rPr>
          <w:rFonts w:ascii="Century Schoolbook" w:eastAsiaTheme="minorEastAsia" w:hAnsi="Century Schoolbook" w:cs="Times New Roman"/>
          <w:sz w:val="21"/>
          <w:szCs w:val="21"/>
        </w:rPr>
        <w:t xml:space="preserve">) is equal to 1 if the analyst was classified as the slow-turnover (fast-turnover) type in the previous year, and 0 otherwise. </w:t>
      </w:r>
      <w:r w:rsidR="00F53845" w:rsidRPr="00F24E35">
        <w:rPr>
          <w:rFonts w:ascii="Century Schoolbook" w:eastAsiaTheme="minorEastAsia" w:hAnsi="Century Schoolbook" w:cs="Times New Roman"/>
          <w:sz w:val="21"/>
          <w:szCs w:val="21"/>
        </w:rPr>
        <w:t>We let t</w:t>
      </w:r>
      <w:r w:rsidRPr="00F24E35">
        <w:rPr>
          <w:rFonts w:ascii="Century Schoolbook" w:eastAsiaTheme="minorEastAsia" w:hAnsi="Century Schoolbook" w:cs="Times New Roman"/>
          <w:sz w:val="21"/>
          <w:szCs w:val="21"/>
        </w:rPr>
        <w:t xml:space="preserve">he </w:t>
      </w:r>
      <w:r w:rsidRPr="00F24E35">
        <w:rPr>
          <w:rFonts w:ascii="Century Schoolbook" w:hAnsi="Century Schoolbook" w:cs="Times New Roman"/>
          <w:sz w:val="21"/>
          <w:szCs w:val="21"/>
        </w:rPr>
        <w:t xml:space="preserve">baseline hazard </w:t>
      </w:r>
      <w:r w:rsidR="00F53845" w:rsidRPr="00F24E35">
        <w:rPr>
          <w:rFonts w:ascii="Century Schoolbook" w:eastAsiaTheme="minorEastAsia" w:hAnsi="Century Schoolbook" w:cs="Times New Roman"/>
          <w:sz w:val="21"/>
          <w:szCs w:val="21"/>
        </w:rPr>
        <w:t>be</w:t>
      </w:r>
      <w:r w:rsidRPr="00F24E35">
        <w:rPr>
          <w:rFonts w:ascii="Century Schoolbook" w:eastAsiaTheme="minorEastAsia" w:hAnsi="Century Schoolbook" w:cs="Times New Roman"/>
          <w:sz w:val="21"/>
          <w:szCs w:val="21"/>
        </w:rPr>
        <w:t xml:space="preserve"> firm specific, and denoted by </w:t>
      </w:r>
      <m:oMath>
        <m:sSub>
          <m:sSubPr>
            <m:ctrlPr>
              <w:rPr>
                <w:rFonts w:ascii="Cambria Math" w:hAnsi="Cambria Math"/>
                <w:i/>
                <w:sz w:val="21"/>
                <w:szCs w:val="21"/>
              </w:rPr>
            </m:ctrlPr>
          </m:sSubPr>
          <m:e>
            <m:r>
              <w:rPr>
                <w:rFonts w:ascii="Cambria Math" w:hAnsi="Cambria Math"/>
                <w:sz w:val="21"/>
                <w:szCs w:val="21"/>
              </w:rPr>
              <m:t>λ</m:t>
            </m:r>
          </m:e>
          <m:sub>
            <m:r>
              <w:rPr>
                <w:rFonts w:ascii="Cambria Math" w:hAnsi="Cambria Math"/>
                <w:sz w:val="21"/>
                <w:szCs w:val="21"/>
              </w:rPr>
              <m:t>0,j</m:t>
            </m:r>
          </m:sub>
        </m:sSub>
        <m:d>
          <m:dPr>
            <m:ctrlPr>
              <w:rPr>
                <w:rFonts w:ascii="Cambria Math" w:hAnsi="Cambria Math" w:cs="Times New Roman"/>
                <w:i/>
                <w:sz w:val="21"/>
                <w:szCs w:val="21"/>
              </w:rPr>
            </m:ctrlPr>
          </m:dPr>
          <m:e>
            <m:r>
              <w:rPr>
                <w:rFonts w:ascii="Cambria Math" w:hAnsi="Cambria Math"/>
                <w:sz w:val="21"/>
                <w:szCs w:val="21"/>
              </w:rPr>
              <m:t>t</m:t>
            </m:r>
          </m:e>
        </m:d>
      </m:oMath>
      <w:r w:rsidRPr="00F24E35">
        <w:rPr>
          <w:rFonts w:ascii="Century Schoolbook" w:eastAsiaTheme="minorEastAsia" w:hAnsi="Century Schoolbook" w:cs="Times New Roman"/>
          <w:sz w:val="21"/>
          <w:szCs w:val="21"/>
        </w:rPr>
        <w:t xml:space="preserve"> for firm </w:t>
      </w:r>
      <w:r w:rsidRPr="00F24E35">
        <w:rPr>
          <w:rFonts w:ascii="Century Schoolbook" w:eastAsiaTheme="minorEastAsia" w:hAnsi="Century Schoolbook" w:cs="Times New Roman"/>
          <w:i/>
          <w:sz w:val="21"/>
          <w:szCs w:val="21"/>
        </w:rPr>
        <w:t>j</w:t>
      </w:r>
      <w:r w:rsidRPr="00F24E35">
        <w:rPr>
          <w:rFonts w:ascii="Century Schoolbook" w:eastAsiaTheme="minorEastAsia" w:hAnsi="Century Schoolbook" w:cs="Times New Roman"/>
          <w:sz w:val="21"/>
          <w:szCs w:val="21"/>
        </w:rPr>
        <w:t xml:space="preserve">. We include firm-level, industry-level, and recommendation-level controls in the model; they are represented by </w:t>
      </w:r>
      <m:oMath>
        <m:sSubSup>
          <m:sSubSupPr>
            <m:ctrlPr>
              <w:rPr>
                <w:rFonts w:ascii="Cambria Math" w:hAnsi="Cambria Math" w:cs="Times New Roman"/>
                <w:i/>
                <w:sz w:val="21"/>
                <w:szCs w:val="21"/>
              </w:rPr>
            </m:ctrlPr>
          </m:sSubSupPr>
          <m:e>
            <m:r>
              <m:rPr>
                <m:sty m:val="p"/>
              </m:rPr>
              <w:rPr>
                <w:rFonts w:ascii="Cambria Math" w:hAnsi="Cambria Math"/>
                <w:sz w:val="21"/>
                <w:szCs w:val="21"/>
              </w:rPr>
              <m:t>Σ</m:t>
            </m:r>
          </m:e>
          <m:sub>
            <m:r>
              <w:rPr>
                <w:rFonts w:ascii="Cambria Math" w:hAnsi="Cambria Math"/>
                <w:sz w:val="21"/>
                <w:szCs w:val="21"/>
              </w:rPr>
              <m:t>i</m:t>
            </m:r>
          </m:sub>
          <m:sup/>
        </m:sSubSup>
        <m:sSub>
          <m:sSubPr>
            <m:ctrlPr>
              <w:rPr>
                <w:rFonts w:ascii="Cambria Math" w:hAnsi="Cambria Math" w:cs="Times New Roman"/>
                <w:i/>
                <w:sz w:val="21"/>
                <w:szCs w:val="21"/>
              </w:rPr>
            </m:ctrlPr>
          </m:sSubPr>
          <m:e>
            <m:r>
              <w:rPr>
                <w:rFonts w:ascii="Cambria Math" w:hAnsi="Cambria Math"/>
                <w:i/>
                <w:sz w:val="21"/>
                <w:szCs w:val="21"/>
              </w:rPr>
              <w:sym w:font="Symbol" w:char="F062"/>
            </m:r>
          </m:e>
          <m:sub>
            <m:r>
              <w:rPr>
                <w:rFonts w:ascii="Cambria Math" w:hAnsi="Cambria Math"/>
                <w:sz w:val="21"/>
                <w:szCs w:val="21"/>
              </w:rPr>
              <m:t>i</m:t>
            </m:r>
          </m:sub>
        </m:sSub>
        <m:sSub>
          <m:sSubPr>
            <m:ctrlPr>
              <w:rPr>
                <w:rFonts w:ascii="Cambria Math" w:hAnsi="Cambria Math" w:cs="Times New Roman"/>
                <w:i/>
                <w:sz w:val="21"/>
                <w:szCs w:val="21"/>
              </w:rPr>
            </m:ctrlPr>
          </m:sSubPr>
          <m:e>
            <m:r>
              <w:rPr>
                <w:rFonts w:ascii="Cambria Math" w:hAnsi="Cambria Math"/>
                <w:sz w:val="21"/>
                <w:szCs w:val="21"/>
              </w:rPr>
              <m:t>X</m:t>
            </m:r>
          </m:e>
          <m:sub>
            <m:r>
              <w:rPr>
                <w:rFonts w:ascii="Cambria Math" w:hAnsi="Cambria Math"/>
                <w:sz w:val="21"/>
                <w:szCs w:val="21"/>
              </w:rPr>
              <m:t>i,j</m:t>
            </m:r>
          </m:sub>
        </m:sSub>
        <m:r>
          <w:rPr>
            <w:rFonts w:ascii="Cambria Math" w:hAnsi="Cambria Math" w:cs="Times New Roman"/>
            <w:sz w:val="21"/>
            <w:szCs w:val="21"/>
          </w:rPr>
          <m:t>(t)</m:t>
        </m:r>
      </m:oMath>
      <w:r w:rsidRPr="00F24E35">
        <w:rPr>
          <w:rFonts w:ascii="Century Schoolbook" w:eastAsiaTheme="minorEastAsia" w:hAnsi="Century Schoolbook" w:cs="Times New Roman"/>
          <w:sz w:val="21"/>
          <w:szCs w:val="21"/>
        </w:rPr>
        <w:t xml:space="preserve"> in the lo</w:t>
      </w:r>
      <w:r w:rsidR="00482665" w:rsidRPr="00F24E35">
        <w:rPr>
          <w:rFonts w:ascii="Century Schoolbook" w:eastAsiaTheme="minorEastAsia" w:hAnsi="Century Schoolbook" w:cs="Times New Roman"/>
          <w:sz w:val="21"/>
          <w:szCs w:val="21"/>
        </w:rPr>
        <w:t xml:space="preserve">g-linear hazard rate model. We allow for unobserved heterogeneity in the hazard-rate model at the analyst level by including analyst-random effects. This is represented by </w:t>
      </w:r>
      <m:oMath>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a</m:t>
            </m:r>
          </m:sub>
        </m:sSub>
      </m:oMath>
      <w:r w:rsidR="00482665" w:rsidRPr="00F24E35">
        <w:rPr>
          <w:rFonts w:ascii="Century Schoolbook" w:eastAsiaTheme="minorEastAsia" w:hAnsi="Century Schoolbook" w:cs="Times New Roman"/>
          <w:sz w:val="21"/>
          <w:szCs w:val="21"/>
        </w:rPr>
        <w:t>, which is normall</w:t>
      </w:r>
      <w:r w:rsidR="007134D6" w:rsidRPr="00F24E35">
        <w:rPr>
          <w:rFonts w:ascii="Century Schoolbook" w:eastAsiaTheme="minorEastAsia" w:hAnsi="Century Schoolbook" w:cs="Times New Roman"/>
          <w:sz w:val="21"/>
          <w:szCs w:val="21"/>
        </w:rPr>
        <w:t xml:space="preserve">y distributed. </w:t>
      </w:r>
      <w:r w:rsidR="00482665" w:rsidRPr="00F24E35">
        <w:rPr>
          <w:rFonts w:ascii="Century Schoolbook" w:eastAsiaTheme="minorEastAsia" w:hAnsi="Century Schoolbook" w:cs="Times New Roman"/>
          <w:sz w:val="21"/>
          <w:szCs w:val="21"/>
        </w:rPr>
        <w:t>Y</w:t>
      </w:r>
      <w:r w:rsidR="00F53845" w:rsidRPr="00F24E35">
        <w:rPr>
          <w:rFonts w:ascii="Century Schoolbook" w:eastAsiaTheme="minorEastAsia" w:hAnsi="Century Schoolbook" w:cs="Times New Roman"/>
          <w:sz w:val="21"/>
          <w:szCs w:val="21"/>
        </w:rPr>
        <w:t>ear-</w:t>
      </w:r>
      <w:r w:rsidRPr="00F24E35">
        <w:rPr>
          <w:rFonts w:ascii="Century Schoolbook" w:eastAsiaTheme="minorEastAsia" w:hAnsi="Century Schoolbook" w:cs="Times New Roman"/>
          <w:sz w:val="21"/>
          <w:szCs w:val="21"/>
        </w:rPr>
        <w:t>fixed effects are included in all regressions.</w:t>
      </w:r>
      <w:r w:rsidR="00482665" w:rsidRPr="00F24E35">
        <w:rPr>
          <w:rFonts w:ascii="Century Schoolbook" w:eastAsia="Times New Roman" w:hAnsi="Century Schoolbook" w:cs="Times New Roman"/>
          <w:color w:val="000000"/>
          <w:sz w:val="21"/>
          <w:szCs w:val="21"/>
        </w:rPr>
        <w:t xml:space="preserve"> </w:t>
      </w:r>
      <w:r w:rsidRPr="00F24E35">
        <w:rPr>
          <w:rFonts w:ascii="Century Schoolbook" w:eastAsia="Times New Roman" w:hAnsi="Century Schoolbook" w:cs="Times New Roman"/>
          <w:i/>
          <w:color w:val="000000"/>
          <w:sz w:val="21"/>
          <w:szCs w:val="21"/>
        </w:rPr>
        <w:t>Concurrent with earnings</w:t>
      </w:r>
      <w:r w:rsidRPr="00F24E35">
        <w:rPr>
          <w:rFonts w:ascii="Century Schoolbook" w:eastAsia="Times New Roman" w:hAnsi="Century Schoolbook" w:cs="Times New Roman"/>
          <w:color w:val="000000"/>
          <w:sz w:val="21"/>
          <w:szCs w:val="21"/>
        </w:rPr>
        <w:t xml:space="preserve"> is an indicator variable equal to 1 if there is an earnings announcement in the current week </w:t>
      </w:r>
      <w:r w:rsidRPr="00F24E35">
        <w:rPr>
          <w:rFonts w:ascii="Century Schoolbook" w:eastAsia="Times New Roman" w:hAnsi="Century Schoolbook" w:cs="Times New Roman"/>
          <w:i/>
          <w:color w:val="000000"/>
          <w:sz w:val="21"/>
          <w:szCs w:val="21"/>
        </w:rPr>
        <w:t>t</w:t>
      </w:r>
      <w:r w:rsidRPr="00F24E35">
        <w:rPr>
          <w:rFonts w:ascii="Century Schoolbook" w:eastAsia="Times New Roman" w:hAnsi="Century Schoolbook" w:cs="Times New Roman"/>
          <w:color w:val="000000"/>
          <w:sz w:val="21"/>
          <w:szCs w:val="21"/>
        </w:rPr>
        <w:t xml:space="preserve">, and 0 otherwise. All other </w:t>
      </w:r>
      <w:r w:rsidR="00482665" w:rsidRPr="00F24E35">
        <w:rPr>
          <w:rFonts w:ascii="Century Schoolbook" w:eastAsia="Times New Roman" w:hAnsi="Century Schoolbook" w:cs="Times New Roman"/>
          <w:color w:val="000000"/>
          <w:sz w:val="21"/>
          <w:szCs w:val="21"/>
        </w:rPr>
        <w:t>independent variables</w:t>
      </w:r>
      <w:r w:rsidRPr="00F24E35">
        <w:rPr>
          <w:rFonts w:ascii="Century Schoolbook" w:eastAsia="Times New Roman" w:hAnsi="Century Schoolbook" w:cs="Times New Roman"/>
          <w:color w:val="000000"/>
          <w:sz w:val="21"/>
          <w:szCs w:val="21"/>
        </w:rPr>
        <w:t xml:space="preserve"> are lagged by one period. </w:t>
      </w:r>
      <w:r w:rsidRPr="00F24E35">
        <w:rPr>
          <w:rFonts w:ascii="Century Schoolbook" w:eastAsia="Times New Roman" w:hAnsi="Century Schoolbook" w:cs="Times New Roman"/>
          <w:i/>
          <w:color w:val="000000"/>
          <w:sz w:val="21"/>
          <w:szCs w:val="21"/>
        </w:rPr>
        <w:t xml:space="preserve">News intensity </w:t>
      </w:r>
      <w:r w:rsidRPr="00F24E35">
        <w:rPr>
          <w:rFonts w:ascii="Century Schoolbook" w:eastAsia="Times New Roman" w:hAnsi="Century Schoolbook" w:cs="Times New Roman"/>
          <w:color w:val="000000"/>
          <w:sz w:val="21"/>
          <w:szCs w:val="21"/>
        </w:rPr>
        <w:t xml:space="preserve">is the number of firm-specific news observed in the previous week. We obtain news database from </w:t>
      </w:r>
      <w:r w:rsidR="00482665" w:rsidRPr="00F24E35">
        <w:rPr>
          <w:rFonts w:ascii="Century Schoolbook" w:eastAsia="Times New Roman" w:hAnsi="Century Schoolbook" w:cs="Times New Roman"/>
          <w:color w:val="000000"/>
          <w:sz w:val="21"/>
          <w:szCs w:val="21"/>
        </w:rPr>
        <w:t xml:space="preserve">the </w:t>
      </w:r>
      <w:r w:rsidRPr="00F24E35">
        <w:rPr>
          <w:rFonts w:ascii="Century Schoolbook" w:eastAsia="Times New Roman" w:hAnsi="Century Schoolbook" w:cs="Times New Roman"/>
          <w:color w:val="000000"/>
          <w:sz w:val="21"/>
          <w:szCs w:val="21"/>
        </w:rPr>
        <w:t>Capital IQ</w:t>
      </w:r>
      <w:r w:rsidR="00482665" w:rsidRPr="00F24E35">
        <w:rPr>
          <w:rFonts w:ascii="Century Schoolbook" w:eastAsia="Times New Roman" w:hAnsi="Century Schoolbook" w:cs="Times New Roman"/>
          <w:color w:val="000000"/>
          <w:sz w:val="21"/>
          <w:szCs w:val="21"/>
        </w:rPr>
        <w:t>’s</w:t>
      </w:r>
      <w:r w:rsidRPr="00F24E35">
        <w:rPr>
          <w:rFonts w:ascii="Century Schoolbook" w:eastAsia="Times New Roman" w:hAnsi="Century Schoolbook" w:cs="Times New Roman"/>
          <w:color w:val="000000"/>
          <w:sz w:val="21"/>
          <w:szCs w:val="21"/>
        </w:rPr>
        <w:t xml:space="preserve"> Key </w:t>
      </w:r>
      <w:r w:rsidR="00482665" w:rsidRPr="00F24E35">
        <w:rPr>
          <w:rFonts w:ascii="Century Schoolbook" w:eastAsia="Times New Roman" w:hAnsi="Century Schoolbook" w:cs="Times New Roman"/>
          <w:color w:val="000000"/>
          <w:sz w:val="21"/>
          <w:szCs w:val="21"/>
        </w:rPr>
        <w:t>d</w:t>
      </w:r>
      <w:r w:rsidRPr="00F24E35">
        <w:rPr>
          <w:rFonts w:ascii="Century Schoolbook" w:eastAsia="Times New Roman" w:hAnsi="Century Schoolbook" w:cs="Times New Roman"/>
          <w:color w:val="000000"/>
          <w:sz w:val="21"/>
          <w:szCs w:val="21"/>
        </w:rPr>
        <w:t xml:space="preserve">evelopments </w:t>
      </w:r>
      <w:r w:rsidR="00482665" w:rsidRPr="00F24E35">
        <w:rPr>
          <w:rFonts w:ascii="Century Schoolbook" w:eastAsia="Times New Roman" w:hAnsi="Century Schoolbook" w:cs="Times New Roman"/>
          <w:color w:val="000000"/>
          <w:sz w:val="21"/>
          <w:szCs w:val="21"/>
        </w:rPr>
        <w:t xml:space="preserve">database </w:t>
      </w:r>
      <w:r w:rsidRPr="00F24E35">
        <w:rPr>
          <w:rFonts w:ascii="Century Schoolbook" w:eastAsia="Times New Roman" w:hAnsi="Century Schoolbook" w:cs="Times New Roman"/>
          <w:color w:val="000000"/>
          <w:sz w:val="21"/>
          <w:szCs w:val="21"/>
        </w:rPr>
        <w:t xml:space="preserve">and the sample period begins in 2003. Therefore, regression specifications with </w:t>
      </w:r>
      <w:r w:rsidRPr="00F24E35">
        <w:rPr>
          <w:rFonts w:ascii="Century Schoolbook" w:eastAsia="Times New Roman" w:hAnsi="Century Schoolbook" w:cs="Times New Roman"/>
          <w:i/>
          <w:color w:val="000000"/>
          <w:sz w:val="21"/>
          <w:szCs w:val="21"/>
        </w:rPr>
        <w:t>News intensity</w:t>
      </w:r>
      <w:r w:rsidRPr="00F24E35">
        <w:rPr>
          <w:rFonts w:ascii="Century Schoolbook" w:eastAsia="Times New Roman" w:hAnsi="Century Schoolbook" w:cs="Times New Roman"/>
          <w:color w:val="000000"/>
          <w:sz w:val="21"/>
          <w:szCs w:val="21"/>
        </w:rPr>
        <w:t xml:space="preserve">, i.e., </w:t>
      </w:r>
      <w:r w:rsidR="0040106E" w:rsidRPr="00F24E35">
        <w:rPr>
          <w:rFonts w:ascii="Century Schoolbook" w:eastAsia="Times New Roman" w:hAnsi="Century Schoolbook" w:cs="Times New Roman"/>
          <w:color w:val="000000"/>
          <w:sz w:val="21"/>
          <w:szCs w:val="21"/>
        </w:rPr>
        <w:t>Columns</w:t>
      </w:r>
      <w:r w:rsidRPr="00F24E35">
        <w:rPr>
          <w:rFonts w:ascii="Century Schoolbook" w:eastAsia="Times New Roman" w:hAnsi="Century Schoolbook" w:cs="Times New Roman"/>
          <w:color w:val="000000"/>
          <w:sz w:val="21"/>
          <w:szCs w:val="21"/>
        </w:rPr>
        <w:t xml:space="preserve"> (3)</w:t>
      </w:r>
      <w:r w:rsidR="0040106E" w:rsidRPr="00F24E35">
        <w:rPr>
          <w:rFonts w:ascii="Century Schoolbook" w:eastAsia="Times New Roman" w:hAnsi="Century Schoolbook" w:cs="Times New Roman"/>
          <w:color w:val="000000"/>
          <w:sz w:val="21"/>
          <w:szCs w:val="21"/>
        </w:rPr>
        <w:t xml:space="preserve"> and (6), are</w:t>
      </w:r>
      <w:r w:rsidRPr="00F24E35">
        <w:rPr>
          <w:rFonts w:ascii="Century Schoolbook" w:eastAsia="Times New Roman" w:hAnsi="Century Schoolbook" w:cs="Times New Roman"/>
          <w:color w:val="000000"/>
          <w:sz w:val="21"/>
          <w:szCs w:val="21"/>
        </w:rPr>
        <w:t xml:space="preserve"> estimated using recommendation observations from 2003 through 2013. All other regression specifications are estimated using observations from 1996 through 2013. </w:t>
      </w:r>
      <w:r w:rsidRPr="00F24E35">
        <w:rPr>
          <w:rFonts w:ascii="Century Schoolbook" w:eastAsia="Times New Roman" w:hAnsi="Century Schoolbook" w:cs="Times New Roman"/>
          <w:i/>
          <w:color w:val="000000"/>
          <w:sz w:val="21"/>
          <w:szCs w:val="21"/>
        </w:rPr>
        <w:t xml:space="preserve">Positive stock price jump </w:t>
      </w:r>
      <w:r w:rsidRPr="00F24E35">
        <w:rPr>
          <w:rFonts w:ascii="Century Schoolbook" w:eastAsia="Times New Roman" w:hAnsi="Century Schoolbook" w:cs="Times New Roman"/>
          <w:color w:val="000000"/>
          <w:sz w:val="21"/>
          <w:szCs w:val="21"/>
        </w:rPr>
        <w:t>(</w:t>
      </w:r>
      <w:r w:rsidRPr="00F24E35">
        <w:rPr>
          <w:rFonts w:ascii="Century Schoolbook" w:eastAsia="Times New Roman" w:hAnsi="Century Schoolbook" w:cs="Times New Roman"/>
          <w:i/>
          <w:color w:val="000000"/>
          <w:sz w:val="21"/>
          <w:szCs w:val="21"/>
        </w:rPr>
        <w:t>Negative stock price jump</w:t>
      </w:r>
      <w:r w:rsidRPr="00F24E35">
        <w:rPr>
          <w:rFonts w:ascii="Century Schoolbook" w:eastAsia="Times New Roman" w:hAnsi="Century Schoolbook" w:cs="Times New Roman"/>
          <w:color w:val="000000"/>
          <w:sz w:val="21"/>
          <w:szCs w:val="21"/>
        </w:rPr>
        <w:t>)</w:t>
      </w:r>
      <w:r w:rsidRPr="00F24E35">
        <w:rPr>
          <w:rFonts w:ascii="Century Schoolbook" w:eastAsia="Times New Roman" w:hAnsi="Century Schoolbook" w:cs="Times New Roman"/>
          <w:i/>
          <w:color w:val="000000"/>
          <w:sz w:val="21"/>
          <w:szCs w:val="21"/>
        </w:rPr>
        <w:t xml:space="preserve"> </w:t>
      </w:r>
      <w:r w:rsidRPr="00F24E35">
        <w:rPr>
          <w:rFonts w:ascii="Century Schoolbook" w:eastAsia="Times New Roman" w:hAnsi="Century Schoolbook" w:cs="Times New Roman"/>
          <w:color w:val="000000"/>
          <w:sz w:val="21"/>
          <w:szCs w:val="21"/>
        </w:rPr>
        <w:t xml:space="preserve">is equal to 1 if </w:t>
      </w:r>
      <w:r w:rsidR="00FE0154" w:rsidRPr="00F24E35">
        <w:rPr>
          <w:rFonts w:ascii="Century Schoolbook" w:eastAsia="Times New Roman" w:hAnsi="Century Schoolbook" w:cs="Times New Roman"/>
          <w:color w:val="000000"/>
          <w:sz w:val="21"/>
          <w:szCs w:val="21"/>
        </w:rPr>
        <w:t xml:space="preserve">there is </w:t>
      </w:r>
      <w:r w:rsidRPr="00F24E35">
        <w:rPr>
          <w:rFonts w:ascii="Century Schoolbook" w:eastAsia="Times New Roman" w:hAnsi="Century Schoolbook" w:cs="Times New Roman"/>
          <w:color w:val="000000"/>
          <w:sz w:val="21"/>
          <w:szCs w:val="21"/>
        </w:rPr>
        <w:t xml:space="preserve">a positive (negative) stock price change in the previous week, and 0 otherwise. </w:t>
      </w:r>
      <w:r w:rsidRPr="00F24E35">
        <w:rPr>
          <w:rFonts w:ascii="Century Schoolbook" w:hAnsi="Century Schoolbook"/>
          <w:sz w:val="21"/>
          <w:szCs w:val="21"/>
        </w:rPr>
        <w:t xml:space="preserve">We follow the method in </w:t>
      </w:r>
      <w:proofErr w:type="spellStart"/>
      <w:r w:rsidRPr="00F24E35">
        <w:rPr>
          <w:rFonts w:ascii="Century Schoolbook" w:hAnsi="Century Schoolbook"/>
          <w:sz w:val="21"/>
          <w:szCs w:val="21"/>
        </w:rPr>
        <w:t>Loh</w:t>
      </w:r>
      <w:proofErr w:type="spellEnd"/>
      <w:r w:rsidRPr="00F24E35">
        <w:rPr>
          <w:rFonts w:ascii="Century Schoolbook" w:hAnsi="Century Schoolbook"/>
          <w:sz w:val="21"/>
          <w:szCs w:val="21"/>
        </w:rPr>
        <w:t xml:space="preserve"> and </w:t>
      </w:r>
      <w:proofErr w:type="spellStart"/>
      <w:r w:rsidRPr="00F24E35">
        <w:rPr>
          <w:rFonts w:ascii="Century Schoolbook" w:hAnsi="Century Schoolbook"/>
          <w:sz w:val="21"/>
          <w:szCs w:val="21"/>
        </w:rPr>
        <w:t>Stulz</w:t>
      </w:r>
      <w:proofErr w:type="spellEnd"/>
      <w:r w:rsidRPr="00F24E35">
        <w:rPr>
          <w:rFonts w:ascii="Century Schoolbook" w:hAnsi="Century Schoolbook"/>
          <w:sz w:val="21"/>
          <w:szCs w:val="21"/>
        </w:rPr>
        <w:t xml:space="preserve"> (2011) and define jump as a visibly large stock price change that cannot be explained by the current</w:t>
      </w:r>
      <w:r w:rsidR="00482665" w:rsidRPr="00F24E35">
        <w:rPr>
          <w:rFonts w:ascii="Century Schoolbook" w:hAnsi="Century Schoolbook"/>
          <w:sz w:val="21"/>
          <w:szCs w:val="21"/>
        </w:rPr>
        <w:t xml:space="preserve"> stock</w:t>
      </w:r>
      <w:r w:rsidRPr="00F24E35">
        <w:rPr>
          <w:rFonts w:ascii="Century Schoolbook" w:hAnsi="Century Schoolbook"/>
          <w:sz w:val="21"/>
          <w:szCs w:val="21"/>
        </w:rPr>
        <w:t xml:space="preserve"> volatility level. </w:t>
      </w:r>
      <w:r w:rsidRPr="00F24E35">
        <w:rPr>
          <w:rFonts w:ascii="Century Schoolbook" w:eastAsia="Times New Roman" w:hAnsi="Century Schoolbook" w:cs="Times New Roman"/>
          <w:color w:val="000000"/>
          <w:sz w:val="21"/>
          <w:szCs w:val="21"/>
        </w:rPr>
        <w:t xml:space="preserve"> </w:t>
      </w:r>
      <w:r w:rsidRPr="00F24E35">
        <w:rPr>
          <w:rFonts w:ascii="Century Schoolbook" w:eastAsia="Times New Roman" w:hAnsi="Century Schoolbook" w:cs="Times New Roman"/>
          <w:i/>
          <w:color w:val="000000"/>
          <w:sz w:val="21"/>
          <w:szCs w:val="21"/>
        </w:rPr>
        <w:t xml:space="preserve">Market-adjusted stock return </w:t>
      </w:r>
      <w:r w:rsidRPr="00F24E35">
        <w:rPr>
          <w:rFonts w:ascii="Century Schoolbook" w:eastAsia="Times New Roman" w:hAnsi="Century Schoolbook" w:cs="Times New Roman"/>
          <w:color w:val="000000"/>
          <w:sz w:val="21"/>
          <w:szCs w:val="21"/>
        </w:rPr>
        <w:t xml:space="preserve">is the cumulative one-month buy-and-hold stock return relative to that of the CRSP value-weighted index return observed in the previous week. </w:t>
      </w:r>
      <w:r w:rsidRPr="00F24E35">
        <w:rPr>
          <w:rFonts w:ascii="Century Schoolbook" w:eastAsia="Times New Roman" w:hAnsi="Century Schoolbook" w:cs="Times New Roman"/>
          <w:i/>
          <w:color w:val="000000"/>
          <w:sz w:val="21"/>
          <w:szCs w:val="21"/>
        </w:rPr>
        <w:t xml:space="preserve">Industry-adjusted stock return </w:t>
      </w:r>
      <w:r w:rsidRPr="00F24E35">
        <w:rPr>
          <w:rFonts w:ascii="Century Schoolbook" w:eastAsia="Times New Roman" w:hAnsi="Century Schoolbook" w:cs="Times New Roman"/>
          <w:color w:val="000000"/>
          <w:sz w:val="21"/>
          <w:szCs w:val="21"/>
        </w:rPr>
        <w:t>is the cumulative one-month buy-and-hold stock return relative to that of the industry portfolio return observed in the previous week. We classify firms into different industries following the Global Industry Classification Standard (GICS</w:t>
      </w:r>
      <w:r w:rsidRPr="00F24E35">
        <w:rPr>
          <w:rFonts w:ascii="Century Schoolbook" w:eastAsia="Times New Roman" w:hAnsi="Century Schoolbook" w:cs="Times New Roman"/>
          <w:i/>
          <w:color w:val="000000"/>
          <w:sz w:val="21"/>
          <w:szCs w:val="21"/>
        </w:rPr>
        <w:t>)</w:t>
      </w:r>
      <w:r w:rsidRPr="00F24E35">
        <w:rPr>
          <w:rFonts w:ascii="Century Schoolbook" w:eastAsia="Times New Roman" w:hAnsi="Century Schoolbook" w:cs="Times New Roman"/>
          <w:color w:val="000000"/>
          <w:sz w:val="21"/>
          <w:szCs w:val="21"/>
        </w:rPr>
        <w:t>.</w:t>
      </w:r>
      <w:r w:rsidR="00482665" w:rsidRPr="00F24E35">
        <w:rPr>
          <w:rFonts w:ascii="Century Schoolbook" w:eastAsia="Times New Roman" w:hAnsi="Century Schoolbook" w:cs="Times New Roman"/>
          <w:color w:val="000000"/>
          <w:sz w:val="21"/>
          <w:szCs w:val="21"/>
        </w:rPr>
        <w:t xml:space="preserve"> </w:t>
      </w:r>
      <w:r w:rsidRPr="00F24E35">
        <w:rPr>
          <w:rFonts w:ascii="Century Schoolbook" w:eastAsia="Times New Roman" w:hAnsi="Century Schoolbook" w:cs="Times New Roman"/>
          <w:i/>
          <w:color w:val="000000"/>
          <w:sz w:val="21"/>
          <w:szCs w:val="21"/>
        </w:rPr>
        <w:t xml:space="preserve">Stock volatility </w:t>
      </w:r>
      <w:r w:rsidRPr="00F24E35">
        <w:rPr>
          <w:rFonts w:ascii="Century Schoolbook" w:eastAsia="Times New Roman" w:hAnsi="Century Schoolbook" w:cs="Times New Roman"/>
          <w:color w:val="000000"/>
          <w:sz w:val="21"/>
          <w:szCs w:val="21"/>
        </w:rPr>
        <w:t xml:space="preserve">is the standard deviation of daily stock return calculated over each week. </w:t>
      </w:r>
      <w:r w:rsidRPr="00F24E35">
        <w:rPr>
          <w:rFonts w:ascii="Century Schoolbook" w:eastAsia="Times New Roman" w:hAnsi="Century Schoolbook" w:cs="Times New Roman"/>
          <w:i/>
          <w:color w:val="000000"/>
          <w:sz w:val="21"/>
          <w:szCs w:val="21"/>
        </w:rPr>
        <w:t xml:space="preserve">Stock volume </w:t>
      </w:r>
      <w:r w:rsidRPr="00F24E35">
        <w:rPr>
          <w:rFonts w:ascii="Century Schoolbook" w:eastAsia="Times New Roman" w:hAnsi="Century Schoolbook" w:cs="Times New Roman"/>
          <w:color w:val="000000"/>
          <w:sz w:val="21"/>
          <w:szCs w:val="21"/>
        </w:rPr>
        <w:t xml:space="preserve">and </w:t>
      </w:r>
      <w:r w:rsidRPr="00F24E35">
        <w:rPr>
          <w:rFonts w:ascii="Century Schoolbook" w:eastAsia="Times New Roman" w:hAnsi="Century Schoolbook" w:cs="Times New Roman"/>
          <w:i/>
          <w:color w:val="000000"/>
          <w:sz w:val="21"/>
          <w:szCs w:val="21"/>
        </w:rPr>
        <w:t xml:space="preserve">Industry volume </w:t>
      </w:r>
      <w:r w:rsidRPr="00F24E35">
        <w:rPr>
          <w:rFonts w:ascii="Century Schoolbook" w:eastAsia="Times New Roman" w:hAnsi="Century Schoolbook" w:cs="Times New Roman"/>
          <w:color w:val="000000"/>
          <w:sz w:val="21"/>
          <w:szCs w:val="21"/>
        </w:rPr>
        <w:t>are log of total trading volumes on the stock</w:t>
      </w:r>
      <w:r w:rsidRPr="00F24E35">
        <w:rPr>
          <w:rFonts w:ascii="Century Schoolbook" w:eastAsia="Times New Roman" w:hAnsi="Century Schoolbook" w:cs="Times New Roman"/>
          <w:i/>
          <w:color w:val="000000"/>
          <w:sz w:val="21"/>
          <w:szCs w:val="21"/>
        </w:rPr>
        <w:t xml:space="preserve"> </w:t>
      </w:r>
      <w:r w:rsidRPr="00F24E35">
        <w:rPr>
          <w:rFonts w:ascii="Century Schoolbook" w:eastAsia="Times New Roman" w:hAnsi="Century Schoolbook" w:cs="Times New Roman"/>
          <w:color w:val="000000"/>
          <w:sz w:val="21"/>
          <w:szCs w:val="21"/>
        </w:rPr>
        <w:t xml:space="preserve">and on the industry observed over the week, respectively. </w:t>
      </w:r>
      <w:r w:rsidRPr="00F24E35">
        <w:rPr>
          <w:rFonts w:ascii="Century Schoolbook" w:eastAsia="Times New Roman" w:hAnsi="Century Schoolbook" w:cs="Times New Roman"/>
          <w:i/>
          <w:color w:val="000000"/>
          <w:sz w:val="21"/>
          <w:szCs w:val="21"/>
        </w:rPr>
        <w:t xml:space="preserve">Price rel. to 52-week high </w:t>
      </w:r>
      <w:r w:rsidRPr="00F24E35">
        <w:rPr>
          <w:rFonts w:ascii="Century Schoolbook" w:eastAsia="Times New Roman" w:hAnsi="Century Schoolbook" w:cs="Times New Roman"/>
          <w:color w:val="000000"/>
          <w:sz w:val="21"/>
          <w:szCs w:val="21"/>
        </w:rPr>
        <w:t xml:space="preserve">is the ratio of the stock price to its 52-week high price. </w:t>
      </w:r>
      <w:r w:rsidRPr="00F24E35">
        <w:rPr>
          <w:rFonts w:ascii="Century Schoolbook" w:eastAsia="Times New Roman" w:hAnsi="Century Schoolbook" w:cs="Times New Roman"/>
          <w:i/>
          <w:color w:val="000000"/>
          <w:sz w:val="21"/>
          <w:szCs w:val="21"/>
        </w:rPr>
        <w:t xml:space="preserve"># level up/down </w:t>
      </w:r>
      <w:r w:rsidRPr="00F24E35">
        <w:rPr>
          <w:rFonts w:ascii="Century Schoolbook" w:eastAsia="Times New Roman" w:hAnsi="Century Schoolbook" w:cs="Times New Roman"/>
          <w:color w:val="000000"/>
          <w:sz w:val="21"/>
          <w:szCs w:val="21"/>
        </w:rPr>
        <w:t xml:space="preserve">is the absolute magnitude of the recommendation scale change as defined in IBES. </w:t>
      </w:r>
      <w:r w:rsidR="00270CDF" w:rsidRPr="00F24E35">
        <w:rPr>
          <w:rFonts w:ascii="Century Schoolbook" w:eastAsia="Times New Roman" w:hAnsi="Century Schoolbook" w:cs="Times New Roman"/>
          <w:color w:val="000000"/>
          <w:sz w:val="21"/>
          <w:szCs w:val="21"/>
        </w:rPr>
        <w:t>Previous</w:t>
      </w:r>
      <w:r w:rsidRPr="00F24E35">
        <w:rPr>
          <w:rFonts w:ascii="Century Schoolbook" w:eastAsia="Times New Roman" w:hAnsi="Century Schoolbook" w:cs="Times New Roman"/>
          <w:color w:val="000000"/>
          <w:sz w:val="21"/>
          <w:szCs w:val="21"/>
        </w:rPr>
        <w:t xml:space="preserve">-recommendation-level fixed effects </w:t>
      </w:r>
      <w:r w:rsidR="00270CDF" w:rsidRPr="00F24E35">
        <w:rPr>
          <w:rFonts w:ascii="Century Schoolbook" w:eastAsia="Times New Roman" w:hAnsi="Century Schoolbook" w:cs="Times New Roman"/>
          <w:color w:val="000000"/>
          <w:sz w:val="21"/>
          <w:szCs w:val="21"/>
        </w:rPr>
        <w:t>are represented by</w:t>
      </w:r>
      <w:r w:rsidRPr="00F24E35">
        <w:rPr>
          <w:rFonts w:ascii="Century Schoolbook" w:eastAsia="Times New Roman" w:hAnsi="Century Schoolbook" w:cs="Times New Roman"/>
          <w:color w:val="000000"/>
          <w:sz w:val="21"/>
          <w:szCs w:val="21"/>
        </w:rPr>
        <w:t xml:space="preserve"> indicator variables </w:t>
      </w:r>
      <w:r w:rsidRPr="00F24E35">
        <w:rPr>
          <w:rFonts w:ascii="Century Schoolbook" w:eastAsia="Times New Roman" w:hAnsi="Century Schoolbook" w:cs="Times New Roman"/>
          <w:i/>
          <w:color w:val="000000"/>
          <w:sz w:val="21"/>
          <w:szCs w:val="21"/>
        </w:rPr>
        <w:t xml:space="preserve">Last </w:t>
      </w:r>
      <w:proofErr w:type="spellStart"/>
      <w:r w:rsidRPr="00F24E35">
        <w:rPr>
          <w:rFonts w:ascii="Century Schoolbook" w:eastAsia="Times New Roman" w:hAnsi="Century Schoolbook" w:cs="Times New Roman"/>
          <w:i/>
          <w:color w:val="000000"/>
          <w:sz w:val="21"/>
          <w:szCs w:val="21"/>
        </w:rPr>
        <w:t>recom</w:t>
      </w:r>
      <w:proofErr w:type="spellEnd"/>
      <w:r w:rsidRPr="00F24E35">
        <w:rPr>
          <w:rFonts w:ascii="Century Schoolbook" w:eastAsia="Times New Roman" w:hAnsi="Century Schoolbook" w:cs="Times New Roman"/>
          <w:color w:val="000000"/>
          <w:sz w:val="21"/>
          <w:szCs w:val="21"/>
        </w:rPr>
        <w:t xml:space="preserve">. The estimate and the hazard ratio for </w:t>
      </w:r>
      <w:r w:rsidRPr="00F24E35">
        <w:rPr>
          <w:rFonts w:ascii="Century Schoolbook" w:eastAsia="Times New Roman" w:hAnsi="Century Schoolbook" w:cs="Times New Roman"/>
          <w:i/>
          <w:color w:val="000000"/>
          <w:sz w:val="21"/>
          <w:szCs w:val="21"/>
        </w:rPr>
        <w:t xml:space="preserve">Last </w:t>
      </w:r>
      <w:proofErr w:type="spellStart"/>
      <w:r w:rsidRPr="00F24E35">
        <w:rPr>
          <w:rFonts w:ascii="Century Schoolbook" w:eastAsia="Times New Roman" w:hAnsi="Century Schoolbook" w:cs="Times New Roman"/>
          <w:i/>
          <w:color w:val="000000"/>
          <w:sz w:val="21"/>
          <w:szCs w:val="21"/>
        </w:rPr>
        <w:t>recom</w:t>
      </w:r>
      <w:proofErr w:type="spellEnd"/>
      <w:r w:rsidRPr="00F24E35">
        <w:rPr>
          <w:rFonts w:ascii="Century Schoolbook" w:eastAsia="Times New Roman" w:hAnsi="Century Schoolbook" w:cs="Times New Roman"/>
          <w:color w:val="000000"/>
          <w:sz w:val="21"/>
          <w:szCs w:val="21"/>
        </w:rPr>
        <w:t xml:space="preserve"> variable</w:t>
      </w:r>
      <w:r w:rsidR="00274C5E" w:rsidRPr="00F24E35">
        <w:rPr>
          <w:rFonts w:ascii="Century Schoolbook" w:eastAsia="Times New Roman" w:hAnsi="Century Schoolbook" w:cs="Times New Roman"/>
          <w:color w:val="000000"/>
          <w:sz w:val="21"/>
          <w:szCs w:val="21"/>
        </w:rPr>
        <w:t>s</w:t>
      </w:r>
      <w:r w:rsidRPr="00F24E35">
        <w:rPr>
          <w:rFonts w:ascii="Century Schoolbook" w:eastAsia="Times New Roman" w:hAnsi="Century Schoolbook" w:cs="Times New Roman"/>
          <w:color w:val="000000"/>
          <w:sz w:val="21"/>
          <w:szCs w:val="21"/>
        </w:rPr>
        <w:t xml:space="preserve"> </w:t>
      </w:r>
      <w:r w:rsidR="00274C5E" w:rsidRPr="00F24E35">
        <w:rPr>
          <w:rFonts w:ascii="Century Schoolbook" w:eastAsia="Times New Roman" w:hAnsi="Century Schoolbook" w:cs="Times New Roman"/>
          <w:color w:val="000000"/>
          <w:sz w:val="21"/>
          <w:szCs w:val="21"/>
        </w:rPr>
        <w:t>are</w:t>
      </w:r>
      <w:r w:rsidRPr="00F24E35">
        <w:rPr>
          <w:rFonts w:ascii="Century Schoolbook" w:eastAsia="Times New Roman" w:hAnsi="Century Schoolbook" w:cs="Times New Roman"/>
          <w:color w:val="000000"/>
          <w:sz w:val="21"/>
          <w:szCs w:val="21"/>
        </w:rPr>
        <w:t xml:space="preserve"> relative to the reference “hold” recommendation level, i.e., 3 in the I</w:t>
      </w:r>
      <w:r w:rsidR="00274C5E" w:rsidRPr="00F24E35">
        <w:rPr>
          <w:rFonts w:ascii="Century Schoolbook" w:eastAsia="Times New Roman" w:hAnsi="Century Schoolbook" w:cs="Times New Roman"/>
          <w:color w:val="000000"/>
          <w:sz w:val="21"/>
          <w:szCs w:val="21"/>
        </w:rPr>
        <w:t>/</w:t>
      </w:r>
      <w:r w:rsidRPr="00F24E35">
        <w:rPr>
          <w:rFonts w:ascii="Century Schoolbook" w:eastAsia="Times New Roman" w:hAnsi="Century Schoolbook" w:cs="Times New Roman"/>
          <w:color w:val="000000"/>
          <w:sz w:val="21"/>
          <w:szCs w:val="21"/>
        </w:rPr>
        <w:t>B</w:t>
      </w:r>
      <w:r w:rsidR="00274C5E" w:rsidRPr="00F24E35">
        <w:rPr>
          <w:rFonts w:ascii="Century Schoolbook" w:eastAsia="Times New Roman" w:hAnsi="Century Schoolbook" w:cs="Times New Roman"/>
          <w:color w:val="000000"/>
          <w:sz w:val="21"/>
          <w:szCs w:val="21"/>
        </w:rPr>
        <w:t>/</w:t>
      </w:r>
      <w:r w:rsidRPr="00F24E35">
        <w:rPr>
          <w:rFonts w:ascii="Century Schoolbook" w:eastAsia="Times New Roman" w:hAnsi="Century Schoolbook" w:cs="Times New Roman"/>
          <w:color w:val="000000"/>
          <w:sz w:val="21"/>
          <w:szCs w:val="21"/>
        </w:rPr>
        <w:t>E</w:t>
      </w:r>
      <w:r w:rsidR="00274C5E" w:rsidRPr="00F24E35">
        <w:rPr>
          <w:rFonts w:ascii="Century Schoolbook" w:eastAsia="Times New Roman" w:hAnsi="Century Schoolbook" w:cs="Times New Roman"/>
          <w:color w:val="000000"/>
          <w:sz w:val="21"/>
          <w:szCs w:val="21"/>
        </w:rPr>
        <w:t>/</w:t>
      </w:r>
      <w:r w:rsidRPr="00F24E35">
        <w:rPr>
          <w:rFonts w:ascii="Century Schoolbook" w:eastAsia="Times New Roman" w:hAnsi="Century Schoolbook" w:cs="Times New Roman"/>
          <w:color w:val="000000"/>
          <w:sz w:val="21"/>
          <w:szCs w:val="21"/>
        </w:rPr>
        <w:t xml:space="preserve">S code. </w:t>
      </w:r>
      <w:r w:rsidRPr="00F24E35">
        <w:rPr>
          <w:rFonts w:ascii="Century Schoolbook" w:eastAsia="Times New Roman" w:hAnsi="Century Schoolbook" w:cs="Times New Roman"/>
          <w:i/>
          <w:color w:val="000000"/>
          <w:sz w:val="21"/>
          <w:szCs w:val="21"/>
        </w:rPr>
        <w:t>No observations</w:t>
      </w:r>
      <w:r w:rsidRPr="00F24E35">
        <w:rPr>
          <w:rFonts w:ascii="Century Schoolbook" w:eastAsia="Times New Roman" w:hAnsi="Century Schoolbook" w:cs="Times New Roman"/>
          <w:color w:val="000000"/>
          <w:sz w:val="21"/>
          <w:szCs w:val="21"/>
        </w:rPr>
        <w:t xml:space="preserve"> report the number of recommendation-week observations used in the estimation. </w:t>
      </w:r>
      <w:r w:rsidRPr="00F24E35">
        <w:rPr>
          <w:rFonts w:ascii="Century Schoolbook" w:eastAsia="Times New Roman" w:hAnsi="Century Schoolbook" w:cs="Times New Roman"/>
          <w:i/>
          <w:color w:val="000000"/>
          <w:sz w:val="21"/>
          <w:szCs w:val="21"/>
        </w:rPr>
        <w:t xml:space="preserve">No </w:t>
      </w:r>
      <w:proofErr w:type="spellStart"/>
      <w:r w:rsidR="00270CDF" w:rsidRPr="00F24E35">
        <w:rPr>
          <w:rFonts w:ascii="Century Schoolbook" w:eastAsia="Times New Roman" w:hAnsi="Century Schoolbook" w:cs="Times New Roman"/>
          <w:i/>
          <w:color w:val="000000"/>
          <w:sz w:val="21"/>
          <w:szCs w:val="21"/>
        </w:rPr>
        <w:t>recomm</w:t>
      </w:r>
      <w:proofErr w:type="spellEnd"/>
      <w:r w:rsidR="00270CDF" w:rsidRPr="00F24E35">
        <w:rPr>
          <w:rFonts w:ascii="Century Schoolbook" w:eastAsia="Times New Roman" w:hAnsi="Century Schoolbook" w:cs="Times New Roman"/>
          <w:i/>
          <w:color w:val="000000"/>
          <w:sz w:val="21"/>
          <w:szCs w:val="21"/>
        </w:rPr>
        <w:t xml:space="preserve"> changes</w:t>
      </w:r>
      <w:r w:rsidRPr="00F24E35">
        <w:rPr>
          <w:rFonts w:ascii="Century Schoolbook" w:eastAsia="Times New Roman" w:hAnsi="Century Schoolbook" w:cs="Times New Roman"/>
          <w:color w:val="000000"/>
          <w:sz w:val="21"/>
          <w:szCs w:val="21"/>
        </w:rPr>
        <w:t xml:space="preserve"> report the number of recommendation revisions </w:t>
      </w:r>
      <w:r w:rsidR="00270CDF" w:rsidRPr="00F24E35">
        <w:rPr>
          <w:rFonts w:ascii="Century Schoolbook" w:eastAsia="Times New Roman" w:hAnsi="Century Schoolbook" w:cs="Times New Roman"/>
          <w:color w:val="000000"/>
          <w:sz w:val="21"/>
          <w:szCs w:val="21"/>
        </w:rPr>
        <w:t>present</w:t>
      </w:r>
      <w:r w:rsidRPr="00F24E35">
        <w:rPr>
          <w:rFonts w:ascii="Century Schoolbook" w:eastAsia="Times New Roman" w:hAnsi="Century Schoolbook" w:cs="Times New Roman"/>
          <w:color w:val="000000"/>
          <w:sz w:val="21"/>
          <w:szCs w:val="21"/>
        </w:rPr>
        <w:t xml:space="preserve"> in</w:t>
      </w:r>
      <w:r w:rsidR="0007768C" w:rsidRPr="00F24E35">
        <w:rPr>
          <w:rFonts w:ascii="Century Schoolbook" w:eastAsia="Times New Roman" w:hAnsi="Century Schoolbook" w:cs="Times New Roman"/>
          <w:color w:val="000000"/>
          <w:sz w:val="21"/>
          <w:szCs w:val="21"/>
        </w:rPr>
        <w:t xml:space="preserve"> the estimation. </w:t>
      </w:r>
      <w:r w:rsidR="00270CDF" w:rsidRPr="00F24E35">
        <w:rPr>
          <w:rFonts w:ascii="Century Schoolbook" w:eastAsia="Times New Roman" w:hAnsi="Century Schoolbook" w:cs="Times New Roman"/>
          <w:color w:val="000000"/>
          <w:sz w:val="21"/>
          <w:szCs w:val="21"/>
        </w:rPr>
        <w:t xml:space="preserve">Near the end of each column, we report the log-likelihood ratio comparing the unrestricted model </w:t>
      </w:r>
      <w:r w:rsidR="000D3A66" w:rsidRPr="00F24E35">
        <w:rPr>
          <w:rFonts w:ascii="Century Schoolbook" w:eastAsia="Times New Roman" w:hAnsi="Century Schoolbook" w:cs="Times New Roman"/>
          <w:color w:val="000000"/>
          <w:sz w:val="21"/>
          <w:szCs w:val="21"/>
        </w:rPr>
        <w:t xml:space="preserve">(reported model) </w:t>
      </w:r>
      <w:r w:rsidR="00270CDF" w:rsidRPr="00F24E35">
        <w:rPr>
          <w:rFonts w:ascii="Century Schoolbook" w:eastAsia="Times New Roman" w:hAnsi="Century Schoolbook" w:cs="Times New Roman"/>
          <w:color w:val="000000"/>
          <w:sz w:val="21"/>
          <w:szCs w:val="21"/>
        </w:rPr>
        <w:t xml:space="preserve">against to the null model </w:t>
      </w:r>
      <w:r w:rsidR="000D3A66" w:rsidRPr="00F24E35">
        <w:rPr>
          <w:rFonts w:ascii="Century Schoolbook" w:eastAsia="Times New Roman" w:hAnsi="Century Schoolbook" w:cs="Times New Roman"/>
          <w:color w:val="000000"/>
          <w:sz w:val="21"/>
          <w:szCs w:val="21"/>
        </w:rPr>
        <w:t xml:space="preserve">that restrict </w:t>
      </w:r>
      <w:r w:rsidR="00270CDF" w:rsidRPr="00F24E35">
        <w:rPr>
          <w:rFonts w:ascii="Century Schoolbook" w:eastAsiaTheme="minorEastAsia" w:hAnsi="Century Schoolbook" w:cs="Times New Roman"/>
          <w:i/>
          <w:sz w:val="21"/>
          <w:szCs w:val="21"/>
        </w:rPr>
        <w:t>Slow</w:t>
      </w:r>
      <w:r w:rsidR="00270CDF" w:rsidRPr="00F24E35">
        <w:rPr>
          <w:rFonts w:ascii="Century Schoolbook" w:eastAsiaTheme="minorEastAsia" w:hAnsi="Century Schoolbook" w:cs="Times New Roman"/>
          <w:sz w:val="21"/>
          <w:szCs w:val="21"/>
        </w:rPr>
        <w:t xml:space="preserve"> and </w:t>
      </w:r>
      <w:r w:rsidR="00270CDF" w:rsidRPr="00F24E35">
        <w:rPr>
          <w:rFonts w:ascii="Century Schoolbook" w:eastAsiaTheme="minorEastAsia" w:hAnsi="Century Schoolbook" w:cs="Times New Roman"/>
          <w:i/>
          <w:sz w:val="21"/>
          <w:szCs w:val="21"/>
        </w:rPr>
        <w:t xml:space="preserve">Fast </w:t>
      </w:r>
      <w:r w:rsidR="00270CDF" w:rsidRPr="00F24E35">
        <w:rPr>
          <w:rFonts w:ascii="Century Schoolbook" w:eastAsiaTheme="minorEastAsia" w:hAnsi="Century Schoolbook" w:cs="Times New Roman"/>
          <w:sz w:val="21"/>
          <w:szCs w:val="21"/>
        </w:rPr>
        <w:t xml:space="preserve">indicators </w:t>
      </w:r>
      <w:r w:rsidR="000D3A66" w:rsidRPr="00F24E35">
        <w:rPr>
          <w:rFonts w:ascii="Century Schoolbook" w:eastAsiaTheme="minorEastAsia" w:hAnsi="Century Schoolbook" w:cs="Times New Roman"/>
          <w:sz w:val="21"/>
          <w:szCs w:val="21"/>
        </w:rPr>
        <w:t>to be</w:t>
      </w:r>
      <w:r w:rsidR="00270CDF" w:rsidRPr="00F24E35">
        <w:rPr>
          <w:rFonts w:ascii="Century Schoolbook" w:eastAsiaTheme="minorEastAsia" w:hAnsi="Century Schoolbook" w:cs="Times New Roman"/>
          <w:sz w:val="21"/>
          <w:szCs w:val="21"/>
        </w:rPr>
        <w:t xml:space="preserve"> 0. </w:t>
      </w:r>
      <w:r w:rsidR="0007768C" w:rsidRPr="00F24E35">
        <w:rPr>
          <w:rFonts w:ascii="Century Schoolbook" w:eastAsia="Times New Roman" w:hAnsi="Century Schoolbook" w:cs="Times New Roman"/>
          <w:color w:val="000000"/>
          <w:sz w:val="21"/>
          <w:szCs w:val="21"/>
        </w:rPr>
        <w:t>Standard error is</w:t>
      </w:r>
      <w:r w:rsidRPr="00F24E35">
        <w:rPr>
          <w:rFonts w:ascii="Century Schoolbook" w:eastAsia="Times New Roman" w:hAnsi="Century Schoolbook" w:cs="Times New Roman"/>
          <w:color w:val="000000"/>
          <w:sz w:val="21"/>
          <w:szCs w:val="21"/>
        </w:rPr>
        <w:t xml:space="preserve"> reported in parentheses below each estimate. ***, **, and * correspond to statistical significance at the 1, 5, and 10 percent levels, respectively.</w:t>
      </w:r>
    </w:p>
    <w:p w14:paraId="536F1A68" w14:textId="77777777" w:rsidR="00F770FF" w:rsidRDefault="00F770FF" w:rsidP="00F770FF">
      <w:r>
        <w:br w:type="page"/>
      </w:r>
    </w:p>
    <w:tbl>
      <w:tblPr>
        <w:tblW w:w="5130" w:type="pct"/>
        <w:tblLook w:val="04A0" w:firstRow="1" w:lastRow="0" w:firstColumn="1" w:lastColumn="0" w:noHBand="0" w:noVBand="1"/>
      </w:tblPr>
      <w:tblGrid>
        <w:gridCol w:w="3209"/>
        <w:gridCol w:w="1020"/>
        <w:gridCol w:w="584"/>
        <w:gridCol w:w="274"/>
        <w:gridCol w:w="1028"/>
        <w:gridCol w:w="584"/>
        <w:gridCol w:w="274"/>
        <w:gridCol w:w="1022"/>
        <w:gridCol w:w="584"/>
        <w:gridCol w:w="1084"/>
      </w:tblGrid>
      <w:tr w:rsidR="00930A25" w:rsidRPr="00702DBB" w14:paraId="6B137AF7" w14:textId="77777777" w:rsidTr="00930A25">
        <w:trPr>
          <w:trHeight w:val="258"/>
        </w:trPr>
        <w:tc>
          <w:tcPr>
            <w:tcW w:w="3164" w:type="pct"/>
            <w:gridSpan w:val="5"/>
            <w:tcBorders>
              <w:top w:val="nil"/>
              <w:left w:val="nil"/>
              <w:bottom w:val="single" w:sz="4" w:space="0" w:color="auto"/>
              <w:right w:val="nil"/>
            </w:tcBorders>
            <w:shd w:val="clear" w:color="000000" w:fill="FFFFFF"/>
            <w:noWrap/>
            <w:vAlign w:val="bottom"/>
            <w:hideMark/>
          </w:tcPr>
          <w:p w14:paraId="2D9246F7"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b/>
                <w:bCs/>
                <w:color w:val="000000"/>
                <w:sz w:val="18"/>
                <w:szCs w:val="18"/>
              </w:rPr>
              <w:lastRenderedPageBreak/>
              <w:t>Panel A.</w:t>
            </w:r>
            <w:r w:rsidRPr="00702DBB">
              <w:rPr>
                <w:rFonts w:ascii="Century Schoolbook" w:eastAsia="Times New Roman" w:hAnsi="Century Schoolbook" w:cs="Times New Roman"/>
                <w:color w:val="000000"/>
                <w:sz w:val="18"/>
                <w:szCs w:val="18"/>
              </w:rPr>
              <w:t xml:space="preserve"> Hazard model for time to an </w:t>
            </w:r>
            <w:r w:rsidRPr="00702DBB">
              <w:rPr>
                <w:rFonts w:ascii="Century Schoolbook" w:eastAsia="Times New Roman" w:hAnsi="Century Schoolbook" w:cs="Times New Roman"/>
                <w:b/>
                <w:bCs/>
                <w:i/>
                <w:iCs/>
                <w:color w:val="000000"/>
                <w:sz w:val="18"/>
                <w:szCs w:val="18"/>
              </w:rPr>
              <w:t xml:space="preserve">upgrade </w:t>
            </w:r>
            <w:r w:rsidRPr="00702DBB">
              <w:rPr>
                <w:rFonts w:ascii="Century Schoolbook" w:eastAsia="Times New Roman" w:hAnsi="Century Schoolbook" w:cs="Times New Roman"/>
                <w:color w:val="000000"/>
                <w:sz w:val="18"/>
                <w:szCs w:val="18"/>
              </w:rPr>
              <w:t>revision</w:t>
            </w:r>
          </w:p>
          <w:p w14:paraId="5FD9694C"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p>
        </w:tc>
        <w:tc>
          <w:tcPr>
            <w:tcW w:w="302" w:type="pct"/>
            <w:tcBorders>
              <w:top w:val="nil"/>
              <w:left w:val="nil"/>
              <w:bottom w:val="single" w:sz="4" w:space="0" w:color="auto"/>
              <w:right w:val="nil"/>
            </w:tcBorders>
            <w:shd w:val="clear" w:color="000000" w:fill="FFFFFF"/>
            <w:noWrap/>
            <w:vAlign w:val="bottom"/>
            <w:hideMark/>
          </w:tcPr>
          <w:p w14:paraId="32A9787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single" w:sz="4" w:space="0" w:color="auto"/>
              <w:right w:val="nil"/>
            </w:tcBorders>
            <w:shd w:val="clear" w:color="000000" w:fill="FFFFFF"/>
            <w:noWrap/>
            <w:vAlign w:val="bottom"/>
            <w:hideMark/>
          </w:tcPr>
          <w:p w14:paraId="2A7FC16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single" w:sz="4" w:space="0" w:color="auto"/>
              <w:right w:val="nil"/>
            </w:tcBorders>
            <w:shd w:val="clear" w:color="000000" w:fill="FFFFFF"/>
            <w:noWrap/>
            <w:vAlign w:val="bottom"/>
            <w:hideMark/>
          </w:tcPr>
          <w:p w14:paraId="022C5C0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single" w:sz="4" w:space="0" w:color="auto"/>
              <w:right w:val="nil"/>
            </w:tcBorders>
            <w:shd w:val="clear" w:color="000000" w:fill="FFFFFF"/>
            <w:noWrap/>
            <w:vAlign w:val="bottom"/>
            <w:hideMark/>
          </w:tcPr>
          <w:p w14:paraId="7AD31B7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single" w:sz="4" w:space="0" w:color="auto"/>
              <w:right w:val="nil"/>
            </w:tcBorders>
            <w:shd w:val="clear" w:color="000000" w:fill="FFFFFF"/>
            <w:noWrap/>
            <w:vAlign w:val="bottom"/>
            <w:hideMark/>
          </w:tcPr>
          <w:p w14:paraId="0FD14A1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3C4135A5" w14:textId="77777777" w:rsidTr="00930A25">
        <w:trPr>
          <w:trHeight w:val="258"/>
        </w:trPr>
        <w:tc>
          <w:tcPr>
            <w:tcW w:w="1660" w:type="pct"/>
            <w:tcBorders>
              <w:top w:val="nil"/>
              <w:left w:val="nil"/>
              <w:bottom w:val="nil"/>
              <w:right w:val="nil"/>
            </w:tcBorders>
            <w:shd w:val="clear" w:color="000000" w:fill="FFFFFF"/>
            <w:noWrap/>
            <w:vAlign w:val="bottom"/>
            <w:hideMark/>
          </w:tcPr>
          <w:p w14:paraId="65613B2E"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0" w:type="pct"/>
            <w:gridSpan w:val="2"/>
            <w:tcBorders>
              <w:top w:val="nil"/>
              <w:left w:val="nil"/>
              <w:bottom w:val="single" w:sz="4" w:space="0" w:color="auto"/>
              <w:right w:val="nil"/>
            </w:tcBorders>
            <w:shd w:val="clear" w:color="000000" w:fill="FFFFFF"/>
            <w:vAlign w:val="bottom"/>
            <w:hideMark/>
          </w:tcPr>
          <w:p w14:paraId="5E2851D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w:t>
            </w:r>
          </w:p>
        </w:tc>
        <w:tc>
          <w:tcPr>
            <w:tcW w:w="142" w:type="pct"/>
            <w:tcBorders>
              <w:top w:val="nil"/>
              <w:left w:val="nil"/>
              <w:bottom w:val="nil"/>
              <w:right w:val="nil"/>
            </w:tcBorders>
            <w:shd w:val="clear" w:color="000000" w:fill="FFFFFF"/>
            <w:noWrap/>
            <w:vAlign w:val="bottom"/>
            <w:hideMark/>
          </w:tcPr>
          <w:p w14:paraId="4BD78D4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4" w:type="pct"/>
            <w:gridSpan w:val="2"/>
            <w:tcBorders>
              <w:top w:val="nil"/>
              <w:left w:val="nil"/>
              <w:bottom w:val="single" w:sz="4" w:space="0" w:color="auto"/>
              <w:right w:val="nil"/>
            </w:tcBorders>
            <w:shd w:val="clear" w:color="000000" w:fill="FFFFFF"/>
            <w:vAlign w:val="bottom"/>
            <w:hideMark/>
          </w:tcPr>
          <w:p w14:paraId="27549CA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(2)</w:t>
            </w:r>
          </w:p>
        </w:tc>
        <w:tc>
          <w:tcPr>
            <w:tcW w:w="142" w:type="pct"/>
            <w:tcBorders>
              <w:top w:val="nil"/>
              <w:left w:val="nil"/>
              <w:bottom w:val="nil"/>
              <w:right w:val="nil"/>
            </w:tcBorders>
            <w:shd w:val="clear" w:color="000000" w:fill="FFFFFF"/>
            <w:noWrap/>
            <w:vAlign w:val="bottom"/>
            <w:hideMark/>
          </w:tcPr>
          <w:p w14:paraId="740AE97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0" w:type="pct"/>
            <w:gridSpan w:val="2"/>
            <w:tcBorders>
              <w:top w:val="nil"/>
              <w:left w:val="nil"/>
              <w:bottom w:val="single" w:sz="4" w:space="0" w:color="auto"/>
              <w:right w:val="nil"/>
            </w:tcBorders>
            <w:shd w:val="clear" w:color="000000" w:fill="FFFFFF"/>
            <w:vAlign w:val="bottom"/>
            <w:hideMark/>
          </w:tcPr>
          <w:p w14:paraId="61AC686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(3)</w:t>
            </w:r>
          </w:p>
        </w:tc>
        <w:tc>
          <w:tcPr>
            <w:tcW w:w="562" w:type="pct"/>
            <w:vMerge w:val="restart"/>
            <w:tcBorders>
              <w:top w:val="nil"/>
              <w:left w:val="nil"/>
              <w:bottom w:val="single" w:sz="4" w:space="0" w:color="000000"/>
              <w:right w:val="nil"/>
            </w:tcBorders>
            <w:shd w:val="clear" w:color="000000" w:fill="FFFFFF"/>
            <w:vAlign w:val="center"/>
            <w:hideMark/>
          </w:tcPr>
          <w:p w14:paraId="2E2E2B5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Prediction</w:t>
            </w:r>
          </w:p>
        </w:tc>
      </w:tr>
      <w:tr w:rsidR="00930A25" w:rsidRPr="00702DBB" w14:paraId="34FBE759" w14:textId="77777777" w:rsidTr="00930A25">
        <w:trPr>
          <w:trHeight w:val="313"/>
        </w:trPr>
        <w:tc>
          <w:tcPr>
            <w:tcW w:w="1660" w:type="pct"/>
            <w:tcBorders>
              <w:top w:val="nil"/>
              <w:left w:val="nil"/>
              <w:bottom w:val="nil"/>
              <w:right w:val="nil"/>
            </w:tcBorders>
            <w:shd w:val="clear" w:color="000000" w:fill="FFFFFF"/>
            <w:noWrap/>
            <w:vAlign w:val="bottom"/>
            <w:hideMark/>
          </w:tcPr>
          <w:p w14:paraId="2CB3C5A5"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0" w:type="pct"/>
            <w:gridSpan w:val="2"/>
            <w:tcBorders>
              <w:top w:val="single" w:sz="4" w:space="0" w:color="auto"/>
              <w:left w:val="nil"/>
              <w:bottom w:val="single" w:sz="4" w:space="0" w:color="auto"/>
              <w:right w:val="nil"/>
            </w:tcBorders>
            <w:shd w:val="clear" w:color="000000" w:fill="FFFFFF"/>
            <w:vAlign w:val="bottom"/>
            <w:hideMark/>
          </w:tcPr>
          <w:p w14:paraId="07B2287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1996–2013</w:t>
            </w:r>
          </w:p>
        </w:tc>
        <w:tc>
          <w:tcPr>
            <w:tcW w:w="142" w:type="pct"/>
            <w:tcBorders>
              <w:top w:val="nil"/>
              <w:left w:val="nil"/>
              <w:bottom w:val="nil"/>
              <w:right w:val="nil"/>
            </w:tcBorders>
            <w:shd w:val="clear" w:color="000000" w:fill="FFFFFF"/>
            <w:noWrap/>
            <w:vAlign w:val="bottom"/>
            <w:hideMark/>
          </w:tcPr>
          <w:p w14:paraId="58C6B7F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4" w:type="pct"/>
            <w:gridSpan w:val="2"/>
            <w:tcBorders>
              <w:top w:val="single" w:sz="4" w:space="0" w:color="auto"/>
              <w:left w:val="nil"/>
              <w:bottom w:val="single" w:sz="4" w:space="0" w:color="auto"/>
              <w:right w:val="nil"/>
            </w:tcBorders>
            <w:shd w:val="clear" w:color="000000" w:fill="FFFFFF"/>
            <w:vAlign w:val="bottom"/>
            <w:hideMark/>
          </w:tcPr>
          <w:p w14:paraId="5A8D5A8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1996–2013</w:t>
            </w:r>
          </w:p>
        </w:tc>
        <w:tc>
          <w:tcPr>
            <w:tcW w:w="142" w:type="pct"/>
            <w:tcBorders>
              <w:top w:val="nil"/>
              <w:left w:val="nil"/>
              <w:bottom w:val="nil"/>
              <w:right w:val="nil"/>
            </w:tcBorders>
            <w:shd w:val="clear" w:color="000000" w:fill="FFFFFF"/>
            <w:noWrap/>
            <w:vAlign w:val="bottom"/>
            <w:hideMark/>
          </w:tcPr>
          <w:p w14:paraId="7BD78D7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0" w:type="pct"/>
            <w:gridSpan w:val="2"/>
            <w:tcBorders>
              <w:top w:val="single" w:sz="4" w:space="0" w:color="auto"/>
              <w:left w:val="nil"/>
              <w:bottom w:val="single" w:sz="4" w:space="0" w:color="auto"/>
              <w:right w:val="nil"/>
            </w:tcBorders>
            <w:shd w:val="clear" w:color="000000" w:fill="FFFFFF"/>
            <w:vAlign w:val="bottom"/>
            <w:hideMark/>
          </w:tcPr>
          <w:p w14:paraId="175A071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2003–2013</w:t>
            </w:r>
          </w:p>
        </w:tc>
        <w:tc>
          <w:tcPr>
            <w:tcW w:w="562" w:type="pct"/>
            <w:vMerge/>
            <w:tcBorders>
              <w:top w:val="nil"/>
              <w:left w:val="nil"/>
              <w:bottom w:val="single" w:sz="4" w:space="0" w:color="000000"/>
              <w:right w:val="nil"/>
            </w:tcBorders>
            <w:vAlign w:val="center"/>
            <w:hideMark/>
          </w:tcPr>
          <w:p w14:paraId="73CDB093"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p>
        </w:tc>
      </w:tr>
      <w:tr w:rsidR="00930A25" w:rsidRPr="00702DBB" w14:paraId="6D27D53A" w14:textId="77777777" w:rsidTr="00930A25">
        <w:trPr>
          <w:trHeight w:val="258"/>
        </w:trPr>
        <w:tc>
          <w:tcPr>
            <w:tcW w:w="1660" w:type="pct"/>
            <w:tcBorders>
              <w:top w:val="nil"/>
              <w:left w:val="nil"/>
              <w:bottom w:val="single" w:sz="4" w:space="0" w:color="auto"/>
              <w:right w:val="nil"/>
            </w:tcBorders>
            <w:shd w:val="clear" w:color="000000" w:fill="FFFFFF"/>
            <w:noWrap/>
            <w:vAlign w:val="bottom"/>
            <w:hideMark/>
          </w:tcPr>
          <w:p w14:paraId="3EE70332"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single" w:sz="4" w:space="0" w:color="auto"/>
              <w:right w:val="nil"/>
            </w:tcBorders>
            <w:shd w:val="clear" w:color="000000" w:fill="FFFFFF"/>
            <w:noWrap/>
            <w:vAlign w:val="bottom"/>
            <w:hideMark/>
          </w:tcPr>
          <w:p w14:paraId="3F72620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Estimate</w:t>
            </w:r>
          </w:p>
        </w:tc>
        <w:tc>
          <w:tcPr>
            <w:tcW w:w="302" w:type="pct"/>
            <w:tcBorders>
              <w:top w:val="nil"/>
              <w:left w:val="nil"/>
              <w:bottom w:val="single" w:sz="4" w:space="0" w:color="auto"/>
              <w:right w:val="nil"/>
            </w:tcBorders>
            <w:shd w:val="clear" w:color="000000" w:fill="FFFFFF"/>
            <w:noWrap/>
            <w:vAlign w:val="bottom"/>
            <w:hideMark/>
          </w:tcPr>
          <w:p w14:paraId="2228016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HR</w:t>
            </w:r>
          </w:p>
        </w:tc>
        <w:tc>
          <w:tcPr>
            <w:tcW w:w="142" w:type="pct"/>
            <w:tcBorders>
              <w:top w:val="nil"/>
              <w:left w:val="nil"/>
              <w:bottom w:val="single" w:sz="4" w:space="0" w:color="auto"/>
              <w:right w:val="nil"/>
            </w:tcBorders>
            <w:shd w:val="clear" w:color="000000" w:fill="FFFFFF"/>
            <w:noWrap/>
            <w:vAlign w:val="bottom"/>
            <w:hideMark/>
          </w:tcPr>
          <w:p w14:paraId="73CAE29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single" w:sz="4" w:space="0" w:color="auto"/>
              <w:right w:val="nil"/>
            </w:tcBorders>
            <w:shd w:val="clear" w:color="000000" w:fill="FFFFFF"/>
            <w:noWrap/>
            <w:vAlign w:val="bottom"/>
            <w:hideMark/>
          </w:tcPr>
          <w:p w14:paraId="4962FB8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Estimate</w:t>
            </w:r>
          </w:p>
        </w:tc>
        <w:tc>
          <w:tcPr>
            <w:tcW w:w="302" w:type="pct"/>
            <w:tcBorders>
              <w:top w:val="nil"/>
              <w:left w:val="nil"/>
              <w:bottom w:val="single" w:sz="4" w:space="0" w:color="auto"/>
              <w:right w:val="nil"/>
            </w:tcBorders>
            <w:shd w:val="clear" w:color="000000" w:fill="FFFFFF"/>
            <w:noWrap/>
            <w:vAlign w:val="bottom"/>
            <w:hideMark/>
          </w:tcPr>
          <w:p w14:paraId="7558CAC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HR</w:t>
            </w:r>
          </w:p>
        </w:tc>
        <w:tc>
          <w:tcPr>
            <w:tcW w:w="142" w:type="pct"/>
            <w:tcBorders>
              <w:top w:val="nil"/>
              <w:left w:val="nil"/>
              <w:bottom w:val="single" w:sz="4" w:space="0" w:color="auto"/>
              <w:right w:val="nil"/>
            </w:tcBorders>
            <w:shd w:val="clear" w:color="000000" w:fill="FFFFFF"/>
            <w:noWrap/>
            <w:vAlign w:val="bottom"/>
            <w:hideMark/>
          </w:tcPr>
          <w:p w14:paraId="6A671DF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single" w:sz="4" w:space="0" w:color="auto"/>
              <w:right w:val="nil"/>
            </w:tcBorders>
            <w:shd w:val="clear" w:color="000000" w:fill="FFFFFF"/>
            <w:noWrap/>
            <w:vAlign w:val="bottom"/>
            <w:hideMark/>
          </w:tcPr>
          <w:p w14:paraId="10F63EA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Estimate</w:t>
            </w:r>
          </w:p>
        </w:tc>
        <w:tc>
          <w:tcPr>
            <w:tcW w:w="302" w:type="pct"/>
            <w:tcBorders>
              <w:top w:val="nil"/>
              <w:left w:val="nil"/>
              <w:bottom w:val="single" w:sz="4" w:space="0" w:color="auto"/>
              <w:right w:val="nil"/>
            </w:tcBorders>
            <w:shd w:val="clear" w:color="000000" w:fill="FFFFFF"/>
            <w:noWrap/>
            <w:vAlign w:val="bottom"/>
            <w:hideMark/>
          </w:tcPr>
          <w:p w14:paraId="51CECBB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HR</w:t>
            </w:r>
          </w:p>
        </w:tc>
        <w:tc>
          <w:tcPr>
            <w:tcW w:w="562" w:type="pct"/>
            <w:vMerge/>
            <w:tcBorders>
              <w:top w:val="nil"/>
              <w:left w:val="nil"/>
              <w:bottom w:val="single" w:sz="4" w:space="0" w:color="000000"/>
              <w:right w:val="nil"/>
            </w:tcBorders>
            <w:vAlign w:val="center"/>
            <w:hideMark/>
          </w:tcPr>
          <w:p w14:paraId="056ACC2F"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p>
        </w:tc>
      </w:tr>
      <w:tr w:rsidR="00930A25" w:rsidRPr="00702DBB" w14:paraId="276F58D9" w14:textId="77777777" w:rsidTr="00930A25">
        <w:trPr>
          <w:trHeight w:val="342"/>
        </w:trPr>
        <w:tc>
          <w:tcPr>
            <w:tcW w:w="1660" w:type="pct"/>
            <w:tcBorders>
              <w:top w:val="nil"/>
              <w:left w:val="nil"/>
              <w:bottom w:val="nil"/>
              <w:right w:val="nil"/>
            </w:tcBorders>
            <w:shd w:val="clear" w:color="000000" w:fill="FFFFFF"/>
            <w:noWrap/>
            <w:vAlign w:val="bottom"/>
            <w:hideMark/>
          </w:tcPr>
          <w:p w14:paraId="2C2C0E14" w14:textId="77777777" w:rsidR="00A329A3" w:rsidRPr="00702DBB" w:rsidRDefault="00A329A3" w:rsidP="00A329A3">
            <w:pPr>
              <w:spacing w:after="0" w:line="240" w:lineRule="auto"/>
              <w:rPr>
                <w:rFonts w:ascii="Century Schoolbook" w:eastAsia="Times New Roman" w:hAnsi="Century Schoolbook" w:cs="Times New Roman"/>
                <w:i/>
                <w:iCs/>
                <w:color w:val="000000"/>
                <w:sz w:val="18"/>
                <w:szCs w:val="18"/>
              </w:rPr>
            </w:pPr>
            <w:r w:rsidRPr="00702DBB">
              <w:rPr>
                <w:rFonts w:ascii="Century Schoolbook" w:eastAsia="Times New Roman" w:hAnsi="Century Schoolbook" w:cs="Times New Roman"/>
                <w:i/>
                <w:iCs/>
                <w:color w:val="000000"/>
                <w:sz w:val="18"/>
                <w:szCs w:val="18"/>
              </w:rPr>
              <w:t>Previous year speed-style</w:t>
            </w:r>
          </w:p>
        </w:tc>
        <w:tc>
          <w:tcPr>
            <w:tcW w:w="528" w:type="pct"/>
            <w:tcBorders>
              <w:top w:val="nil"/>
              <w:left w:val="nil"/>
              <w:bottom w:val="nil"/>
              <w:right w:val="nil"/>
            </w:tcBorders>
            <w:shd w:val="clear" w:color="000000" w:fill="FFFFFF"/>
            <w:noWrap/>
            <w:vAlign w:val="bottom"/>
            <w:hideMark/>
          </w:tcPr>
          <w:p w14:paraId="3124E06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6EC249D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2E97258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noWrap/>
            <w:vAlign w:val="bottom"/>
            <w:hideMark/>
          </w:tcPr>
          <w:p w14:paraId="7786977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016D5C4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5B7A553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noWrap/>
            <w:vAlign w:val="bottom"/>
            <w:hideMark/>
          </w:tcPr>
          <w:p w14:paraId="7F2483C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36E19D8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08650B4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1EA64F20" w14:textId="77777777" w:rsidTr="00930A25">
        <w:trPr>
          <w:trHeight w:val="258"/>
        </w:trPr>
        <w:tc>
          <w:tcPr>
            <w:tcW w:w="1660" w:type="pct"/>
            <w:tcBorders>
              <w:top w:val="nil"/>
              <w:left w:val="nil"/>
              <w:bottom w:val="nil"/>
              <w:right w:val="nil"/>
            </w:tcBorders>
            <w:shd w:val="clear" w:color="000000" w:fill="FFFFFF"/>
            <w:noWrap/>
            <w:vAlign w:val="bottom"/>
            <w:hideMark/>
          </w:tcPr>
          <w:p w14:paraId="75B0486F"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Slow  turnover</w:t>
            </w:r>
          </w:p>
        </w:tc>
        <w:tc>
          <w:tcPr>
            <w:tcW w:w="528" w:type="pct"/>
            <w:tcBorders>
              <w:top w:val="nil"/>
              <w:left w:val="nil"/>
              <w:bottom w:val="nil"/>
              <w:right w:val="nil"/>
            </w:tcBorders>
            <w:shd w:val="clear" w:color="000000" w:fill="FFFFFF"/>
            <w:vAlign w:val="bottom"/>
            <w:hideMark/>
          </w:tcPr>
          <w:p w14:paraId="06D7AEB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-0.190***</w:t>
            </w:r>
          </w:p>
        </w:tc>
        <w:tc>
          <w:tcPr>
            <w:tcW w:w="302" w:type="pct"/>
            <w:tcBorders>
              <w:top w:val="nil"/>
              <w:left w:val="nil"/>
              <w:bottom w:val="nil"/>
              <w:right w:val="nil"/>
            </w:tcBorders>
            <w:shd w:val="clear" w:color="000000" w:fill="FFFFFF"/>
            <w:vAlign w:val="bottom"/>
            <w:hideMark/>
          </w:tcPr>
          <w:p w14:paraId="1B56FEB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0.83</w:t>
            </w:r>
          </w:p>
        </w:tc>
        <w:tc>
          <w:tcPr>
            <w:tcW w:w="142" w:type="pct"/>
            <w:tcBorders>
              <w:top w:val="nil"/>
              <w:left w:val="nil"/>
              <w:bottom w:val="nil"/>
              <w:right w:val="nil"/>
            </w:tcBorders>
            <w:shd w:val="clear" w:color="000000" w:fill="FFFFFF"/>
            <w:noWrap/>
            <w:vAlign w:val="bottom"/>
            <w:hideMark/>
          </w:tcPr>
          <w:p w14:paraId="7375C66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084A6D0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-0.211***</w:t>
            </w:r>
          </w:p>
        </w:tc>
        <w:tc>
          <w:tcPr>
            <w:tcW w:w="302" w:type="pct"/>
            <w:tcBorders>
              <w:top w:val="nil"/>
              <w:left w:val="nil"/>
              <w:bottom w:val="nil"/>
              <w:right w:val="nil"/>
            </w:tcBorders>
            <w:shd w:val="clear" w:color="000000" w:fill="FFFFFF"/>
            <w:vAlign w:val="bottom"/>
            <w:hideMark/>
          </w:tcPr>
          <w:p w14:paraId="2A44DA1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0.81</w:t>
            </w:r>
          </w:p>
        </w:tc>
        <w:tc>
          <w:tcPr>
            <w:tcW w:w="142" w:type="pct"/>
            <w:tcBorders>
              <w:top w:val="nil"/>
              <w:left w:val="nil"/>
              <w:bottom w:val="nil"/>
              <w:right w:val="nil"/>
            </w:tcBorders>
            <w:shd w:val="clear" w:color="000000" w:fill="FFFFFF"/>
            <w:noWrap/>
            <w:vAlign w:val="bottom"/>
            <w:hideMark/>
          </w:tcPr>
          <w:p w14:paraId="2E6F819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06CA700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-0.261***</w:t>
            </w:r>
          </w:p>
        </w:tc>
        <w:tc>
          <w:tcPr>
            <w:tcW w:w="302" w:type="pct"/>
            <w:tcBorders>
              <w:top w:val="nil"/>
              <w:left w:val="nil"/>
              <w:bottom w:val="nil"/>
              <w:right w:val="nil"/>
            </w:tcBorders>
            <w:shd w:val="clear" w:color="000000" w:fill="FFFFFF"/>
            <w:vAlign w:val="bottom"/>
            <w:hideMark/>
          </w:tcPr>
          <w:p w14:paraId="1F38293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0.77</w:t>
            </w:r>
          </w:p>
        </w:tc>
        <w:tc>
          <w:tcPr>
            <w:tcW w:w="562" w:type="pct"/>
            <w:tcBorders>
              <w:top w:val="nil"/>
              <w:left w:val="nil"/>
              <w:bottom w:val="nil"/>
              <w:right w:val="nil"/>
            </w:tcBorders>
            <w:shd w:val="clear" w:color="000000" w:fill="FFFFFF"/>
            <w:noWrap/>
            <w:vAlign w:val="bottom"/>
            <w:hideMark/>
          </w:tcPr>
          <w:p w14:paraId="4891DBB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5FB9C292" w14:textId="77777777" w:rsidTr="00930A25">
        <w:trPr>
          <w:trHeight w:val="258"/>
        </w:trPr>
        <w:tc>
          <w:tcPr>
            <w:tcW w:w="1660" w:type="pct"/>
            <w:tcBorders>
              <w:top w:val="nil"/>
              <w:left w:val="nil"/>
              <w:bottom w:val="nil"/>
              <w:right w:val="nil"/>
            </w:tcBorders>
            <w:shd w:val="clear" w:color="000000" w:fill="FFFFFF"/>
            <w:noWrap/>
            <w:vAlign w:val="bottom"/>
            <w:hideMark/>
          </w:tcPr>
          <w:p w14:paraId="6D364415"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vAlign w:val="bottom"/>
            <w:hideMark/>
          </w:tcPr>
          <w:p w14:paraId="55DEC21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(0.015)</w:t>
            </w:r>
          </w:p>
        </w:tc>
        <w:tc>
          <w:tcPr>
            <w:tcW w:w="302" w:type="pct"/>
            <w:tcBorders>
              <w:top w:val="nil"/>
              <w:left w:val="nil"/>
              <w:bottom w:val="nil"/>
              <w:right w:val="nil"/>
            </w:tcBorders>
            <w:shd w:val="clear" w:color="000000" w:fill="FFFFFF"/>
            <w:vAlign w:val="bottom"/>
            <w:hideMark/>
          </w:tcPr>
          <w:p w14:paraId="5DC85B3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6A5F768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6B52684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(0.018)</w:t>
            </w:r>
          </w:p>
        </w:tc>
        <w:tc>
          <w:tcPr>
            <w:tcW w:w="302" w:type="pct"/>
            <w:tcBorders>
              <w:top w:val="nil"/>
              <w:left w:val="nil"/>
              <w:bottom w:val="nil"/>
              <w:right w:val="nil"/>
            </w:tcBorders>
            <w:shd w:val="clear" w:color="000000" w:fill="FFFFFF"/>
            <w:vAlign w:val="bottom"/>
            <w:hideMark/>
          </w:tcPr>
          <w:p w14:paraId="5376C90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0F0AE09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2F56F2E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(0.024)</w:t>
            </w:r>
          </w:p>
        </w:tc>
        <w:tc>
          <w:tcPr>
            <w:tcW w:w="302" w:type="pct"/>
            <w:tcBorders>
              <w:top w:val="nil"/>
              <w:left w:val="nil"/>
              <w:bottom w:val="nil"/>
              <w:right w:val="nil"/>
            </w:tcBorders>
            <w:shd w:val="clear" w:color="000000" w:fill="FFFFFF"/>
            <w:vAlign w:val="bottom"/>
            <w:hideMark/>
          </w:tcPr>
          <w:p w14:paraId="35B1269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6821475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608B52DD" w14:textId="77777777" w:rsidTr="00930A25">
        <w:trPr>
          <w:trHeight w:val="258"/>
        </w:trPr>
        <w:tc>
          <w:tcPr>
            <w:tcW w:w="1660" w:type="pct"/>
            <w:tcBorders>
              <w:top w:val="nil"/>
              <w:left w:val="nil"/>
              <w:bottom w:val="nil"/>
              <w:right w:val="nil"/>
            </w:tcBorders>
            <w:shd w:val="clear" w:color="000000" w:fill="FFFFFF"/>
            <w:noWrap/>
            <w:vAlign w:val="bottom"/>
            <w:hideMark/>
          </w:tcPr>
          <w:p w14:paraId="746A3433"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Fast turnover</w:t>
            </w:r>
          </w:p>
        </w:tc>
        <w:tc>
          <w:tcPr>
            <w:tcW w:w="528" w:type="pct"/>
            <w:tcBorders>
              <w:top w:val="nil"/>
              <w:left w:val="nil"/>
              <w:bottom w:val="nil"/>
              <w:right w:val="nil"/>
            </w:tcBorders>
            <w:shd w:val="clear" w:color="000000" w:fill="FFFFFF"/>
            <w:vAlign w:val="bottom"/>
            <w:hideMark/>
          </w:tcPr>
          <w:p w14:paraId="29618E9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0.298***</w:t>
            </w:r>
          </w:p>
        </w:tc>
        <w:tc>
          <w:tcPr>
            <w:tcW w:w="302" w:type="pct"/>
            <w:tcBorders>
              <w:top w:val="nil"/>
              <w:left w:val="nil"/>
              <w:bottom w:val="nil"/>
              <w:right w:val="nil"/>
            </w:tcBorders>
            <w:shd w:val="clear" w:color="000000" w:fill="FFFFFF"/>
            <w:vAlign w:val="bottom"/>
            <w:hideMark/>
          </w:tcPr>
          <w:p w14:paraId="1EA7759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1.35</w:t>
            </w:r>
          </w:p>
        </w:tc>
        <w:tc>
          <w:tcPr>
            <w:tcW w:w="142" w:type="pct"/>
            <w:tcBorders>
              <w:top w:val="nil"/>
              <w:left w:val="nil"/>
              <w:bottom w:val="nil"/>
              <w:right w:val="nil"/>
            </w:tcBorders>
            <w:shd w:val="clear" w:color="000000" w:fill="FFFFFF"/>
            <w:noWrap/>
            <w:vAlign w:val="bottom"/>
            <w:hideMark/>
          </w:tcPr>
          <w:p w14:paraId="19571A0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3D8ED8F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0.280***</w:t>
            </w:r>
          </w:p>
        </w:tc>
        <w:tc>
          <w:tcPr>
            <w:tcW w:w="302" w:type="pct"/>
            <w:tcBorders>
              <w:top w:val="nil"/>
              <w:left w:val="nil"/>
              <w:bottom w:val="nil"/>
              <w:right w:val="nil"/>
            </w:tcBorders>
            <w:shd w:val="clear" w:color="000000" w:fill="FFFFFF"/>
            <w:vAlign w:val="bottom"/>
            <w:hideMark/>
          </w:tcPr>
          <w:p w14:paraId="2C261B5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1.32</w:t>
            </w:r>
          </w:p>
        </w:tc>
        <w:tc>
          <w:tcPr>
            <w:tcW w:w="142" w:type="pct"/>
            <w:tcBorders>
              <w:top w:val="nil"/>
              <w:left w:val="nil"/>
              <w:bottom w:val="nil"/>
              <w:right w:val="nil"/>
            </w:tcBorders>
            <w:shd w:val="clear" w:color="000000" w:fill="FFFFFF"/>
            <w:noWrap/>
            <w:vAlign w:val="bottom"/>
            <w:hideMark/>
          </w:tcPr>
          <w:p w14:paraId="4CF4183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4B51217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0.385***</w:t>
            </w:r>
          </w:p>
        </w:tc>
        <w:tc>
          <w:tcPr>
            <w:tcW w:w="302" w:type="pct"/>
            <w:tcBorders>
              <w:top w:val="nil"/>
              <w:left w:val="nil"/>
              <w:bottom w:val="nil"/>
              <w:right w:val="nil"/>
            </w:tcBorders>
            <w:shd w:val="clear" w:color="000000" w:fill="FFFFFF"/>
            <w:vAlign w:val="bottom"/>
            <w:hideMark/>
          </w:tcPr>
          <w:p w14:paraId="027D89E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1.47</w:t>
            </w:r>
          </w:p>
        </w:tc>
        <w:tc>
          <w:tcPr>
            <w:tcW w:w="562" w:type="pct"/>
            <w:tcBorders>
              <w:top w:val="nil"/>
              <w:left w:val="nil"/>
              <w:bottom w:val="nil"/>
              <w:right w:val="nil"/>
            </w:tcBorders>
            <w:shd w:val="clear" w:color="000000" w:fill="FFFFFF"/>
            <w:noWrap/>
            <w:vAlign w:val="bottom"/>
            <w:hideMark/>
          </w:tcPr>
          <w:p w14:paraId="25203B2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5A65E687" w14:textId="77777777" w:rsidTr="00930A25">
        <w:trPr>
          <w:trHeight w:val="258"/>
        </w:trPr>
        <w:tc>
          <w:tcPr>
            <w:tcW w:w="1660" w:type="pct"/>
            <w:tcBorders>
              <w:top w:val="nil"/>
              <w:left w:val="nil"/>
              <w:bottom w:val="nil"/>
              <w:right w:val="nil"/>
            </w:tcBorders>
            <w:shd w:val="clear" w:color="000000" w:fill="FFFFFF"/>
            <w:noWrap/>
            <w:vAlign w:val="bottom"/>
            <w:hideMark/>
          </w:tcPr>
          <w:p w14:paraId="5BF6E27E"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vAlign w:val="bottom"/>
            <w:hideMark/>
          </w:tcPr>
          <w:p w14:paraId="295BDF6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(0.016)</w:t>
            </w:r>
          </w:p>
        </w:tc>
        <w:tc>
          <w:tcPr>
            <w:tcW w:w="302" w:type="pct"/>
            <w:tcBorders>
              <w:top w:val="nil"/>
              <w:left w:val="nil"/>
              <w:bottom w:val="nil"/>
              <w:right w:val="nil"/>
            </w:tcBorders>
            <w:shd w:val="clear" w:color="000000" w:fill="FFFFFF"/>
            <w:vAlign w:val="bottom"/>
            <w:hideMark/>
          </w:tcPr>
          <w:p w14:paraId="449748C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7ACF5DD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004F1A3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(0.019)</w:t>
            </w:r>
          </w:p>
        </w:tc>
        <w:tc>
          <w:tcPr>
            <w:tcW w:w="302" w:type="pct"/>
            <w:tcBorders>
              <w:top w:val="nil"/>
              <w:left w:val="nil"/>
              <w:bottom w:val="nil"/>
              <w:right w:val="nil"/>
            </w:tcBorders>
            <w:shd w:val="clear" w:color="000000" w:fill="FFFFFF"/>
            <w:vAlign w:val="bottom"/>
            <w:hideMark/>
          </w:tcPr>
          <w:p w14:paraId="75AE144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324D1FF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53D0411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(0.025)</w:t>
            </w:r>
          </w:p>
        </w:tc>
        <w:tc>
          <w:tcPr>
            <w:tcW w:w="302" w:type="pct"/>
            <w:tcBorders>
              <w:top w:val="nil"/>
              <w:left w:val="nil"/>
              <w:bottom w:val="nil"/>
              <w:right w:val="nil"/>
            </w:tcBorders>
            <w:shd w:val="clear" w:color="000000" w:fill="FFFFFF"/>
            <w:vAlign w:val="bottom"/>
            <w:hideMark/>
          </w:tcPr>
          <w:p w14:paraId="775DDA9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66976E0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09081A75" w14:textId="77777777" w:rsidTr="00930A25">
        <w:trPr>
          <w:trHeight w:val="401"/>
        </w:trPr>
        <w:tc>
          <w:tcPr>
            <w:tcW w:w="1660" w:type="pct"/>
            <w:tcBorders>
              <w:top w:val="nil"/>
              <w:left w:val="nil"/>
              <w:bottom w:val="nil"/>
              <w:right w:val="nil"/>
            </w:tcBorders>
            <w:shd w:val="clear" w:color="000000" w:fill="FFFFFF"/>
            <w:noWrap/>
            <w:vAlign w:val="bottom"/>
            <w:hideMark/>
          </w:tcPr>
          <w:p w14:paraId="1249A1E9" w14:textId="77777777" w:rsidR="00A329A3" w:rsidRPr="00702DBB" w:rsidRDefault="00A329A3" w:rsidP="00A329A3">
            <w:pPr>
              <w:spacing w:after="0" w:line="240" w:lineRule="auto"/>
              <w:rPr>
                <w:rFonts w:ascii="Century Schoolbook" w:eastAsia="Times New Roman" w:hAnsi="Century Schoolbook" w:cs="Times New Roman"/>
                <w:i/>
                <w:iCs/>
                <w:color w:val="000000"/>
                <w:sz w:val="18"/>
                <w:szCs w:val="18"/>
              </w:rPr>
            </w:pPr>
            <w:r w:rsidRPr="00702DBB">
              <w:rPr>
                <w:rFonts w:ascii="Century Schoolbook" w:eastAsia="Times New Roman" w:hAnsi="Century Schoolbook" w:cs="Times New Roman"/>
                <w:i/>
                <w:iCs/>
                <w:color w:val="000000"/>
                <w:sz w:val="18"/>
                <w:szCs w:val="18"/>
              </w:rPr>
              <w:t>Control variables</w:t>
            </w:r>
          </w:p>
        </w:tc>
        <w:tc>
          <w:tcPr>
            <w:tcW w:w="528" w:type="pct"/>
            <w:tcBorders>
              <w:top w:val="nil"/>
              <w:left w:val="nil"/>
              <w:bottom w:val="nil"/>
              <w:right w:val="nil"/>
            </w:tcBorders>
            <w:shd w:val="clear" w:color="000000" w:fill="FFFFFF"/>
            <w:vAlign w:val="bottom"/>
            <w:hideMark/>
          </w:tcPr>
          <w:p w14:paraId="2DD52B7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65F0E9B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6643E76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5610476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4990527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40B7CE4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66727FF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51A3392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7DD5AAD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09CB7308" w14:textId="77777777" w:rsidTr="00930A25">
        <w:trPr>
          <w:trHeight w:val="258"/>
        </w:trPr>
        <w:tc>
          <w:tcPr>
            <w:tcW w:w="1660" w:type="pct"/>
            <w:tcBorders>
              <w:top w:val="nil"/>
              <w:left w:val="nil"/>
              <w:bottom w:val="nil"/>
              <w:right w:val="nil"/>
            </w:tcBorders>
            <w:shd w:val="clear" w:color="000000" w:fill="FFFFFF"/>
            <w:noWrap/>
            <w:vAlign w:val="bottom"/>
            <w:hideMark/>
          </w:tcPr>
          <w:p w14:paraId="16EBA2E5"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Concurrent with earnings</w:t>
            </w:r>
          </w:p>
        </w:tc>
        <w:tc>
          <w:tcPr>
            <w:tcW w:w="528" w:type="pct"/>
            <w:tcBorders>
              <w:top w:val="nil"/>
              <w:left w:val="nil"/>
              <w:bottom w:val="nil"/>
              <w:right w:val="nil"/>
            </w:tcBorders>
            <w:shd w:val="clear" w:color="000000" w:fill="FFFFFF"/>
            <w:vAlign w:val="bottom"/>
            <w:hideMark/>
          </w:tcPr>
          <w:p w14:paraId="68D4DAF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1.336***</w:t>
            </w:r>
          </w:p>
        </w:tc>
        <w:tc>
          <w:tcPr>
            <w:tcW w:w="302" w:type="pct"/>
            <w:tcBorders>
              <w:top w:val="nil"/>
              <w:left w:val="nil"/>
              <w:bottom w:val="nil"/>
              <w:right w:val="nil"/>
            </w:tcBorders>
            <w:shd w:val="clear" w:color="000000" w:fill="FFFFFF"/>
            <w:vAlign w:val="bottom"/>
            <w:hideMark/>
          </w:tcPr>
          <w:p w14:paraId="48E23E2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3.80</w:t>
            </w:r>
          </w:p>
        </w:tc>
        <w:tc>
          <w:tcPr>
            <w:tcW w:w="142" w:type="pct"/>
            <w:tcBorders>
              <w:top w:val="nil"/>
              <w:left w:val="nil"/>
              <w:bottom w:val="nil"/>
              <w:right w:val="nil"/>
            </w:tcBorders>
            <w:shd w:val="clear" w:color="000000" w:fill="FFFFFF"/>
            <w:noWrap/>
            <w:vAlign w:val="bottom"/>
            <w:hideMark/>
          </w:tcPr>
          <w:p w14:paraId="2A765B7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19A0D30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1.310***</w:t>
            </w:r>
          </w:p>
        </w:tc>
        <w:tc>
          <w:tcPr>
            <w:tcW w:w="302" w:type="pct"/>
            <w:tcBorders>
              <w:top w:val="nil"/>
              <w:left w:val="nil"/>
              <w:bottom w:val="nil"/>
              <w:right w:val="nil"/>
            </w:tcBorders>
            <w:shd w:val="clear" w:color="000000" w:fill="FFFFFF"/>
            <w:vAlign w:val="bottom"/>
            <w:hideMark/>
          </w:tcPr>
          <w:p w14:paraId="49CBAC3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3.71</w:t>
            </w:r>
          </w:p>
        </w:tc>
        <w:tc>
          <w:tcPr>
            <w:tcW w:w="142" w:type="pct"/>
            <w:tcBorders>
              <w:top w:val="nil"/>
              <w:left w:val="nil"/>
              <w:bottom w:val="nil"/>
              <w:right w:val="nil"/>
            </w:tcBorders>
            <w:shd w:val="clear" w:color="000000" w:fill="FFFFFF"/>
            <w:noWrap/>
            <w:vAlign w:val="bottom"/>
            <w:hideMark/>
          </w:tcPr>
          <w:p w14:paraId="259ADEE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4165EF6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1.181***</w:t>
            </w:r>
          </w:p>
        </w:tc>
        <w:tc>
          <w:tcPr>
            <w:tcW w:w="302" w:type="pct"/>
            <w:tcBorders>
              <w:top w:val="nil"/>
              <w:left w:val="nil"/>
              <w:bottom w:val="nil"/>
              <w:right w:val="nil"/>
            </w:tcBorders>
            <w:shd w:val="clear" w:color="000000" w:fill="FFFFFF"/>
            <w:vAlign w:val="bottom"/>
            <w:hideMark/>
          </w:tcPr>
          <w:p w14:paraId="7E9D1D3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3.26</w:t>
            </w:r>
          </w:p>
        </w:tc>
        <w:tc>
          <w:tcPr>
            <w:tcW w:w="562" w:type="pct"/>
            <w:tcBorders>
              <w:top w:val="nil"/>
              <w:left w:val="nil"/>
              <w:bottom w:val="nil"/>
              <w:right w:val="nil"/>
            </w:tcBorders>
            <w:shd w:val="clear" w:color="000000" w:fill="FFFFFF"/>
            <w:noWrap/>
            <w:vAlign w:val="bottom"/>
            <w:hideMark/>
          </w:tcPr>
          <w:p w14:paraId="6C7619D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2B827178" w14:textId="77777777" w:rsidTr="00930A25">
        <w:trPr>
          <w:trHeight w:val="258"/>
        </w:trPr>
        <w:tc>
          <w:tcPr>
            <w:tcW w:w="1660" w:type="pct"/>
            <w:tcBorders>
              <w:top w:val="nil"/>
              <w:left w:val="nil"/>
              <w:bottom w:val="nil"/>
              <w:right w:val="nil"/>
            </w:tcBorders>
            <w:shd w:val="clear" w:color="000000" w:fill="FFFFFF"/>
            <w:noWrap/>
            <w:vAlign w:val="bottom"/>
            <w:hideMark/>
          </w:tcPr>
          <w:p w14:paraId="5D08A67D"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vAlign w:val="bottom"/>
            <w:hideMark/>
          </w:tcPr>
          <w:p w14:paraId="2FE7E62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(0.011)</w:t>
            </w:r>
          </w:p>
        </w:tc>
        <w:tc>
          <w:tcPr>
            <w:tcW w:w="302" w:type="pct"/>
            <w:tcBorders>
              <w:top w:val="nil"/>
              <w:left w:val="nil"/>
              <w:bottom w:val="nil"/>
              <w:right w:val="nil"/>
            </w:tcBorders>
            <w:shd w:val="clear" w:color="000000" w:fill="FFFFFF"/>
            <w:vAlign w:val="bottom"/>
            <w:hideMark/>
          </w:tcPr>
          <w:p w14:paraId="6E75FAE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3F265BD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3D9EE3C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(0.013)</w:t>
            </w:r>
          </w:p>
        </w:tc>
        <w:tc>
          <w:tcPr>
            <w:tcW w:w="302" w:type="pct"/>
            <w:tcBorders>
              <w:top w:val="nil"/>
              <w:left w:val="nil"/>
              <w:bottom w:val="nil"/>
              <w:right w:val="nil"/>
            </w:tcBorders>
            <w:shd w:val="clear" w:color="000000" w:fill="FFFFFF"/>
            <w:vAlign w:val="bottom"/>
            <w:hideMark/>
          </w:tcPr>
          <w:p w14:paraId="1394655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3F00889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12857F8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(0.017)</w:t>
            </w:r>
          </w:p>
        </w:tc>
        <w:tc>
          <w:tcPr>
            <w:tcW w:w="302" w:type="pct"/>
            <w:tcBorders>
              <w:top w:val="nil"/>
              <w:left w:val="nil"/>
              <w:bottom w:val="nil"/>
              <w:right w:val="nil"/>
            </w:tcBorders>
            <w:shd w:val="clear" w:color="000000" w:fill="FFFFFF"/>
            <w:vAlign w:val="bottom"/>
            <w:hideMark/>
          </w:tcPr>
          <w:p w14:paraId="2679E9A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2E05B1C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191748B1" w14:textId="77777777" w:rsidTr="00930A25">
        <w:trPr>
          <w:trHeight w:val="258"/>
        </w:trPr>
        <w:tc>
          <w:tcPr>
            <w:tcW w:w="1660" w:type="pct"/>
            <w:tcBorders>
              <w:top w:val="nil"/>
              <w:left w:val="nil"/>
              <w:bottom w:val="nil"/>
              <w:right w:val="nil"/>
            </w:tcBorders>
            <w:shd w:val="clear" w:color="000000" w:fill="FFFFFF"/>
            <w:noWrap/>
            <w:vAlign w:val="bottom"/>
            <w:hideMark/>
          </w:tcPr>
          <w:p w14:paraId="4647CF53"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News Intensity</w:t>
            </w:r>
          </w:p>
        </w:tc>
        <w:tc>
          <w:tcPr>
            <w:tcW w:w="528" w:type="pct"/>
            <w:tcBorders>
              <w:top w:val="nil"/>
              <w:left w:val="nil"/>
              <w:bottom w:val="nil"/>
              <w:right w:val="nil"/>
            </w:tcBorders>
            <w:shd w:val="clear" w:color="000000" w:fill="FFFFFF"/>
            <w:vAlign w:val="bottom"/>
            <w:hideMark/>
          </w:tcPr>
          <w:p w14:paraId="4BE98EF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5A1ECEE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6AF47C0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40484D3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30C774A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6ED1EDB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0698C22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0.194***</w:t>
            </w:r>
          </w:p>
        </w:tc>
        <w:tc>
          <w:tcPr>
            <w:tcW w:w="302" w:type="pct"/>
            <w:tcBorders>
              <w:top w:val="nil"/>
              <w:left w:val="nil"/>
              <w:bottom w:val="nil"/>
              <w:right w:val="nil"/>
            </w:tcBorders>
            <w:shd w:val="clear" w:color="000000" w:fill="FFFFFF"/>
            <w:vAlign w:val="bottom"/>
            <w:hideMark/>
          </w:tcPr>
          <w:p w14:paraId="2D5BEDD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1.21</w:t>
            </w:r>
          </w:p>
        </w:tc>
        <w:tc>
          <w:tcPr>
            <w:tcW w:w="562" w:type="pct"/>
            <w:tcBorders>
              <w:top w:val="nil"/>
              <w:left w:val="nil"/>
              <w:bottom w:val="nil"/>
              <w:right w:val="nil"/>
            </w:tcBorders>
            <w:shd w:val="clear" w:color="000000" w:fill="FFFFFF"/>
            <w:noWrap/>
            <w:vAlign w:val="bottom"/>
            <w:hideMark/>
          </w:tcPr>
          <w:p w14:paraId="3AC0FF8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79CDAA2F" w14:textId="77777777" w:rsidTr="00930A25">
        <w:trPr>
          <w:trHeight w:val="258"/>
        </w:trPr>
        <w:tc>
          <w:tcPr>
            <w:tcW w:w="1660" w:type="pct"/>
            <w:tcBorders>
              <w:top w:val="nil"/>
              <w:left w:val="nil"/>
              <w:bottom w:val="nil"/>
              <w:right w:val="nil"/>
            </w:tcBorders>
            <w:shd w:val="clear" w:color="000000" w:fill="FFFFFF"/>
            <w:noWrap/>
            <w:vAlign w:val="bottom"/>
            <w:hideMark/>
          </w:tcPr>
          <w:p w14:paraId="2D4C6AB2"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vAlign w:val="bottom"/>
            <w:hideMark/>
          </w:tcPr>
          <w:p w14:paraId="67A5F19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6431761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588CE49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302B501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08ABB81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3EC2970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4A29FD9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(0.005)</w:t>
            </w:r>
          </w:p>
        </w:tc>
        <w:tc>
          <w:tcPr>
            <w:tcW w:w="302" w:type="pct"/>
            <w:tcBorders>
              <w:top w:val="nil"/>
              <w:left w:val="nil"/>
              <w:bottom w:val="nil"/>
              <w:right w:val="nil"/>
            </w:tcBorders>
            <w:shd w:val="clear" w:color="000000" w:fill="FFFFFF"/>
            <w:vAlign w:val="bottom"/>
            <w:hideMark/>
          </w:tcPr>
          <w:p w14:paraId="47F1FC8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2971476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0EA32543" w14:textId="77777777" w:rsidTr="00930A25">
        <w:trPr>
          <w:trHeight w:val="258"/>
        </w:trPr>
        <w:tc>
          <w:tcPr>
            <w:tcW w:w="1660" w:type="pct"/>
            <w:tcBorders>
              <w:top w:val="nil"/>
              <w:left w:val="nil"/>
              <w:bottom w:val="nil"/>
              <w:right w:val="nil"/>
            </w:tcBorders>
            <w:shd w:val="clear" w:color="000000" w:fill="FFFFFF"/>
            <w:noWrap/>
            <w:vAlign w:val="bottom"/>
            <w:hideMark/>
          </w:tcPr>
          <w:p w14:paraId="6206D6DE"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Positive stock price jump</w:t>
            </w:r>
          </w:p>
        </w:tc>
        <w:tc>
          <w:tcPr>
            <w:tcW w:w="528" w:type="pct"/>
            <w:tcBorders>
              <w:top w:val="nil"/>
              <w:left w:val="nil"/>
              <w:bottom w:val="nil"/>
              <w:right w:val="nil"/>
            </w:tcBorders>
            <w:shd w:val="clear" w:color="000000" w:fill="FFFFFF"/>
            <w:vAlign w:val="bottom"/>
            <w:hideMark/>
          </w:tcPr>
          <w:p w14:paraId="3B6DDDF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00E9F68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2AA239D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2C91761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-0.142***</w:t>
            </w:r>
          </w:p>
        </w:tc>
        <w:tc>
          <w:tcPr>
            <w:tcW w:w="302" w:type="pct"/>
            <w:tcBorders>
              <w:top w:val="nil"/>
              <w:left w:val="nil"/>
              <w:bottom w:val="nil"/>
              <w:right w:val="nil"/>
            </w:tcBorders>
            <w:shd w:val="clear" w:color="000000" w:fill="FFFFFF"/>
            <w:vAlign w:val="bottom"/>
            <w:hideMark/>
          </w:tcPr>
          <w:p w14:paraId="636C7AA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0.87</w:t>
            </w:r>
          </w:p>
        </w:tc>
        <w:tc>
          <w:tcPr>
            <w:tcW w:w="142" w:type="pct"/>
            <w:tcBorders>
              <w:top w:val="nil"/>
              <w:left w:val="nil"/>
              <w:bottom w:val="nil"/>
              <w:right w:val="nil"/>
            </w:tcBorders>
            <w:shd w:val="clear" w:color="000000" w:fill="FFFFFF"/>
            <w:noWrap/>
            <w:vAlign w:val="bottom"/>
            <w:hideMark/>
          </w:tcPr>
          <w:p w14:paraId="53A9570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227BA1B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-0.262***</w:t>
            </w:r>
          </w:p>
        </w:tc>
        <w:tc>
          <w:tcPr>
            <w:tcW w:w="302" w:type="pct"/>
            <w:tcBorders>
              <w:top w:val="nil"/>
              <w:left w:val="nil"/>
              <w:bottom w:val="nil"/>
              <w:right w:val="nil"/>
            </w:tcBorders>
            <w:shd w:val="clear" w:color="000000" w:fill="FFFFFF"/>
            <w:vAlign w:val="bottom"/>
            <w:hideMark/>
          </w:tcPr>
          <w:p w14:paraId="7BF8004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0.77</w:t>
            </w:r>
          </w:p>
        </w:tc>
        <w:tc>
          <w:tcPr>
            <w:tcW w:w="562" w:type="pct"/>
            <w:tcBorders>
              <w:top w:val="nil"/>
              <w:left w:val="nil"/>
              <w:bottom w:val="nil"/>
              <w:right w:val="nil"/>
            </w:tcBorders>
            <w:shd w:val="clear" w:color="000000" w:fill="FFFFFF"/>
            <w:noWrap/>
            <w:vAlign w:val="bottom"/>
            <w:hideMark/>
          </w:tcPr>
          <w:p w14:paraId="7430C93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44F3CEF9" w14:textId="77777777" w:rsidTr="00930A25">
        <w:trPr>
          <w:trHeight w:val="258"/>
        </w:trPr>
        <w:tc>
          <w:tcPr>
            <w:tcW w:w="1660" w:type="pct"/>
            <w:tcBorders>
              <w:top w:val="nil"/>
              <w:left w:val="nil"/>
              <w:bottom w:val="nil"/>
              <w:right w:val="nil"/>
            </w:tcBorders>
            <w:shd w:val="clear" w:color="000000" w:fill="FFFFFF"/>
            <w:noWrap/>
            <w:vAlign w:val="bottom"/>
            <w:hideMark/>
          </w:tcPr>
          <w:p w14:paraId="23D92155"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vAlign w:val="bottom"/>
            <w:hideMark/>
          </w:tcPr>
          <w:p w14:paraId="5BE070E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4C5727A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4699092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78022FE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(0.017)</w:t>
            </w:r>
          </w:p>
        </w:tc>
        <w:tc>
          <w:tcPr>
            <w:tcW w:w="302" w:type="pct"/>
            <w:tcBorders>
              <w:top w:val="nil"/>
              <w:left w:val="nil"/>
              <w:bottom w:val="nil"/>
              <w:right w:val="nil"/>
            </w:tcBorders>
            <w:shd w:val="clear" w:color="000000" w:fill="FFFFFF"/>
            <w:vAlign w:val="bottom"/>
            <w:hideMark/>
          </w:tcPr>
          <w:p w14:paraId="06F4BD5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76104F0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6AB3AD2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(0.024)</w:t>
            </w:r>
          </w:p>
        </w:tc>
        <w:tc>
          <w:tcPr>
            <w:tcW w:w="302" w:type="pct"/>
            <w:tcBorders>
              <w:top w:val="nil"/>
              <w:left w:val="nil"/>
              <w:bottom w:val="nil"/>
              <w:right w:val="nil"/>
            </w:tcBorders>
            <w:shd w:val="clear" w:color="000000" w:fill="FFFFFF"/>
            <w:vAlign w:val="bottom"/>
            <w:hideMark/>
          </w:tcPr>
          <w:p w14:paraId="0A05CE3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1BC3E34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25614191" w14:textId="77777777" w:rsidTr="00930A25">
        <w:trPr>
          <w:trHeight w:val="258"/>
        </w:trPr>
        <w:tc>
          <w:tcPr>
            <w:tcW w:w="1660" w:type="pct"/>
            <w:tcBorders>
              <w:top w:val="nil"/>
              <w:left w:val="nil"/>
              <w:bottom w:val="nil"/>
              <w:right w:val="nil"/>
            </w:tcBorders>
            <w:shd w:val="clear" w:color="000000" w:fill="FFFFFF"/>
            <w:noWrap/>
            <w:vAlign w:val="bottom"/>
            <w:hideMark/>
          </w:tcPr>
          <w:p w14:paraId="585803AB"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Negative stock price jump</w:t>
            </w:r>
          </w:p>
        </w:tc>
        <w:tc>
          <w:tcPr>
            <w:tcW w:w="528" w:type="pct"/>
            <w:tcBorders>
              <w:top w:val="nil"/>
              <w:left w:val="nil"/>
              <w:bottom w:val="nil"/>
              <w:right w:val="nil"/>
            </w:tcBorders>
            <w:shd w:val="clear" w:color="000000" w:fill="FFFFFF"/>
            <w:vAlign w:val="bottom"/>
            <w:hideMark/>
          </w:tcPr>
          <w:p w14:paraId="43918F7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423981A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332EB63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2210FC5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0.024</w:t>
            </w:r>
          </w:p>
        </w:tc>
        <w:tc>
          <w:tcPr>
            <w:tcW w:w="302" w:type="pct"/>
            <w:tcBorders>
              <w:top w:val="nil"/>
              <w:left w:val="nil"/>
              <w:bottom w:val="nil"/>
              <w:right w:val="nil"/>
            </w:tcBorders>
            <w:shd w:val="clear" w:color="000000" w:fill="FFFFFF"/>
            <w:vAlign w:val="bottom"/>
            <w:hideMark/>
          </w:tcPr>
          <w:p w14:paraId="00ADCE2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1.02</w:t>
            </w:r>
          </w:p>
        </w:tc>
        <w:tc>
          <w:tcPr>
            <w:tcW w:w="142" w:type="pct"/>
            <w:tcBorders>
              <w:top w:val="nil"/>
              <w:left w:val="nil"/>
              <w:bottom w:val="nil"/>
              <w:right w:val="nil"/>
            </w:tcBorders>
            <w:shd w:val="clear" w:color="000000" w:fill="FFFFFF"/>
            <w:noWrap/>
            <w:vAlign w:val="bottom"/>
            <w:hideMark/>
          </w:tcPr>
          <w:p w14:paraId="26CA969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45010D2E" w14:textId="24F43421" w:rsidR="00A329A3" w:rsidRPr="00702DBB" w:rsidRDefault="001A02CF"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-0.042</w:t>
            </w:r>
          </w:p>
        </w:tc>
        <w:tc>
          <w:tcPr>
            <w:tcW w:w="302" w:type="pct"/>
            <w:tcBorders>
              <w:top w:val="nil"/>
              <w:left w:val="nil"/>
              <w:bottom w:val="nil"/>
              <w:right w:val="nil"/>
            </w:tcBorders>
            <w:shd w:val="clear" w:color="000000" w:fill="FFFFFF"/>
            <w:vAlign w:val="bottom"/>
            <w:hideMark/>
          </w:tcPr>
          <w:p w14:paraId="546384A0" w14:textId="546CB279" w:rsidR="00A329A3" w:rsidRPr="00702DBB" w:rsidRDefault="001A02CF"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0.96</w:t>
            </w:r>
          </w:p>
        </w:tc>
        <w:tc>
          <w:tcPr>
            <w:tcW w:w="562" w:type="pct"/>
            <w:tcBorders>
              <w:top w:val="nil"/>
              <w:left w:val="nil"/>
              <w:bottom w:val="nil"/>
              <w:right w:val="nil"/>
            </w:tcBorders>
            <w:shd w:val="clear" w:color="000000" w:fill="FFFFFF"/>
            <w:noWrap/>
            <w:vAlign w:val="bottom"/>
            <w:hideMark/>
          </w:tcPr>
          <w:p w14:paraId="08E3C74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4F1727D5" w14:textId="77777777" w:rsidTr="00930A25">
        <w:trPr>
          <w:trHeight w:val="258"/>
        </w:trPr>
        <w:tc>
          <w:tcPr>
            <w:tcW w:w="1660" w:type="pct"/>
            <w:tcBorders>
              <w:top w:val="nil"/>
              <w:left w:val="nil"/>
              <w:bottom w:val="nil"/>
              <w:right w:val="nil"/>
            </w:tcBorders>
            <w:shd w:val="clear" w:color="000000" w:fill="FFFFFF"/>
            <w:noWrap/>
            <w:vAlign w:val="bottom"/>
            <w:hideMark/>
          </w:tcPr>
          <w:p w14:paraId="1F1D2FCB"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vAlign w:val="bottom"/>
            <w:hideMark/>
          </w:tcPr>
          <w:p w14:paraId="3DBF499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6E775E0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745F1E8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00227E0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(0.019)</w:t>
            </w:r>
          </w:p>
        </w:tc>
        <w:tc>
          <w:tcPr>
            <w:tcW w:w="302" w:type="pct"/>
            <w:tcBorders>
              <w:top w:val="nil"/>
              <w:left w:val="nil"/>
              <w:bottom w:val="nil"/>
              <w:right w:val="nil"/>
            </w:tcBorders>
            <w:shd w:val="clear" w:color="000000" w:fill="FFFFFF"/>
            <w:vAlign w:val="bottom"/>
            <w:hideMark/>
          </w:tcPr>
          <w:p w14:paraId="464A994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36E8245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02C7387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(0.027)</w:t>
            </w:r>
          </w:p>
        </w:tc>
        <w:tc>
          <w:tcPr>
            <w:tcW w:w="302" w:type="pct"/>
            <w:tcBorders>
              <w:top w:val="nil"/>
              <w:left w:val="nil"/>
              <w:bottom w:val="nil"/>
              <w:right w:val="nil"/>
            </w:tcBorders>
            <w:shd w:val="clear" w:color="000000" w:fill="FFFFFF"/>
            <w:vAlign w:val="bottom"/>
            <w:hideMark/>
          </w:tcPr>
          <w:p w14:paraId="2FCEB1D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2789087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402C8FEA" w14:textId="77777777" w:rsidTr="00930A25">
        <w:trPr>
          <w:trHeight w:val="258"/>
        </w:trPr>
        <w:tc>
          <w:tcPr>
            <w:tcW w:w="1660" w:type="pct"/>
            <w:tcBorders>
              <w:top w:val="nil"/>
              <w:left w:val="nil"/>
              <w:bottom w:val="nil"/>
              <w:right w:val="nil"/>
            </w:tcBorders>
            <w:shd w:val="clear" w:color="000000" w:fill="FFFFFF"/>
            <w:noWrap/>
            <w:vAlign w:val="bottom"/>
            <w:hideMark/>
          </w:tcPr>
          <w:p w14:paraId="465FE55A"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Market-adjusted stock return</w:t>
            </w:r>
          </w:p>
        </w:tc>
        <w:tc>
          <w:tcPr>
            <w:tcW w:w="528" w:type="pct"/>
            <w:tcBorders>
              <w:top w:val="nil"/>
              <w:left w:val="nil"/>
              <w:bottom w:val="nil"/>
              <w:right w:val="nil"/>
            </w:tcBorders>
            <w:shd w:val="clear" w:color="000000" w:fill="FFFFFF"/>
            <w:noWrap/>
            <w:vAlign w:val="bottom"/>
            <w:hideMark/>
          </w:tcPr>
          <w:p w14:paraId="67EE98C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476786B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69A73F4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5033F7E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0.960***</w:t>
            </w:r>
          </w:p>
        </w:tc>
        <w:tc>
          <w:tcPr>
            <w:tcW w:w="302" w:type="pct"/>
            <w:tcBorders>
              <w:top w:val="nil"/>
              <w:left w:val="nil"/>
              <w:bottom w:val="nil"/>
              <w:right w:val="nil"/>
            </w:tcBorders>
            <w:shd w:val="clear" w:color="000000" w:fill="FFFFFF"/>
            <w:vAlign w:val="bottom"/>
            <w:hideMark/>
          </w:tcPr>
          <w:p w14:paraId="74BA936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2.61</w:t>
            </w:r>
          </w:p>
        </w:tc>
        <w:tc>
          <w:tcPr>
            <w:tcW w:w="142" w:type="pct"/>
            <w:tcBorders>
              <w:top w:val="nil"/>
              <w:left w:val="nil"/>
              <w:bottom w:val="nil"/>
              <w:right w:val="nil"/>
            </w:tcBorders>
            <w:shd w:val="clear" w:color="000000" w:fill="FFFFFF"/>
            <w:noWrap/>
            <w:vAlign w:val="bottom"/>
            <w:hideMark/>
          </w:tcPr>
          <w:p w14:paraId="34B6275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4B0F382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1.022***</w:t>
            </w:r>
          </w:p>
        </w:tc>
        <w:tc>
          <w:tcPr>
            <w:tcW w:w="302" w:type="pct"/>
            <w:tcBorders>
              <w:top w:val="nil"/>
              <w:left w:val="nil"/>
              <w:bottom w:val="nil"/>
              <w:right w:val="nil"/>
            </w:tcBorders>
            <w:shd w:val="clear" w:color="000000" w:fill="FFFFFF"/>
            <w:vAlign w:val="bottom"/>
            <w:hideMark/>
          </w:tcPr>
          <w:p w14:paraId="21E9EEF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2.78</w:t>
            </w:r>
          </w:p>
        </w:tc>
        <w:tc>
          <w:tcPr>
            <w:tcW w:w="562" w:type="pct"/>
            <w:tcBorders>
              <w:top w:val="nil"/>
              <w:left w:val="nil"/>
              <w:bottom w:val="nil"/>
              <w:right w:val="nil"/>
            </w:tcBorders>
            <w:shd w:val="clear" w:color="000000" w:fill="FFFFFF"/>
            <w:noWrap/>
            <w:vAlign w:val="bottom"/>
            <w:hideMark/>
          </w:tcPr>
          <w:p w14:paraId="26810F1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42D2DC88" w14:textId="77777777" w:rsidTr="00930A25">
        <w:trPr>
          <w:trHeight w:val="258"/>
        </w:trPr>
        <w:tc>
          <w:tcPr>
            <w:tcW w:w="1660" w:type="pct"/>
            <w:tcBorders>
              <w:top w:val="nil"/>
              <w:left w:val="nil"/>
              <w:bottom w:val="nil"/>
              <w:right w:val="nil"/>
            </w:tcBorders>
            <w:shd w:val="clear" w:color="000000" w:fill="FFFFFF"/>
            <w:noWrap/>
            <w:vAlign w:val="bottom"/>
            <w:hideMark/>
          </w:tcPr>
          <w:p w14:paraId="0899E472"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noWrap/>
            <w:vAlign w:val="bottom"/>
            <w:hideMark/>
          </w:tcPr>
          <w:p w14:paraId="12DD942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598857A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5E96AAA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551EC45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(0.051)</w:t>
            </w:r>
          </w:p>
        </w:tc>
        <w:tc>
          <w:tcPr>
            <w:tcW w:w="302" w:type="pct"/>
            <w:tcBorders>
              <w:top w:val="nil"/>
              <w:left w:val="nil"/>
              <w:bottom w:val="nil"/>
              <w:right w:val="nil"/>
            </w:tcBorders>
            <w:shd w:val="clear" w:color="000000" w:fill="FFFFFF"/>
            <w:vAlign w:val="bottom"/>
            <w:hideMark/>
          </w:tcPr>
          <w:p w14:paraId="185EB2A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03F9100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04E8C87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(0.071)</w:t>
            </w:r>
          </w:p>
        </w:tc>
        <w:tc>
          <w:tcPr>
            <w:tcW w:w="302" w:type="pct"/>
            <w:tcBorders>
              <w:top w:val="nil"/>
              <w:left w:val="nil"/>
              <w:bottom w:val="nil"/>
              <w:right w:val="nil"/>
            </w:tcBorders>
            <w:shd w:val="clear" w:color="000000" w:fill="FFFFFF"/>
            <w:vAlign w:val="bottom"/>
            <w:hideMark/>
          </w:tcPr>
          <w:p w14:paraId="715E601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4C99C97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5F05374D" w14:textId="77777777" w:rsidTr="00930A25">
        <w:trPr>
          <w:trHeight w:val="258"/>
        </w:trPr>
        <w:tc>
          <w:tcPr>
            <w:tcW w:w="1660" w:type="pct"/>
            <w:tcBorders>
              <w:top w:val="nil"/>
              <w:left w:val="nil"/>
              <w:bottom w:val="nil"/>
              <w:right w:val="nil"/>
            </w:tcBorders>
            <w:shd w:val="clear" w:color="000000" w:fill="FFFFFF"/>
            <w:noWrap/>
            <w:vAlign w:val="bottom"/>
            <w:hideMark/>
          </w:tcPr>
          <w:p w14:paraId="2E632260"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Industry-adjusted stock return</w:t>
            </w:r>
          </w:p>
        </w:tc>
        <w:tc>
          <w:tcPr>
            <w:tcW w:w="528" w:type="pct"/>
            <w:tcBorders>
              <w:top w:val="nil"/>
              <w:left w:val="nil"/>
              <w:bottom w:val="nil"/>
              <w:right w:val="nil"/>
            </w:tcBorders>
            <w:shd w:val="clear" w:color="000000" w:fill="FFFFFF"/>
            <w:noWrap/>
            <w:vAlign w:val="bottom"/>
            <w:hideMark/>
          </w:tcPr>
          <w:p w14:paraId="2C2A95F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78C7FD7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2B52DAA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249B033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0.182***</w:t>
            </w:r>
          </w:p>
        </w:tc>
        <w:tc>
          <w:tcPr>
            <w:tcW w:w="302" w:type="pct"/>
            <w:tcBorders>
              <w:top w:val="nil"/>
              <w:left w:val="nil"/>
              <w:bottom w:val="nil"/>
              <w:right w:val="nil"/>
            </w:tcBorders>
            <w:shd w:val="clear" w:color="000000" w:fill="FFFFFF"/>
            <w:vAlign w:val="bottom"/>
            <w:hideMark/>
          </w:tcPr>
          <w:p w14:paraId="69D7714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1.20</w:t>
            </w:r>
          </w:p>
        </w:tc>
        <w:tc>
          <w:tcPr>
            <w:tcW w:w="142" w:type="pct"/>
            <w:tcBorders>
              <w:top w:val="nil"/>
              <w:left w:val="nil"/>
              <w:bottom w:val="nil"/>
              <w:right w:val="nil"/>
            </w:tcBorders>
            <w:shd w:val="clear" w:color="000000" w:fill="FFFFFF"/>
            <w:noWrap/>
            <w:vAlign w:val="bottom"/>
            <w:hideMark/>
          </w:tcPr>
          <w:p w14:paraId="0921AD4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6C003EC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0.140***</w:t>
            </w:r>
          </w:p>
        </w:tc>
        <w:tc>
          <w:tcPr>
            <w:tcW w:w="302" w:type="pct"/>
            <w:tcBorders>
              <w:top w:val="nil"/>
              <w:left w:val="nil"/>
              <w:bottom w:val="nil"/>
              <w:right w:val="nil"/>
            </w:tcBorders>
            <w:shd w:val="clear" w:color="000000" w:fill="FFFFFF"/>
            <w:vAlign w:val="bottom"/>
            <w:hideMark/>
          </w:tcPr>
          <w:p w14:paraId="6075198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1.15</w:t>
            </w:r>
          </w:p>
        </w:tc>
        <w:tc>
          <w:tcPr>
            <w:tcW w:w="562" w:type="pct"/>
            <w:tcBorders>
              <w:top w:val="nil"/>
              <w:left w:val="nil"/>
              <w:bottom w:val="nil"/>
              <w:right w:val="nil"/>
            </w:tcBorders>
            <w:shd w:val="clear" w:color="000000" w:fill="FFFFFF"/>
            <w:noWrap/>
            <w:vAlign w:val="bottom"/>
            <w:hideMark/>
          </w:tcPr>
          <w:p w14:paraId="07623E8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6EFF755D" w14:textId="77777777" w:rsidTr="00930A25">
        <w:trPr>
          <w:trHeight w:val="258"/>
        </w:trPr>
        <w:tc>
          <w:tcPr>
            <w:tcW w:w="1660" w:type="pct"/>
            <w:tcBorders>
              <w:top w:val="nil"/>
              <w:left w:val="nil"/>
              <w:bottom w:val="nil"/>
              <w:right w:val="nil"/>
            </w:tcBorders>
            <w:shd w:val="clear" w:color="000000" w:fill="FFFFFF"/>
            <w:noWrap/>
            <w:vAlign w:val="bottom"/>
            <w:hideMark/>
          </w:tcPr>
          <w:p w14:paraId="66276DA5"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noWrap/>
            <w:vAlign w:val="bottom"/>
            <w:hideMark/>
          </w:tcPr>
          <w:p w14:paraId="11A649A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3363748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097A9DD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4004F99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(0.039)</w:t>
            </w:r>
          </w:p>
        </w:tc>
        <w:tc>
          <w:tcPr>
            <w:tcW w:w="302" w:type="pct"/>
            <w:tcBorders>
              <w:top w:val="nil"/>
              <w:left w:val="nil"/>
              <w:bottom w:val="nil"/>
              <w:right w:val="nil"/>
            </w:tcBorders>
            <w:shd w:val="clear" w:color="000000" w:fill="FFFFFF"/>
            <w:vAlign w:val="bottom"/>
            <w:hideMark/>
          </w:tcPr>
          <w:p w14:paraId="19E73B0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56D0E92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278CE33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(0.052)</w:t>
            </w:r>
          </w:p>
        </w:tc>
        <w:tc>
          <w:tcPr>
            <w:tcW w:w="302" w:type="pct"/>
            <w:tcBorders>
              <w:top w:val="nil"/>
              <w:left w:val="nil"/>
              <w:bottom w:val="nil"/>
              <w:right w:val="nil"/>
            </w:tcBorders>
            <w:shd w:val="clear" w:color="000000" w:fill="FFFFFF"/>
            <w:vAlign w:val="bottom"/>
            <w:hideMark/>
          </w:tcPr>
          <w:p w14:paraId="62F6A13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2A93465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3C476DB4" w14:textId="77777777" w:rsidTr="00930A25">
        <w:trPr>
          <w:trHeight w:val="258"/>
        </w:trPr>
        <w:tc>
          <w:tcPr>
            <w:tcW w:w="1660" w:type="pct"/>
            <w:tcBorders>
              <w:top w:val="nil"/>
              <w:left w:val="nil"/>
              <w:bottom w:val="nil"/>
              <w:right w:val="nil"/>
            </w:tcBorders>
            <w:shd w:val="clear" w:color="000000" w:fill="FFFFFF"/>
            <w:noWrap/>
            <w:vAlign w:val="bottom"/>
            <w:hideMark/>
          </w:tcPr>
          <w:p w14:paraId="59465C3B"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Stock volatility </w:t>
            </w:r>
          </w:p>
        </w:tc>
        <w:tc>
          <w:tcPr>
            <w:tcW w:w="528" w:type="pct"/>
            <w:tcBorders>
              <w:top w:val="nil"/>
              <w:left w:val="nil"/>
              <w:bottom w:val="nil"/>
              <w:right w:val="nil"/>
            </w:tcBorders>
            <w:shd w:val="clear" w:color="000000" w:fill="FFFFFF"/>
            <w:noWrap/>
            <w:vAlign w:val="bottom"/>
            <w:hideMark/>
          </w:tcPr>
          <w:p w14:paraId="7B4D2F8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5B26388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6454244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0B01AF3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-0.141***</w:t>
            </w:r>
          </w:p>
        </w:tc>
        <w:tc>
          <w:tcPr>
            <w:tcW w:w="302" w:type="pct"/>
            <w:tcBorders>
              <w:top w:val="nil"/>
              <w:left w:val="nil"/>
              <w:bottom w:val="nil"/>
              <w:right w:val="nil"/>
            </w:tcBorders>
            <w:shd w:val="clear" w:color="000000" w:fill="FFFFFF"/>
            <w:vAlign w:val="bottom"/>
            <w:hideMark/>
          </w:tcPr>
          <w:p w14:paraId="5AAA78A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0.87</w:t>
            </w:r>
          </w:p>
        </w:tc>
        <w:tc>
          <w:tcPr>
            <w:tcW w:w="142" w:type="pct"/>
            <w:tcBorders>
              <w:top w:val="nil"/>
              <w:left w:val="nil"/>
              <w:bottom w:val="nil"/>
              <w:right w:val="nil"/>
            </w:tcBorders>
            <w:shd w:val="clear" w:color="000000" w:fill="FFFFFF"/>
            <w:noWrap/>
            <w:vAlign w:val="bottom"/>
            <w:hideMark/>
          </w:tcPr>
          <w:p w14:paraId="58E3DC6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388A988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-0.391***</w:t>
            </w:r>
          </w:p>
        </w:tc>
        <w:tc>
          <w:tcPr>
            <w:tcW w:w="302" w:type="pct"/>
            <w:tcBorders>
              <w:top w:val="nil"/>
              <w:left w:val="nil"/>
              <w:bottom w:val="nil"/>
              <w:right w:val="nil"/>
            </w:tcBorders>
            <w:shd w:val="clear" w:color="000000" w:fill="FFFFFF"/>
            <w:vAlign w:val="bottom"/>
            <w:hideMark/>
          </w:tcPr>
          <w:p w14:paraId="3809853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0.68</w:t>
            </w:r>
          </w:p>
        </w:tc>
        <w:tc>
          <w:tcPr>
            <w:tcW w:w="562" w:type="pct"/>
            <w:tcBorders>
              <w:top w:val="nil"/>
              <w:left w:val="nil"/>
              <w:bottom w:val="nil"/>
              <w:right w:val="nil"/>
            </w:tcBorders>
            <w:shd w:val="clear" w:color="000000" w:fill="FFFFFF"/>
            <w:noWrap/>
            <w:vAlign w:val="bottom"/>
            <w:hideMark/>
          </w:tcPr>
          <w:p w14:paraId="6047C46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02694728" w14:textId="77777777" w:rsidTr="00930A25">
        <w:trPr>
          <w:trHeight w:val="258"/>
        </w:trPr>
        <w:tc>
          <w:tcPr>
            <w:tcW w:w="1660" w:type="pct"/>
            <w:tcBorders>
              <w:top w:val="nil"/>
              <w:left w:val="nil"/>
              <w:bottom w:val="nil"/>
              <w:right w:val="nil"/>
            </w:tcBorders>
            <w:shd w:val="clear" w:color="000000" w:fill="FFFFFF"/>
            <w:noWrap/>
            <w:vAlign w:val="bottom"/>
            <w:hideMark/>
          </w:tcPr>
          <w:p w14:paraId="1B485FA5"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noWrap/>
            <w:vAlign w:val="bottom"/>
            <w:hideMark/>
          </w:tcPr>
          <w:p w14:paraId="4289FAD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4268989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41B1CEB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5D5311E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(0.045)</w:t>
            </w:r>
          </w:p>
        </w:tc>
        <w:tc>
          <w:tcPr>
            <w:tcW w:w="302" w:type="pct"/>
            <w:tcBorders>
              <w:top w:val="nil"/>
              <w:left w:val="nil"/>
              <w:bottom w:val="nil"/>
              <w:right w:val="nil"/>
            </w:tcBorders>
            <w:shd w:val="clear" w:color="000000" w:fill="FFFFFF"/>
            <w:vAlign w:val="bottom"/>
            <w:hideMark/>
          </w:tcPr>
          <w:p w14:paraId="56E1935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26DE700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3E7DC82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(0.063)</w:t>
            </w:r>
          </w:p>
        </w:tc>
        <w:tc>
          <w:tcPr>
            <w:tcW w:w="302" w:type="pct"/>
            <w:tcBorders>
              <w:top w:val="nil"/>
              <w:left w:val="nil"/>
              <w:bottom w:val="nil"/>
              <w:right w:val="nil"/>
            </w:tcBorders>
            <w:shd w:val="clear" w:color="000000" w:fill="FFFFFF"/>
            <w:vAlign w:val="bottom"/>
            <w:hideMark/>
          </w:tcPr>
          <w:p w14:paraId="7A74CF7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6E49059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77395194" w14:textId="77777777" w:rsidTr="00930A25">
        <w:trPr>
          <w:trHeight w:val="258"/>
        </w:trPr>
        <w:tc>
          <w:tcPr>
            <w:tcW w:w="1660" w:type="pct"/>
            <w:tcBorders>
              <w:top w:val="nil"/>
              <w:left w:val="nil"/>
              <w:bottom w:val="nil"/>
              <w:right w:val="nil"/>
            </w:tcBorders>
            <w:shd w:val="clear" w:color="000000" w:fill="FFFFFF"/>
            <w:noWrap/>
            <w:vAlign w:val="bottom"/>
            <w:hideMark/>
          </w:tcPr>
          <w:p w14:paraId="1BDB8B65"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Stock volume (log)</w:t>
            </w:r>
          </w:p>
        </w:tc>
        <w:tc>
          <w:tcPr>
            <w:tcW w:w="528" w:type="pct"/>
            <w:tcBorders>
              <w:top w:val="nil"/>
              <w:left w:val="nil"/>
              <w:bottom w:val="nil"/>
              <w:right w:val="nil"/>
            </w:tcBorders>
            <w:shd w:val="clear" w:color="000000" w:fill="FFFFFF"/>
            <w:noWrap/>
            <w:vAlign w:val="bottom"/>
            <w:hideMark/>
          </w:tcPr>
          <w:p w14:paraId="507F6E9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43C1AF7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7874DBD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3623AE9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0.291***</w:t>
            </w:r>
          </w:p>
        </w:tc>
        <w:tc>
          <w:tcPr>
            <w:tcW w:w="302" w:type="pct"/>
            <w:tcBorders>
              <w:top w:val="nil"/>
              <w:left w:val="nil"/>
              <w:bottom w:val="nil"/>
              <w:right w:val="nil"/>
            </w:tcBorders>
            <w:shd w:val="clear" w:color="000000" w:fill="FFFFFF"/>
            <w:vAlign w:val="bottom"/>
            <w:hideMark/>
          </w:tcPr>
          <w:p w14:paraId="11EE844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1.34</w:t>
            </w:r>
          </w:p>
        </w:tc>
        <w:tc>
          <w:tcPr>
            <w:tcW w:w="142" w:type="pct"/>
            <w:tcBorders>
              <w:top w:val="nil"/>
              <w:left w:val="nil"/>
              <w:bottom w:val="nil"/>
              <w:right w:val="nil"/>
            </w:tcBorders>
            <w:shd w:val="clear" w:color="000000" w:fill="FFFFFF"/>
            <w:noWrap/>
            <w:vAlign w:val="bottom"/>
            <w:hideMark/>
          </w:tcPr>
          <w:p w14:paraId="0656012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2C75CDD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0.293***</w:t>
            </w:r>
          </w:p>
        </w:tc>
        <w:tc>
          <w:tcPr>
            <w:tcW w:w="302" w:type="pct"/>
            <w:tcBorders>
              <w:top w:val="nil"/>
              <w:left w:val="nil"/>
              <w:bottom w:val="nil"/>
              <w:right w:val="nil"/>
            </w:tcBorders>
            <w:shd w:val="clear" w:color="000000" w:fill="FFFFFF"/>
            <w:vAlign w:val="bottom"/>
            <w:hideMark/>
          </w:tcPr>
          <w:p w14:paraId="3E677BB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1.34</w:t>
            </w:r>
          </w:p>
        </w:tc>
        <w:tc>
          <w:tcPr>
            <w:tcW w:w="562" w:type="pct"/>
            <w:tcBorders>
              <w:top w:val="nil"/>
              <w:left w:val="nil"/>
              <w:bottom w:val="nil"/>
              <w:right w:val="nil"/>
            </w:tcBorders>
            <w:shd w:val="clear" w:color="000000" w:fill="FFFFFF"/>
            <w:noWrap/>
            <w:vAlign w:val="bottom"/>
            <w:hideMark/>
          </w:tcPr>
          <w:p w14:paraId="2300F81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3D072B10" w14:textId="77777777" w:rsidTr="00930A25">
        <w:trPr>
          <w:trHeight w:val="258"/>
        </w:trPr>
        <w:tc>
          <w:tcPr>
            <w:tcW w:w="1660" w:type="pct"/>
            <w:tcBorders>
              <w:top w:val="nil"/>
              <w:left w:val="nil"/>
              <w:bottom w:val="nil"/>
              <w:right w:val="nil"/>
            </w:tcBorders>
            <w:shd w:val="clear" w:color="000000" w:fill="FFFFFF"/>
            <w:noWrap/>
            <w:vAlign w:val="bottom"/>
            <w:hideMark/>
          </w:tcPr>
          <w:p w14:paraId="6CFB9DD0"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noWrap/>
            <w:vAlign w:val="bottom"/>
            <w:hideMark/>
          </w:tcPr>
          <w:p w14:paraId="0BE228E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7E48E96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4E2E33E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5D8A4D4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(0.007)</w:t>
            </w:r>
          </w:p>
        </w:tc>
        <w:tc>
          <w:tcPr>
            <w:tcW w:w="302" w:type="pct"/>
            <w:tcBorders>
              <w:top w:val="nil"/>
              <w:left w:val="nil"/>
              <w:bottom w:val="nil"/>
              <w:right w:val="nil"/>
            </w:tcBorders>
            <w:shd w:val="clear" w:color="000000" w:fill="FFFFFF"/>
            <w:vAlign w:val="bottom"/>
            <w:hideMark/>
          </w:tcPr>
          <w:p w14:paraId="1DC3A29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75424A9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0B3519E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(0.013)</w:t>
            </w:r>
          </w:p>
        </w:tc>
        <w:tc>
          <w:tcPr>
            <w:tcW w:w="302" w:type="pct"/>
            <w:tcBorders>
              <w:top w:val="nil"/>
              <w:left w:val="nil"/>
              <w:bottom w:val="nil"/>
              <w:right w:val="nil"/>
            </w:tcBorders>
            <w:shd w:val="clear" w:color="000000" w:fill="FFFFFF"/>
            <w:vAlign w:val="bottom"/>
            <w:hideMark/>
          </w:tcPr>
          <w:p w14:paraId="0F2F03C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19B12C8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664904B1" w14:textId="77777777" w:rsidTr="00930A25">
        <w:trPr>
          <w:trHeight w:val="258"/>
        </w:trPr>
        <w:tc>
          <w:tcPr>
            <w:tcW w:w="1660" w:type="pct"/>
            <w:tcBorders>
              <w:top w:val="nil"/>
              <w:left w:val="nil"/>
              <w:bottom w:val="nil"/>
              <w:right w:val="nil"/>
            </w:tcBorders>
            <w:shd w:val="clear" w:color="000000" w:fill="FFFFFF"/>
            <w:noWrap/>
            <w:vAlign w:val="bottom"/>
            <w:hideMark/>
          </w:tcPr>
          <w:p w14:paraId="570BD8BB"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Industry volume (log)</w:t>
            </w:r>
          </w:p>
        </w:tc>
        <w:tc>
          <w:tcPr>
            <w:tcW w:w="528" w:type="pct"/>
            <w:tcBorders>
              <w:top w:val="nil"/>
              <w:left w:val="nil"/>
              <w:bottom w:val="nil"/>
              <w:right w:val="nil"/>
            </w:tcBorders>
            <w:shd w:val="clear" w:color="000000" w:fill="FFFFFF"/>
            <w:noWrap/>
            <w:vAlign w:val="bottom"/>
            <w:hideMark/>
          </w:tcPr>
          <w:p w14:paraId="7C86688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4B65FBA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22734CF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3C5D8FA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0.002</w:t>
            </w:r>
          </w:p>
        </w:tc>
        <w:tc>
          <w:tcPr>
            <w:tcW w:w="302" w:type="pct"/>
            <w:tcBorders>
              <w:top w:val="nil"/>
              <w:left w:val="nil"/>
              <w:bottom w:val="nil"/>
              <w:right w:val="nil"/>
            </w:tcBorders>
            <w:shd w:val="clear" w:color="000000" w:fill="FFFFFF"/>
            <w:vAlign w:val="bottom"/>
            <w:hideMark/>
          </w:tcPr>
          <w:p w14:paraId="6C5BE7C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1.00</w:t>
            </w:r>
          </w:p>
        </w:tc>
        <w:tc>
          <w:tcPr>
            <w:tcW w:w="142" w:type="pct"/>
            <w:tcBorders>
              <w:top w:val="nil"/>
              <w:left w:val="nil"/>
              <w:bottom w:val="nil"/>
              <w:right w:val="nil"/>
            </w:tcBorders>
            <w:shd w:val="clear" w:color="000000" w:fill="FFFFFF"/>
            <w:noWrap/>
            <w:vAlign w:val="bottom"/>
            <w:hideMark/>
          </w:tcPr>
          <w:p w14:paraId="1CD7CAC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1D8A4BE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-0.001</w:t>
            </w:r>
          </w:p>
        </w:tc>
        <w:tc>
          <w:tcPr>
            <w:tcW w:w="302" w:type="pct"/>
            <w:tcBorders>
              <w:top w:val="nil"/>
              <w:left w:val="nil"/>
              <w:bottom w:val="nil"/>
              <w:right w:val="nil"/>
            </w:tcBorders>
            <w:shd w:val="clear" w:color="000000" w:fill="FFFFFF"/>
            <w:vAlign w:val="bottom"/>
            <w:hideMark/>
          </w:tcPr>
          <w:p w14:paraId="5D8F4F3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0.00</w:t>
            </w:r>
          </w:p>
        </w:tc>
        <w:tc>
          <w:tcPr>
            <w:tcW w:w="562" w:type="pct"/>
            <w:tcBorders>
              <w:top w:val="nil"/>
              <w:left w:val="nil"/>
              <w:bottom w:val="nil"/>
              <w:right w:val="nil"/>
            </w:tcBorders>
            <w:shd w:val="clear" w:color="000000" w:fill="FFFFFF"/>
            <w:noWrap/>
            <w:vAlign w:val="bottom"/>
            <w:hideMark/>
          </w:tcPr>
          <w:p w14:paraId="5DDF9AF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53971666" w14:textId="77777777" w:rsidTr="00930A25">
        <w:trPr>
          <w:trHeight w:val="258"/>
        </w:trPr>
        <w:tc>
          <w:tcPr>
            <w:tcW w:w="1660" w:type="pct"/>
            <w:tcBorders>
              <w:top w:val="nil"/>
              <w:left w:val="nil"/>
              <w:bottom w:val="nil"/>
              <w:right w:val="nil"/>
            </w:tcBorders>
            <w:shd w:val="clear" w:color="000000" w:fill="FFFFFF"/>
            <w:noWrap/>
            <w:vAlign w:val="bottom"/>
            <w:hideMark/>
          </w:tcPr>
          <w:p w14:paraId="1A45EA06"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noWrap/>
            <w:vAlign w:val="bottom"/>
            <w:hideMark/>
          </w:tcPr>
          <w:p w14:paraId="072F94F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4773793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33FDFB8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31A6A3D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(0.003)</w:t>
            </w:r>
          </w:p>
        </w:tc>
        <w:tc>
          <w:tcPr>
            <w:tcW w:w="302" w:type="pct"/>
            <w:tcBorders>
              <w:top w:val="nil"/>
              <w:left w:val="nil"/>
              <w:bottom w:val="nil"/>
              <w:right w:val="nil"/>
            </w:tcBorders>
            <w:shd w:val="clear" w:color="000000" w:fill="FFFFFF"/>
            <w:vAlign w:val="bottom"/>
            <w:hideMark/>
          </w:tcPr>
          <w:p w14:paraId="60E81B0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43612CD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0202EDE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(0.004)</w:t>
            </w:r>
          </w:p>
        </w:tc>
        <w:tc>
          <w:tcPr>
            <w:tcW w:w="302" w:type="pct"/>
            <w:tcBorders>
              <w:top w:val="nil"/>
              <w:left w:val="nil"/>
              <w:bottom w:val="nil"/>
              <w:right w:val="nil"/>
            </w:tcBorders>
            <w:shd w:val="clear" w:color="000000" w:fill="FFFFFF"/>
            <w:vAlign w:val="bottom"/>
            <w:hideMark/>
          </w:tcPr>
          <w:p w14:paraId="456DAC0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1B6D851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7AFACFAE" w14:textId="77777777" w:rsidTr="00930A25">
        <w:trPr>
          <w:trHeight w:val="258"/>
        </w:trPr>
        <w:tc>
          <w:tcPr>
            <w:tcW w:w="1660" w:type="pct"/>
            <w:tcBorders>
              <w:top w:val="nil"/>
              <w:left w:val="nil"/>
              <w:bottom w:val="nil"/>
              <w:right w:val="nil"/>
            </w:tcBorders>
            <w:shd w:val="clear" w:color="000000" w:fill="FFFFFF"/>
            <w:noWrap/>
            <w:vAlign w:val="bottom"/>
            <w:hideMark/>
          </w:tcPr>
          <w:p w14:paraId="6643217E"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Price relative to 52-week high</w:t>
            </w:r>
          </w:p>
        </w:tc>
        <w:tc>
          <w:tcPr>
            <w:tcW w:w="528" w:type="pct"/>
            <w:tcBorders>
              <w:top w:val="nil"/>
              <w:left w:val="nil"/>
              <w:bottom w:val="nil"/>
              <w:right w:val="nil"/>
            </w:tcBorders>
            <w:shd w:val="clear" w:color="000000" w:fill="FFFFFF"/>
            <w:noWrap/>
            <w:vAlign w:val="bottom"/>
            <w:hideMark/>
          </w:tcPr>
          <w:p w14:paraId="3868C1D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25E0C0C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3A5149B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5B85079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0.304***</w:t>
            </w:r>
          </w:p>
        </w:tc>
        <w:tc>
          <w:tcPr>
            <w:tcW w:w="302" w:type="pct"/>
            <w:tcBorders>
              <w:top w:val="nil"/>
              <w:left w:val="nil"/>
              <w:bottom w:val="nil"/>
              <w:right w:val="nil"/>
            </w:tcBorders>
            <w:shd w:val="clear" w:color="000000" w:fill="FFFFFF"/>
            <w:vAlign w:val="bottom"/>
            <w:hideMark/>
          </w:tcPr>
          <w:p w14:paraId="1981AC4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1.36</w:t>
            </w:r>
          </w:p>
        </w:tc>
        <w:tc>
          <w:tcPr>
            <w:tcW w:w="142" w:type="pct"/>
            <w:tcBorders>
              <w:top w:val="nil"/>
              <w:left w:val="nil"/>
              <w:bottom w:val="nil"/>
              <w:right w:val="nil"/>
            </w:tcBorders>
            <w:shd w:val="clear" w:color="000000" w:fill="FFFFFF"/>
            <w:noWrap/>
            <w:vAlign w:val="bottom"/>
            <w:hideMark/>
          </w:tcPr>
          <w:p w14:paraId="1EBA4FD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6C95F29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0.239***</w:t>
            </w:r>
          </w:p>
        </w:tc>
        <w:tc>
          <w:tcPr>
            <w:tcW w:w="302" w:type="pct"/>
            <w:tcBorders>
              <w:top w:val="nil"/>
              <w:left w:val="nil"/>
              <w:bottom w:val="nil"/>
              <w:right w:val="nil"/>
            </w:tcBorders>
            <w:shd w:val="clear" w:color="000000" w:fill="FFFFFF"/>
            <w:vAlign w:val="bottom"/>
            <w:hideMark/>
          </w:tcPr>
          <w:p w14:paraId="4F87DAD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1.27</w:t>
            </w:r>
          </w:p>
        </w:tc>
        <w:tc>
          <w:tcPr>
            <w:tcW w:w="562" w:type="pct"/>
            <w:tcBorders>
              <w:top w:val="nil"/>
              <w:left w:val="nil"/>
              <w:bottom w:val="nil"/>
              <w:right w:val="nil"/>
            </w:tcBorders>
            <w:shd w:val="clear" w:color="000000" w:fill="FFFFFF"/>
            <w:noWrap/>
            <w:vAlign w:val="bottom"/>
            <w:hideMark/>
          </w:tcPr>
          <w:p w14:paraId="29E2C05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1096D362" w14:textId="77777777" w:rsidTr="00930A25">
        <w:trPr>
          <w:trHeight w:val="258"/>
        </w:trPr>
        <w:tc>
          <w:tcPr>
            <w:tcW w:w="1660" w:type="pct"/>
            <w:tcBorders>
              <w:top w:val="nil"/>
              <w:left w:val="nil"/>
              <w:bottom w:val="nil"/>
              <w:right w:val="nil"/>
            </w:tcBorders>
            <w:shd w:val="clear" w:color="000000" w:fill="FFFFFF"/>
            <w:noWrap/>
            <w:vAlign w:val="bottom"/>
            <w:hideMark/>
          </w:tcPr>
          <w:p w14:paraId="02FE37E2"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noWrap/>
            <w:vAlign w:val="bottom"/>
            <w:hideMark/>
          </w:tcPr>
          <w:p w14:paraId="6DB27B5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7332B92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7BF7254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535EE41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(0.025)</w:t>
            </w:r>
          </w:p>
        </w:tc>
        <w:tc>
          <w:tcPr>
            <w:tcW w:w="302" w:type="pct"/>
            <w:tcBorders>
              <w:top w:val="nil"/>
              <w:left w:val="nil"/>
              <w:bottom w:val="nil"/>
              <w:right w:val="nil"/>
            </w:tcBorders>
            <w:shd w:val="clear" w:color="000000" w:fill="FFFFFF"/>
            <w:vAlign w:val="bottom"/>
            <w:hideMark/>
          </w:tcPr>
          <w:p w14:paraId="7A6166E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05B675C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43D0371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(0.034)</w:t>
            </w:r>
          </w:p>
        </w:tc>
        <w:tc>
          <w:tcPr>
            <w:tcW w:w="302" w:type="pct"/>
            <w:tcBorders>
              <w:top w:val="nil"/>
              <w:left w:val="nil"/>
              <w:bottom w:val="nil"/>
              <w:right w:val="nil"/>
            </w:tcBorders>
            <w:shd w:val="clear" w:color="000000" w:fill="FFFFFF"/>
            <w:vAlign w:val="bottom"/>
            <w:hideMark/>
          </w:tcPr>
          <w:p w14:paraId="25DD6BB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3A7AB5A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53B1197C" w14:textId="77777777" w:rsidTr="00930A25">
        <w:trPr>
          <w:trHeight w:val="258"/>
        </w:trPr>
        <w:tc>
          <w:tcPr>
            <w:tcW w:w="1660" w:type="pct"/>
            <w:tcBorders>
              <w:top w:val="nil"/>
              <w:left w:val="nil"/>
              <w:bottom w:val="nil"/>
              <w:right w:val="nil"/>
            </w:tcBorders>
            <w:shd w:val="clear" w:color="000000" w:fill="FFFFFF"/>
            <w:noWrap/>
            <w:vAlign w:val="bottom"/>
            <w:hideMark/>
          </w:tcPr>
          <w:p w14:paraId="05380DAE"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level up/down</w:t>
            </w:r>
          </w:p>
        </w:tc>
        <w:tc>
          <w:tcPr>
            <w:tcW w:w="528" w:type="pct"/>
            <w:tcBorders>
              <w:top w:val="nil"/>
              <w:left w:val="nil"/>
              <w:bottom w:val="nil"/>
              <w:right w:val="nil"/>
            </w:tcBorders>
            <w:shd w:val="clear" w:color="000000" w:fill="FFFFFF"/>
            <w:noWrap/>
            <w:vAlign w:val="bottom"/>
            <w:hideMark/>
          </w:tcPr>
          <w:p w14:paraId="52716CB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6465155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14F017B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59CAF6B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-0.076***</w:t>
            </w:r>
          </w:p>
        </w:tc>
        <w:tc>
          <w:tcPr>
            <w:tcW w:w="302" w:type="pct"/>
            <w:tcBorders>
              <w:top w:val="nil"/>
              <w:left w:val="nil"/>
              <w:bottom w:val="nil"/>
              <w:right w:val="nil"/>
            </w:tcBorders>
            <w:shd w:val="clear" w:color="000000" w:fill="FFFFFF"/>
            <w:vAlign w:val="bottom"/>
            <w:hideMark/>
          </w:tcPr>
          <w:p w14:paraId="5A68850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0.93</w:t>
            </w:r>
          </w:p>
        </w:tc>
        <w:tc>
          <w:tcPr>
            <w:tcW w:w="142" w:type="pct"/>
            <w:tcBorders>
              <w:top w:val="nil"/>
              <w:left w:val="nil"/>
              <w:bottom w:val="nil"/>
              <w:right w:val="nil"/>
            </w:tcBorders>
            <w:shd w:val="clear" w:color="000000" w:fill="FFFFFF"/>
            <w:noWrap/>
            <w:vAlign w:val="bottom"/>
            <w:hideMark/>
          </w:tcPr>
          <w:p w14:paraId="76C44B9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6395995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-0.062***</w:t>
            </w:r>
          </w:p>
        </w:tc>
        <w:tc>
          <w:tcPr>
            <w:tcW w:w="302" w:type="pct"/>
            <w:tcBorders>
              <w:top w:val="nil"/>
              <w:left w:val="nil"/>
              <w:bottom w:val="nil"/>
              <w:right w:val="nil"/>
            </w:tcBorders>
            <w:shd w:val="clear" w:color="000000" w:fill="FFFFFF"/>
            <w:vAlign w:val="bottom"/>
            <w:hideMark/>
          </w:tcPr>
          <w:p w14:paraId="7D29114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0.94</w:t>
            </w:r>
          </w:p>
        </w:tc>
        <w:tc>
          <w:tcPr>
            <w:tcW w:w="562" w:type="pct"/>
            <w:tcBorders>
              <w:top w:val="nil"/>
              <w:left w:val="nil"/>
              <w:bottom w:val="nil"/>
              <w:right w:val="nil"/>
            </w:tcBorders>
            <w:shd w:val="clear" w:color="000000" w:fill="FFFFFF"/>
            <w:noWrap/>
            <w:vAlign w:val="bottom"/>
            <w:hideMark/>
          </w:tcPr>
          <w:p w14:paraId="2B89774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 )</w:t>
            </w:r>
          </w:p>
        </w:tc>
      </w:tr>
      <w:tr w:rsidR="00930A25" w:rsidRPr="00702DBB" w14:paraId="1BA6BAE4" w14:textId="77777777" w:rsidTr="00930A25">
        <w:trPr>
          <w:trHeight w:val="258"/>
        </w:trPr>
        <w:tc>
          <w:tcPr>
            <w:tcW w:w="1660" w:type="pct"/>
            <w:tcBorders>
              <w:top w:val="nil"/>
              <w:left w:val="nil"/>
              <w:bottom w:val="nil"/>
              <w:right w:val="nil"/>
            </w:tcBorders>
            <w:shd w:val="clear" w:color="000000" w:fill="FFFFFF"/>
            <w:noWrap/>
            <w:vAlign w:val="bottom"/>
            <w:hideMark/>
          </w:tcPr>
          <w:p w14:paraId="4C2B8336"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noWrap/>
            <w:vAlign w:val="bottom"/>
            <w:hideMark/>
          </w:tcPr>
          <w:p w14:paraId="3C558E4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noWrap/>
            <w:vAlign w:val="bottom"/>
            <w:hideMark/>
          </w:tcPr>
          <w:p w14:paraId="3940F81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0C7A553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4C23BDB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(0.013)</w:t>
            </w:r>
          </w:p>
        </w:tc>
        <w:tc>
          <w:tcPr>
            <w:tcW w:w="302" w:type="pct"/>
            <w:tcBorders>
              <w:top w:val="nil"/>
              <w:left w:val="nil"/>
              <w:bottom w:val="nil"/>
              <w:right w:val="nil"/>
            </w:tcBorders>
            <w:shd w:val="clear" w:color="000000" w:fill="FFFFFF"/>
            <w:vAlign w:val="bottom"/>
            <w:hideMark/>
          </w:tcPr>
          <w:p w14:paraId="1231680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0C6F980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3027F7B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(0.017)</w:t>
            </w:r>
          </w:p>
        </w:tc>
        <w:tc>
          <w:tcPr>
            <w:tcW w:w="302" w:type="pct"/>
            <w:tcBorders>
              <w:top w:val="nil"/>
              <w:left w:val="nil"/>
              <w:bottom w:val="nil"/>
              <w:right w:val="nil"/>
            </w:tcBorders>
            <w:shd w:val="clear" w:color="000000" w:fill="FFFFFF"/>
            <w:vAlign w:val="bottom"/>
            <w:hideMark/>
          </w:tcPr>
          <w:p w14:paraId="08572A0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12F3523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3C95CF42" w14:textId="77777777" w:rsidTr="00930A25">
        <w:trPr>
          <w:trHeight w:val="481"/>
        </w:trPr>
        <w:tc>
          <w:tcPr>
            <w:tcW w:w="1660" w:type="pct"/>
            <w:tcBorders>
              <w:top w:val="nil"/>
              <w:left w:val="nil"/>
              <w:bottom w:val="nil"/>
              <w:right w:val="nil"/>
            </w:tcBorders>
            <w:shd w:val="clear" w:color="000000" w:fill="FFFFFF"/>
            <w:noWrap/>
            <w:vAlign w:val="bottom"/>
            <w:hideMark/>
          </w:tcPr>
          <w:p w14:paraId="4A546297" w14:textId="77777777" w:rsidR="00A329A3" w:rsidRPr="00702DBB" w:rsidRDefault="00A329A3" w:rsidP="00A329A3">
            <w:pPr>
              <w:spacing w:after="0" w:line="240" w:lineRule="auto"/>
              <w:rPr>
                <w:rFonts w:ascii="Century Schoolbook" w:eastAsia="Times New Roman" w:hAnsi="Century Schoolbook" w:cs="Times New Roman"/>
                <w:i/>
                <w:iCs/>
                <w:color w:val="000000"/>
                <w:sz w:val="18"/>
                <w:szCs w:val="18"/>
              </w:rPr>
            </w:pPr>
            <w:r w:rsidRPr="00702DBB">
              <w:rPr>
                <w:rFonts w:ascii="Century Schoolbook" w:eastAsia="Times New Roman" w:hAnsi="Century Schoolbook" w:cs="Times New Roman"/>
                <w:i/>
                <w:iCs/>
                <w:color w:val="000000"/>
                <w:sz w:val="18"/>
                <w:szCs w:val="18"/>
              </w:rPr>
              <w:t>Previous recommendation level</w:t>
            </w:r>
          </w:p>
        </w:tc>
        <w:tc>
          <w:tcPr>
            <w:tcW w:w="528" w:type="pct"/>
            <w:tcBorders>
              <w:top w:val="nil"/>
              <w:left w:val="nil"/>
              <w:bottom w:val="nil"/>
              <w:right w:val="nil"/>
            </w:tcBorders>
            <w:shd w:val="clear" w:color="000000" w:fill="FFFFFF"/>
            <w:vAlign w:val="bottom"/>
            <w:hideMark/>
          </w:tcPr>
          <w:p w14:paraId="225728DA"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04C6FF8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61467B3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67F1F99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4902204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719D23A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346C972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302" w:type="pct"/>
            <w:tcBorders>
              <w:top w:val="nil"/>
              <w:left w:val="nil"/>
              <w:bottom w:val="nil"/>
              <w:right w:val="nil"/>
            </w:tcBorders>
            <w:shd w:val="clear" w:color="000000" w:fill="FFFFFF"/>
            <w:vAlign w:val="bottom"/>
            <w:hideMark/>
          </w:tcPr>
          <w:p w14:paraId="44F0827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59CA2FB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1C06887E" w14:textId="77777777" w:rsidTr="00930A25">
        <w:trPr>
          <w:trHeight w:val="258"/>
        </w:trPr>
        <w:tc>
          <w:tcPr>
            <w:tcW w:w="1660" w:type="pct"/>
            <w:tcBorders>
              <w:top w:val="nil"/>
              <w:left w:val="nil"/>
              <w:bottom w:val="nil"/>
              <w:right w:val="nil"/>
            </w:tcBorders>
            <w:shd w:val="clear" w:color="000000" w:fill="FFFFFF"/>
            <w:noWrap/>
            <w:vAlign w:val="bottom"/>
            <w:hideMark/>
          </w:tcPr>
          <w:p w14:paraId="5A3CE4E7"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Last </w:t>
            </w:r>
            <w:proofErr w:type="spellStart"/>
            <w:r w:rsidRPr="00702DBB">
              <w:rPr>
                <w:rFonts w:ascii="Century Schoolbook" w:eastAsia="Times New Roman" w:hAnsi="Century Schoolbook" w:cs="Times New Roman"/>
                <w:color w:val="000000"/>
                <w:sz w:val="18"/>
                <w:szCs w:val="18"/>
              </w:rPr>
              <w:t>recom</w:t>
            </w:r>
            <w:proofErr w:type="spellEnd"/>
            <w:r w:rsidRPr="00702DBB">
              <w:rPr>
                <w:rFonts w:ascii="Century Schoolbook" w:eastAsia="Times New Roman" w:hAnsi="Century Schoolbook" w:cs="Times New Roman"/>
                <w:color w:val="000000"/>
                <w:sz w:val="18"/>
                <w:szCs w:val="18"/>
              </w:rPr>
              <w:t>. = 2 ("Buy")</w:t>
            </w:r>
          </w:p>
        </w:tc>
        <w:tc>
          <w:tcPr>
            <w:tcW w:w="528" w:type="pct"/>
            <w:tcBorders>
              <w:top w:val="nil"/>
              <w:left w:val="nil"/>
              <w:bottom w:val="nil"/>
              <w:right w:val="nil"/>
            </w:tcBorders>
            <w:shd w:val="clear" w:color="000000" w:fill="FFFFFF"/>
            <w:vAlign w:val="bottom"/>
            <w:hideMark/>
          </w:tcPr>
          <w:p w14:paraId="6D26482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0.112***</w:t>
            </w:r>
          </w:p>
        </w:tc>
        <w:tc>
          <w:tcPr>
            <w:tcW w:w="302" w:type="pct"/>
            <w:tcBorders>
              <w:top w:val="nil"/>
              <w:left w:val="nil"/>
              <w:bottom w:val="nil"/>
              <w:right w:val="nil"/>
            </w:tcBorders>
            <w:shd w:val="clear" w:color="000000" w:fill="FFFFFF"/>
            <w:vAlign w:val="bottom"/>
            <w:hideMark/>
          </w:tcPr>
          <w:p w14:paraId="70AB295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1.12</w:t>
            </w:r>
          </w:p>
        </w:tc>
        <w:tc>
          <w:tcPr>
            <w:tcW w:w="142" w:type="pct"/>
            <w:tcBorders>
              <w:top w:val="nil"/>
              <w:left w:val="nil"/>
              <w:bottom w:val="nil"/>
              <w:right w:val="nil"/>
            </w:tcBorders>
            <w:shd w:val="clear" w:color="000000" w:fill="FFFFFF"/>
            <w:noWrap/>
            <w:vAlign w:val="bottom"/>
            <w:hideMark/>
          </w:tcPr>
          <w:p w14:paraId="715E679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4DB8FC7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0.103***</w:t>
            </w:r>
          </w:p>
        </w:tc>
        <w:tc>
          <w:tcPr>
            <w:tcW w:w="302" w:type="pct"/>
            <w:tcBorders>
              <w:top w:val="nil"/>
              <w:left w:val="nil"/>
              <w:bottom w:val="nil"/>
              <w:right w:val="nil"/>
            </w:tcBorders>
            <w:shd w:val="clear" w:color="000000" w:fill="FFFFFF"/>
            <w:vAlign w:val="bottom"/>
            <w:hideMark/>
          </w:tcPr>
          <w:p w14:paraId="4CBA881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1.11</w:t>
            </w:r>
          </w:p>
        </w:tc>
        <w:tc>
          <w:tcPr>
            <w:tcW w:w="142" w:type="pct"/>
            <w:tcBorders>
              <w:top w:val="nil"/>
              <w:left w:val="nil"/>
              <w:bottom w:val="nil"/>
              <w:right w:val="nil"/>
            </w:tcBorders>
            <w:shd w:val="clear" w:color="000000" w:fill="FFFFFF"/>
            <w:noWrap/>
            <w:vAlign w:val="bottom"/>
            <w:hideMark/>
          </w:tcPr>
          <w:p w14:paraId="2B03EE4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50D86F9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0.037</w:t>
            </w:r>
          </w:p>
        </w:tc>
        <w:tc>
          <w:tcPr>
            <w:tcW w:w="302" w:type="pct"/>
            <w:tcBorders>
              <w:top w:val="nil"/>
              <w:left w:val="nil"/>
              <w:bottom w:val="nil"/>
              <w:right w:val="nil"/>
            </w:tcBorders>
            <w:shd w:val="clear" w:color="000000" w:fill="FFFFFF"/>
            <w:vAlign w:val="bottom"/>
            <w:hideMark/>
          </w:tcPr>
          <w:p w14:paraId="1A3E836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1.04</w:t>
            </w:r>
          </w:p>
        </w:tc>
        <w:tc>
          <w:tcPr>
            <w:tcW w:w="562" w:type="pct"/>
            <w:tcBorders>
              <w:top w:val="nil"/>
              <w:left w:val="nil"/>
              <w:bottom w:val="nil"/>
              <w:right w:val="nil"/>
            </w:tcBorders>
            <w:shd w:val="clear" w:color="000000" w:fill="FFFFFF"/>
            <w:noWrap/>
            <w:vAlign w:val="bottom"/>
            <w:hideMark/>
          </w:tcPr>
          <w:p w14:paraId="6B439DB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4BFD3AAA" w14:textId="77777777" w:rsidTr="00930A25">
        <w:trPr>
          <w:trHeight w:val="258"/>
        </w:trPr>
        <w:tc>
          <w:tcPr>
            <w:tcW w:w="1660" w:type="pct"/>
            <w:tcBorders>
              <w:top w:val="nil"/>
              <w:left w:val="nil"/>
              <w:bottom w:val="nil"/>
              <w:right w:val="nil"/>
            </w:tcBorders>
            <w:shd w:val="clear" w:color="000000" w:fill="FFFFFF"/>
            <w:noWrap/>
            <w:vAlign w:val="bottom"/>
            <w:hideMark/>
          </w:tcPr>
          <w:p w14:paraId="41AF0BEF"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vAlign w:val="bottom"/>
            <w:hideMark/>
          </w:tcPr>
          <w:p w14:paraId="7369B89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(0.013)</w:t>
            </w:r>
          </w:p>
        </w:tc>
        <w:tc>
          <w:tcPr>
            <w:tcW w:w="302" w:type="pct"/>
            <w:tcBorders>
              <w:top w:val="nil"/>
              <w:left w:val="nil"/>
              <w:bottom w:val="nil"/>
              <w:right w:val="nil"/>
            </w:tcBorders>
            <w:shd w:val="clear" w:color="000000" w:fill="FFFFFF"/>
            <w:vAlign w:val="bottom"/>
            <w:hideMark/>
          </w:tcPr>
          <w:p w14:paraId="39DAB6B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169F95A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033D9425"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(0.014)</w:t>
            </w:r>
          </w:p>
        </w:tc>
        <w:tc>
          <w:tcPr>
            <w:tcW w:w="302" w:type="pct"/>
            <w:tcBorders>
              <w:top w:val="nil"/>
              <w:left w:val="nil"/>
              <w:bottom w:val="nil"/>
              <w:right w:val="nil"/>
            </w:tcBorders>
            <w:shd w:val="clear" w:color="000000" w:fill="FFFFFF"/>
            <w:vAlign w:val="bottom"/>
            <w:hideMark/>
          </w:tcPr>
          <w:p w14:paraId="6C690CC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151D31F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1C13070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(0.027)</w:t>
            </w:r>
          </w:p>
        </w:tc>
        <w:tc>
          <w:tcPr>
            <w:tcW w:w="302" w:type="pct"/>
            <w:tcBorders>
              <w:top w:val="nil"/>
              <w:left w:val="nil"/>
              <w:bottom w:val="nil"/>
              <w:right w:val="nil"/>
            </w:tcBorders>
            <w:shd w:val="clear" w:color="000000" w:fill="FFFFFF"/>
            <w:vAlign w:val="bottom"/>
            <w:hideMark/>
          </w:tcPr>
          <w:p w14:paraId="2101952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54C2B09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085678B6" w14:textId="77777777" w:rsidTr="00930A25">
        <w:trPr>
          <w:trHeight w:val="258"/>
        </w:trPr>
        <w:tc>
          <w:tcPr>
            <w:tcW w:w="1660" w:type="pct"/>
            <w:tcBorders>
              <w:top w:val="nil"/>
              <w:left w:val="nil"/>
              <w:bottom w:val="nil"/>
              <w:right w:val="nil"/>
            </w:tcBorders>
            <w:shd w:val="clear" w:color="000000" w:fill="FFFFFF"/>
            <w:noWrap/>
            <w:vAlign w:val="bottom"/>
            <w:hideMark/>
          </w:tcPr>
          <w:p w14:paraId="4CC0733C"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Last </w:t>
            </w:r>
            <w:proofErr w:type="spellStart"/>
            <w:r w:rsidRPr="00702DBB">
              <w:rPr>
                <w:rFonts w:ascii="Century Schoolbook" w:eastAsia="Times New Roman" w:hAnsi="Century Schoolbook" w:cs="Times New Roman"/>
                <w:color w:val="000000"/>
                <w:sz w:val="18"/>
                <w:szCs w:val="18"/>
              </w:rPr>
              <w:t>recom</w:t>
            </w:r>
            <w:proofErr w:type="spellEnd"/>
            <w:r w:rsidRPr="00702DBB">
              <w:rPr>
                <w:rFonts w:ascii="Century Schoolbook" w:eastAsia="Times New Roman" w:hAnsi="Century Schoolbook" w:cs="Times New Roman"/>
                <w:color w:val="000000"/>
                <w:sz w:val="18"/>
                <w:szCs w:val="18"/>
              </w:rPr>
              <w:t>. = 4 ("Sell")</w:t>
            </w:r>
          </w:p>
        </w:tc>
        <w:tc>
          <w:tcPr>
            <w:tcW w:w="528" w:type="pct"/>
            <w:tcBorders>
              <w:top w:val="nil"/>
              <w:left w:val="nil"/>
              <w:bottom w:val="nil"/>
              <w:right w:val="nil"/>
            </w:tcBorders>
            <w:shd w:val="clear" w:color="000000" w:fill="FFFFFF"/>
            <w:vAlign w:val="bottom"/>
            <w:hideMark/>
          </w:tcPr>
          <w:p w14:paraId="0E1198B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0.362***</w:t>
            </w:r>
          </w:p>
        </w:tc>
        <w:tc>
          <w:tcPr>
            <w:tcW w:w="302" w:type="pct"/>
            <w:tcBorders>
              <w:top w:val="nil"/>
              <w:left w:val="nil"/>
              <w:bottom w:val="nil"/>
              <w:right w:val="nil"/>
            </w:tcBorders>
            <w:shd w:val="clear" w:color="000000" w:fill="FFFFFF"/>
            <w:vAlign w:val="bottom"/>
            <w:hideMark/>
          </w:tcPr>
          <w:p w14:paraId="541C8F1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1.44</w:t>
            </w:r>
          </w:p>
        </w:tc>
        <w:tc>
          <w:tcPr>
            <w:tcW w:w="142" w:type="pct"/>
            <w:tcBorders>
              <w:top w:val="nil"/>
              <w:left w:val="nil"/>
              <w:bottom w:val="nil"/>
              <w:right w:val="nil"/>
            </w:tcBorders>
            <w:shd w:val="clear" w:color="000000" w:fill="FFFFFF"/>
            <w:noWrap/>
            <w:vAlign w:val="bottom"/>
            <w:hideMark/>
          </w:tcPr>
          <w:p w14:paraId="66AAC47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4040ECC4"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0.298***</w:t>
            </w:r>
          </w:p>
        </w:tc>
        <w:tc>
          <w:tcPr>
            <w:tcW w:w="302" w:type="pct"/>
            <w:tcBorders>
              <w:top w:val="nil"/>
              <w:left w:val="nil"/>
              <w:bottom w:val="nil"/>
              <w:right w:val="nil"/>
            </w:tcBorders>
            <w:shd w:val="clear" w:color="000000" w:fill="FFFFFF"/>
            <w:vAlign w:val="bottom"/>
            <w:hideMark/>
          </w:tcPr>
          <w:p w14:paraId="15C7F0A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1.35</w:t>
            </w:r>
          </w:p>
        </w:tc>
        <w:tc>
          <w:tcPr>
            <w:tcW w:w="142" w:type="pct"/>
            <w:tcBorders>
              <w:top w:val="nil"/>
              <w:left w:val="nil"/>
              <w:bottom w:val="nil"/>
              <w:right w:val="nil"/>
            </w:tcBorders>
            <w:shd w:val="clear" w:color="000000" w:fill="FFFFFF"/>
            <w:noWrap/>
            <w:vAlign w:val="bottom"/>
            <w:hideMark/>
          </w:tcPr>
          <w:p w14:paraId="3266E04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2FB7A9F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0.343***</w:t>
            </w:r>
          </w:p>
        </w:tc>
        <w:tc>
          <w:tcPr>
            <w:tcW w:w="302" w:type="pct"/>
            <w:tcBorders>
              <w:top w:val="nil"/>
              <w:left w:val="nil"/>
              <w:bottom w:val="nil"/>
              <w:right w:val="nil"/>
            </w:tcBorders>
            <w:shd w:val="clear" w:color="000000" w:fill="FFFFFF"/>
            <w:vAlign w:val="bottom"/>
            <w:hideMark/>
          </w:tcPr>
          <w:p w14:paraId="340020D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1.41</w:t>
            </w:r>
          </w:p>
        </w:tc>
        <w:tc>
          <w:tcPr>
            <w:tcW w:w="562" w:type="pct"/>
            <w:tcBorders>
              <w:top w:val="nil"/>
              <w:left w:val="nil"/>
              <w:bottom w:val="nil"/>
              <w:right w:val="nil"/>
            </w:tcBorders>
            <w:shd w:val="clear" w:color="000000" w:fill="FFFFFF"/>
            <w:noWrap/>
            <w:vAlign w:val="bottom"/>
            <w:hideMark/>
          </w:tcPr>
          <w:p w14:paraId="03F926E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488F13EE" w14:textId="77777777" w:rsidTr="00930A25">
        <w:trPr>
          <w:trHeight w:val="258"/>
        </w:trPr>
        <w:tc>
          <w:tcPr>
            <w:tcW w:w="1660" w:type="pct"/>
            <w:tcBorders>
              <w:top w:val="nil"/>
              <w:left w:val="nil"/>
              <w:bottom w:val="nil"/>
              <w:right w:val="nil"/>
            </w:tcBorders>
            <w:shd w:val="clear" w:color="000000" w:fill="FFFFFF"/>
            <w:noWrap/>
            <w:vAlign w:val="bottom"/>
            <w:hideMark/>
          </w:tcPr>
          <w:p w14:paraId="78619D34"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bottom w:val="nil"/>
              <w:right w:val="nil"/>
            </w:tcBorders>
            <w:shd w:val="clear" w:color="000000" w:fill="FFFFFF"/>
            <w:vAlign w:val="bottom"/>
            <w:hideMark/>
          </w:tcPr>
          <w:p w14:paraId="53D8D1D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(0.015)</w:t>
            </w:r>
          </w:p>
        </w:tc>
        <w:tc>
          <w:tcPr>
            <w:tcW w:w="302" w:type="pct"/>
            <w:tcBorders>
              <w:top w:val="nil"/>
              <w:left w:val="nil"/>
              <w:bottom w:val="nil"/>
              <w:right w:val="nil"/>
            </w:tcBorders>
            <w:shd w:val="clear" w:color="000000" w:fill="FFFFFF"/>
            <w:vAlign w:val="bottom"/>
            <w:hideMark/>
          </w:tcPr>
          <w:p w14:paraId="3FF73258"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095342D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bottom w:val="nil"/>
              <w:right w:val="nil"/>
            </w:tcBorders>
            <w:shd w:val="clear" w:color="000000" w:fill="FFFFFF"/>
            <w:vAlign w:val="bottom"/>
            <w:hideMark/>
          </w:tcPr>
          <w:p w14:paraId="5A3923E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(0.015)</w:t>
            </w:r>
          </w:p>
        </w:tc>
        <w:tc>
          <w:tcPr>
            <w:tcW w:w="302" w:type="pct"/>
            <w:tcBorders>
              <w:top w:val="nil"/>
              <w:left w:val="nil"/>
              <w:bottom w:val="nil"/>
              <w:right w:val="nil"/>
            </w:tcBorders>
            <w:shd w:val="clear" w:color="000000" w:fill="FFFFFF"/>
            <w:vAlign w:val="bottom"/>
            <w:hideMark/>
          </w:tcPr>
          <w:p w14:paraId="5D22316C"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bottom w:val="nil"/>
              <w:right w:val="nil"/>
            </w:tcBorders>
            <w:shd w:val="clear" w:color="000000" w:fill="FFFFFF"/>
            <w:noWrap/>
            <w:vAlign w:val="bottom"/>
            <w:hideMark/>
          </w:tcPr>
          <w:p w14:paraId="03CEEF6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bottom w:val="nil"/>
              <w:right w:val="nil"/>
            </w:tcBorders>
            <w:shd w:val="clear" w:color="000000" w:fill="FFFFFF"/>
            <w:vAlign w:val="bottom"/>
            <w:hideMark/>
          </w:tcPr>
          <w:p w14:paraId="34C2FCD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(0.021)</w:t>
            </w:r>
          </w:p>
        </w:tc>
        <w:tc>
          <w:tcPr>
            <w:tcW w:w="302" w:type="pct"/>
            <w:tcBorders>
              <w:top w:val="nil"/>
              <w:left w:val="nil"/>
              <w:bottom w:val="nil"/>
              <w:right w:val="nil"/>
            </w:tcBorders>
            <w:shd w:val="clear" w:color="000000" w:fill="FFFFFF"/>
            <w:vAlign w:val="bottom"/>
            <w:hideMark/>
          </w:tcPr>
          <w:p w14:paraId="376B77D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bottom w:val="nil"/>
              <w:right w:val="nil"/>
            </w:tcBorders>
            <w:shd w:val="clear" w:color="000000" w:fill="FFFFFF"/>
            <w:noWrap/>
            <w:vAlign w:val="bottom"/>
            <w:hideMark/>
          </w:tcPr>
          <w:p w14:paraId="30E1268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20B0C7A5" w14:textId="77777777" w:rsidTr="00930A25">
        <w:trPr>
          <w:trHeight w:val="258"/>
        </w:trPr>
        <w:tc>
          <w:tcPr>
            <w:tcW w:w="1660" w:type="pct"/>
            <w:tcBorders>
              <w:top w:val="nil"/>
              <w:left w:val="nil"/>
              <w:right w:val="nil"/>
            </w:tcBorders>
            <w:shd w:val="clear" w:color="000000" w:fill="FFFFFF"/>
            <w:noWrap/>
            <w:vAlign w:val="bottom"/>
            <w:hideMark/>
          </w:tcPr>
          <w:p w14:paraId="33FC6EF9"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Last </w:t>
            </w:r>
            <w:proofErr w:type="spellStart"/>
            <w:r w:rsidRPr="00702DBB">
              <w:rPr>
                <w:rFonts w:ascii="Century Schoolbook" w:eastAsia="Times New Roman" w:hAnsi="Century Schoolbook" w:cs="Times New Roman"/>
                <w:color w:val="000000"/>
                <w:sz w:val="18"/>
                <w:szCs w:val="18"/>
              </w:rPr>
              <w:t>recom</w:t>
            </w:r>
            <w:proofErr w:type="spellEnd"/>
            <w:r w:rsidRPr="00702DBB">
              <w:rPr>
                <w:rFonts w:ascii="Century Schoolbook" w:eastAsia="Times New Roman" w:hAnsi="Century Schoolbook" w:cs="Times New Roman"/>
                <w:color w:val="000000"/>
                <w:sz w:val="18"/>
                <w:szCs w:val="18"/>
              </w:rPr>
              <w:t>. = 5 ("Strong sell")</w:t>
            </w:r>
          </w:p>
        </w:tc>
        <w:tc>
          <w:tcPr>
            <w:tcW w:w="528" w:type="pct"/>
            <w:tcBorders>
              <w:top w:val="nil"/>
              <w:left w:val="nil"/>
              <w:right w:val="nil"/>
            </w:tcBorders>
            <w:shd w:val="clear" w:color="000000" w:fill="FFFFFF"/>
            <w:vAlign w:val="bottom"/>
            <w:hideMark/>
          </w:tcPr>
          <w:p w14:paraId="763A144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0.432***</w:t>
            </w:r>
          </w:p>
        </w:tc>
        <w:tc>
          <w:tcPr>
            <w:tcW w:w="302" w:type="pct"/>
            <w:tcBorders>
              <w:top w:val="nil"/>
              <w:left w:val="nil"/>
              <w:right w:val="nil"/>
            </w:tcBorders>
            <w:shd w:val="clear" w:color="000000" w:fill="FFFFFF"/>
            <w:vAlign w:val="bottom"/>
            <w:hideMark/>
          </w:tcPr>
          <w:p w14:paraId="2D29E9FA"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1.54</w:t>
            </w:r>
          </w:p>
        </w:tc>
        <w:tc>
          <w:tcPr>
            <w:tcW w:w="142" w:type="pct"/>
            <w:tcBorders>
              <w:top w:val="nil"/>
              <w:left w:val="nil"/>
              <w:right w:val="nil"/>
            </w:tcBorders>
            <w:shd w:val="clear" w:color="000000" w:fill="FFFFFF"/>
            <w:noWrap/>
            <w:vAlign w:val="bottom"/>
            <w:hideMark/>
          </w:tcPr>
          <w:p w14:paraId="3C01D63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right w:val="nil"/>
            </w:tcBorders>
            <w:shd w:val="clear" w:color="000000" w:fill="FFFFFF"/>
            <w:vAlign w:val="bottom"/>
            <w:hideMark/>
          </w:tcPr>
          <w:p w14:paraId="2D82DC6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0.507***</w:t>
            </w:r>
          </w:p>
        </w:tc>
        <w:tc>
          <w:tcPr>
            <w:tcW w:w="302" w:type="pct"/>
            <w:tcBorders>
              <w:top w:val="nil"/>
              <w:left w:val="nil"/>
              <w:right w:val="nil"/>
            </w:tcBorders>
            <w:shd w:val="clear" w:color="000000" w:fill="FFFFFF"/>
            <w:vAlign w:val="bottom"/>
            <w:hideMark/>
          </w:tcPr>
          <w:p w14:paraId="104D797D"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1.66</w:t>
            </w:r>
          </w:p>
        </w:tc>
        <w:tc>
          <w:tcPr>
            <w:tcW w:w="142" w:type="pct"/>
            <w:tcBorders>
              <w:top w:val="nil"/>
              <w:left w:val="nil"/>
              <w:right w:val="nil"/>
            </w:tcBorders>
            <w:shd w:val="clear" w:color="000000" w:fill="FFFFFF"/>
            <w:noWrap/>
            <w:vAlign w:val="bottom"/>
            <w:hideMark/>
          </w:tcPr>
          <w:p w14:paraId="073A7AB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right w:val="nil"/>
            </w:tcBorders>
            <w:shd w:val="clear" w:color="000000" w:fill="FFFFFF"/>
            <w:vAlign w:val="bottom"/>
            <w:hideMark/>
          </w:tcPr>
          <w:p w14:paraId="698385B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0.539***</w:t>
            </w:r>
          </w:p>
        </w:tc>
        <w:tc>
          <w:tcPr>
            <w:tcW w:w="302" w:type="pct"/>
            <w:tcBorders>
              <w:top w:val="nil"/>
              <w:left w:val="nil"/>
              <w:right w:val="nil"/>
            </w:tcBorders>
            <w:shd w:val="clear" w:color="000000" w:fill="FFFFFF"/>
            <w:vAlign w:val="bottom"/>
            <w:hideMark/>
          </w:tcPr>
          <w:p w14:paraId="75ACB9C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1.71</w:t>
            </w:r>
          </w:p>
        </w:tc>
        <w:tc>
          <w:tcPr>
            <w:tcW w:w="562" w:type="pct"/>
            <w:tcBorders>
              <w:top w:val="nil"/>
              <w:left w:val="nil"/>
              <w:right w:val="nil"/>
            </w:tcBorders>
            <w:shd w:val="clear" w:color="000000" w:fill="FFFFFF"/>
            <w:noWrap/>
            <w:vAlign w:val="bottom"/>
            <w:hideMark/>
          </w:tcPr>
          <w:p w14:paraId="7E5F14E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72AD11AE" w14:textId="77777777" w:rsidTr="00930A25">
        <w:trPr>
          <w:trHeight w:val="258"/>
        </w:trPr>
        <w:tc>
          <w:tcPr>
            <w:tcW w:w="1660" w:type="pct"/>
            <w:tcBorders>
              <w:top w:val="nil"/>
              <w:left w:val="nil"/>
              <w:right w:val="nil"/>
            </w:tcBorders>
            <w:shd w:val="clear" w:color="000000" w:fill="FFFFFF"/>
            <w:noWrap/>
            <w:vAlign w:val="bottom"/>
            <w:hideMark/>
          </w:tcPr>
          <w:p w14:paraId="38E7B891"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8" w:type="pct"/>
            <w:tcBorders>
              <w:top w:val="nil"/>
              <w:left w:val="nil"/>
              <w:right w:val="nil"/>
            </w:tcBorders>
            <w:shd w:val="clear" w:color="000000" w:fill="FFFFFF"/>
            <w:vAlign w:val="bottom"/>
            <w:hideMark/>
          </w:tcPr>
          <w:p w14:paraId="2CA0724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(0.019)</w:t>
            </w:r>
          </w:p>
        </w:tc>
        <w:tc>
          <w:tcPr>
            <w:tcW w:w="302" w:type="pct"/>
            <w:tcBorders>
              <w:top w:val="nil"/>
              <w:left w:val="nil"/>
              <w:right w:val="nil"/>
            </w:tcBorders>
            <w:shd w:val="clear" w:color="000000" w:fill="FFFFFF"/>
            <w:vAlign w:val="bottom"/>
            <w:hideMark/>
          </w:tcPr>
          <w:p w14:paraId="224D2BA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right w:val="nil"/>
            </w:tcBorders>
            <w:shd w:val="clear" w:color="000000" w:fill="FFFFFF"/>
            <w:noWrap/>
            <w:vAlign w:val="bottom"/>
            <w:hideMark/>
          </w:tcPr>
          <w:p w14:paraId="05910E1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32" w:type="pct"/>
            <w:tcBorders>
              <w:top w:val="nil"/>
              <w:left w:val="nil"/>
              <w:right w:val="nil"/>
            </w:tcBorders>
            <w:shd w:val="clear" w:color="000000" w:fill="FFFFFF"/>
            <w:vAlign w:val="bottom"/>
            <w:hideMark/>
          </w:tcPr>
          <w:p w14:paraId="28D699C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(0.020)</w:t>
            </w:r>
          </w:p>
        </w:tc>
        <w:tc>
          <w:tcPr>
            <w:tcW w:w="302" w:type="pct"/>
            <w:tcBorders>
              <w:top w:val="nil"/>
              <w:left w:val="nil"/>
              <w:right w:val="nil"/>
            </w:tcBorders>
            <w:shd w:val="clear" w:color="000000" w:fill="FFFFFF"/>
            <w:vAlign w:val="bottom"/>
            <w:hideMark/>
          </w:tcPr>
          <w:p w14:paraId="4BD6C9E0"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142" w:type="pct"/>
            <w:tcBorders>
              <w:top w:val="nil"/>
              <w:left w:val="nil"/>
              <w:right w:val="nil"/>
            </w:tcBorders>
            <w:shd w:val="clear" w:color="000000" w:fill="FFFFFF"/>
            <w:noWrap/>
            <w:vAlign w:val="bottom"/>
            <w:hideMark/>
          </w:tcPr>
          <w:p w14:paraId="0A0B7B0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29" w:type="pct"/>
            <w:tcBorders>
              <w:top w:val="nil"/>
              <w:left w:val="nil"/>
              <w:right w:val="nil"/>
            </w:tcBorders>
            <w:shd w:val="clear" w:color="000000" w:fill="FFFFFF"/>
            <w:vAlign w:val="bottom"/>
            <w:hideMark/>
          </w:tcPr>
          <w:p w14:paraId="757AAD0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(0.028)</w:t>
            </w:r>
          </w:p>
        </w:tc>
        <w:tc>
          <w:tcPr>
            <w:tcW w:w="302" w:type="pct"/>
            <w:tcBorders>
              <w:top w:val="nil"/>
              <w:left w:val="nil"/>
              <w:right w:val="nil"/>
            </w:tcBorders>
            <w:shd w:val="clear" w:color="000000" w:fill="FFFFFF"/>
            <w:vAlign w:val="bottom"/>
            <w:hideMark/>
          </w:tcPr>
          <w:p w14:paraId="7E4CD34F"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562" w:type="pct"/>
            <w:tcBorders>
              <w:top w:val="nil"/>
              <w:left w:val="nil"/>
              <w:right w:val="nil"/>
            </w:tcBorders>
            <w:shd w:val="clear" w:color="000000" w:fill="FFFFFF"/>
            <w:noWrap/>
            <w:vAlign w:val="bottom"/>
            <w:hideMark/>
          </w:tcPr>
          <w:p w14:paraId="645381F2"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08644AD6" w14:textId="77777777" w:rsidTr="00930A25">
        <w:trPr>
          <w:trHeight w:val="258"/>
        </w:trPr>
        <w:tc>
          <w:tcPr>
            <w:tcW w:w="1660" w:type="pct"/>
            <w:tcBorders>
              <w:left w:val="nil"/>
              <w:bottom w:val="single" w:sz="4" w:space="0" w:color="auto"/>
              <w:right w:val="nil"/>
            </w:tcBorders>
            <w:shd w:val="clear" w:color="000000" w:fill="FFFFFF"/>
            <w:noWrap/>
            <w:vAlign w:val="bottom"/>
          </w:tcPr>
          <w:p w14:paraId="142C56D4" w14:textId="77777777" w:rsidR="00A329A3" w:rsidRPr="00702DBB" w:rsidRDefault="00A329A3" w:rsidP="00A329A3">
            <w:pPr>
              <w:spacing w:after="0" w:line="240" w:lineRule="auto"/>
              <w:rPr>
                <w:rFonts w:ascii="Century Schoolbook" w:eastAsia="Times New Roman" w:hAnsi="Century Schoolbook" w:cs="Times New Roman"/>
                <w:color w:val="000000"/>
                <w:sz w:val="18"/>
                <w:szCs w:val="18"/>
              </w:rPr>
            </w:pPr>
          </w:p>
        </w:tc>
        <w:tc>
          <w:tcPr>
            <w:tcW w:w="528" w:type="pct"/>
            <w:tcBorders>
              <w:left w:val="nil"/>
              <w:bottom w:val="single" w:sz="4" w:space="0" w:color="auto"/>
              <w:right w:val="nil"/>
            </w:tcBorders>
            <w:shd w:val="clear" w:color="000000" w:fill="FFFFFF"/>
            <w:vAlign w:val="bottom"/>
          </w:tcPr>
          <w:p w14:paraId="040BC256"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302" w:type="pct"/>
            <w:tcBorders>
              <w:left w:val="nil"/>
              <w:bottom w:val="single" w:sz="4" w:space="0" w:color="auto"/>
              <w:right w:val="nil"/>
            </w:tcBorders>
            <w:shd w:val="clear" w:color="000000" w:fill="FFFFFF"/>
            <w:vAlign w:val="bottom"/>
          </w:tcPr>
          <w:p w14:paraId="522AFD0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142" w:type="pct"/>
            <w:tcBorders>
              <w:left w:val="nil"/>
              <w:bottom w:val="single" w:sz="4" w:space="0" w:color="auto"/>
              <w:right w:val="nil"/>
            </w:tcBorders>
            <w:shd w:val="clear" w:color="000000" w:fill="FFFFFF"/>
            <w:noWrap/>
            <w:vAlign w:val="bottom"/>
          </w:tcPr>
          <w:p w14:paraId="56393687"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532" w:type="pct"/>
            <w:tcBorders>
              <w:left w:val="nil"/>
              <w:bottom w:val="single" w:sz="4" w:space="0" w:color="auto"/>
              <w:right w:val="nil"/>
            </w:tcBorders>
            <w:shd w:val="clear" w:color="000000" w:fill="FFFFFF"/>
            <w:vAlign w:val="bottom"/>
          </w:tcPr>
          <w:p w14:paraId="6BEDBC19"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302" w:type="pct"/>
            <w:tcBorders>
              <w:left w:val="nil"/>
              <w:bottom w:val="single" w:sz="4" w:space="0" w:color="auto"/>
              <w:right w:val="nil"/>
            </w:tcBorders>
            <w:shd w:val="clear" w:color="000000" w:fill="FFFFFF"/>
            <w:vAlign w:val="bottom"/>
          </w:tcPr>
          <w:p w14:paraId="1A55E9D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142" w:type="pct"/>
            <w:tcBorders>
              <w:left w:val="nil"/>
              <w:bottom w:val="single" w:sz="4" w:space="0" w:color="auto"/>
              <w:right w:val="nil"/>
            </w:tcBorders>
            <w:shd w:val="clear" w:color="000000" w:fill="FFFFFF"/>
            <w:noWrap/>
            <w:vAlign w:val="bottom"/>
          </w:tcPr>
          <w:p w14:paraId="6CF9BAF1"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529" w:type="pct"/>
            <w:tcBorders>
              <w:left w:val="nil"/>
              <w:bottom w:val="single" w:sz="4" w:space="0" w:color="auto"/>
              <w:right w:val="nil"/>
            </w:tcBorders>
            <w:shd w:val="clear" w:color="000000" w:fill="FFFFFF"/>
            <w:vAlign w:val="bottom"/>
          </w:tcPr>
          <w:p w14:paraId="4385B2D3"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302" w:type="pct"/>
            <w:tcBorders>
              <w:left w:val="nil"/>
              <w:bottom w:val="single" w:sz="4" w:space="0" w:color="auto"/>
              <w:right w:val="nil"/>
            </w:tcBorders>
            <w:shd w:val="clear" w:color="000000" w:fill="FFFFFF"/>
            <w:vAlign w:val="bottom"/>
          </w:tcPr>
          <w:p w14:paraId="7B2A2B7B"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562" w:type="pct"/>
            <w:tcBorders>
              <w:left w:val="nil"/>
              <w:bottom w:val="single" w:sz="4" w:space="0" w:color="auto"/>
              <w:right w:val="nil"/>
            </w:tcBorders>
            <w:shd w:val="clear" w:color="000000" w:fill="FFFFFF"/>
            <w:noWrap/>
            <w:vAlign w:val="bottom"/>
          </w:tcPr>
          <w:p w14:paraId="1BD2FDEE" w14:textId="77777777" w:rsidR="00A329A3" w:rsidRPr="00702DBB" w:rsidRDefault="00A329A3" w:rsidP="00A329A3">
            <w:pPr>
              <w:spacing w:after="0" w:line="240" w:lineRule="auto"/>
              <w:jc w:val="center"/>
              <w:rPr>
                <w:rFonts w:ascii="Century Schoolbook" w:eastAsia="Times New Roman" w:hAnsi="Century Schoolbook" w:cs="Times New Roman"/>
                <w:color w:val="000000"/>
                <w:sz w:val="18"/>
                <w:szCs w:val="18"/>
              </w:rPr>
            </w:pPr>
          </w:p>
        </w:tc>
      </w:tr>
      <w:tr w:rsidR="00930A25" w:rsidRPr="00702DBB" w14:paraId="2B490E06" w14:textId="77777777" w:rsidTr="00930A25">
        <w:trPr>
          <w:trHeight w:val="288"/>
        </w:trPr>
        <w:tc>
          <w:tcPr>
            <w:tcW w:w="1660" w:type="pct"/>
            <w:tcBorders>
              <w:top w:val="nil"/>
              <w:left w:val="nil"/>
              <w:bottom w:val="nil"/>
              <w:right w:val="nil"/>
            </w:tcBorders>
            <w:shd w:val="clear" w:color="000000" w:fill="FFFFFF"/>
            <w:noWrap/>
            <w:vAlign w:val="bottom"/>
          </w:tcPr>
          <w:p w14:paraId="53988D7B" w14:textId="677ED9DE" w:rsidR="00930A25" w:rsidRPr="00702DBB" w:rsidRDefault="00930A25" w:rsidP="00A329A3">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Year-fixed effects</w:t>
            </w:r>
          </w:p>
        </w:tc>
        <w:tc>
          <w:tcPr>
            <w:tcW w:w="830" w:type="pct"/>
            <w:gridSpan w:val="2"/>
            <w:tcBorders>
              <w:top w:val="nil"/>
              <w:left w:val="nil"/>
              <w:bottom w:val="nil"/>
              <w:right w:val="nil"/>
            </w:tcBorders>
            <w:shd w:val="clear" w:color="000000" w:fill="FFFFFF"/>
            <w:vAlign w:val="bottom"/>
          </w:tcPr>
          <w:p w14:paraId="1E788160" w14:textId="3F5BE771"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142" w:type="pct"/>
            <w:tcBorders>
              <w:top w:val="nil"/>
              <w:left w:val="nil"/>
              <w:bottom w:val="nil"/>
              <w:right w:val="nil"/>
            </w:tcBorders>
            <w:shd w:val="clear" w:color="000000" w:fill="FFFFFF"/>
            <w:noWrap/>
            <w:vAlign w:val="bottom"/>
          </w:tcPr>
          <w:p w14:paraId="1008039D" w14:textId="77777777"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p>
        </w:tc>
        <w:tc>
          <w:tcPr>
            <w:tcW w:w="834" w:type="pct"/>
            <w:gridSpan w:val="2"/>
            <w:tcBorders>
              <w:top w:val="nil"/>
              <w:left w:val="nil"/>
              <w:bottom w:val="nil"/>
              <w:right w:val="nil"/>
            </w:tcBorders>
            <w:shd w:val="clear" w:color="000000" w:fill="FFFFFF"/>
            <w:vAlign w:val="bottom"/>
          </w:tcPr>
          <w:p w14:paraId="1E7F594E" w14:textId="43CAAA13"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142" w:type="pct"/>
            <w:tcBorders>
              <w:top w:val="nil"/>
              <w:left w:val="nil"/>
              <w:bottom w:val="nil"/>
              <w:right w:val="nil"/>
            </w:tcBorders>
            <w:shd w:val="clear" w:color="000000" w:fill="FFFFFF"/>
            <w:noWrap/>
            <w:vAlign w:val="bottom"/>
          </w:tcPr>
          <w:p w14:paraId="1691D2D1" w14:textId="77777777"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p>
        </w:tc>
        <w:tc>
          <w:tcPr>
            <w:tcW w:w="830" w:type="pct"/>
            <w:gridSpan w:val="2"/>
            <w:tcBorders>
              <w:top w:val="nil"/>
              <w:left w:val="nil"/>
              <w:bottom w:val="nil"/>
              <w:right w:val="nil"/>
            </w:tcBorders>
            <w:shd w:val="clear" w:color="000000" w:fill="FFFFFF"/>
            <w:vAlign w:val="bottom"/>
          </w:tcPr>
          <w:p w14:paraId="7351485B" w14:textId="73DEEF36"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562" w:type="pct"/>
            <w:tcBorders>
              <w:top w:val="nil"/>
              <w:left w:val="nil"/>
              <w:bottom w:val="nil"/>
              <w:right w:val="nil"/>
            </w:tcBorders>
            <w:shd w:val="clear" w:color="000000" w:fill="FFFFFF"/>
            <w:noWrap/>
            <w:vAlign w:val="bottom"/>
          </w:tcPr>
          <w:p w14:paraId="1051C040" w14:textId="77777777"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p>
        </w:tc>
      </w:tr>
      <w:tr w:rsidR="00930A25" w:rsidRPr="00702DBB" w14:paraId="334E75D1" w14:textId="77777777" w:rsidTr="00930A25">
        <w:trPr>
          <w:trHeight w:val="288"/>
        </w:trPr>
        <w:tc>
          <w:tcPr>
            <w:tcW w:w="1660" w:type="pct"/>
            <w:tcBorders>
              <w:top w:val="nil"/>
              <w:left w:val="nil"/>
              <w:bottom w:val="nil"/>
              <w:right w:val="nil"/>
            </w:tcBorders>
            <w:shd w:val="clear" w:color="000000" w:fill="FFFFFF"/>
            <w:noWrap/>
            <w:vAlign w:val="bottom"/>
          </w:tcPr>
          <w:p w14:paraId="52DD7592" w14:textId="26ED685F" w:rsidR="00930A25" w:rsidRPr="00702DBB" w:rsidRDefault="00930A25" w:rsidP="00A329A3">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Analyst-random effects</w:t>
            </w:r>
          </w:p>
        </w:tc>
        <w:tc>
          <w:tcPr>
            <w:tcW w:w="830" w:type="pct"/>
            <w:gridSpan w:val="2"/>
            <w:tcBorders>
              <w:top w:val="nil"/>
              <w:left w:val="nil"/>
              <w:bottom w:val="nil"/>
              <w:right w:val="nil"/>
            </w:tcBorders>
            <w:shd w:val="clear" w:color="000000" w:fill="FFFFFF"/>
            <w:vAlign w:val="bottom"/>
          </w:tcPr>
          <w:p w14:paraId="14F440FA" w14:textId="658C8993"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142" w:type="pct"/>
            <w:tcBorders>
              <w:top w:val="nil"/>
              <w:left w:val="nil"/>
              <w:bottom w:val="nil"/>
              <w:right w:val="nil"/>
            </w:tcBorders>
            <w:shd w:val="clear" w:color="000000" w:fill="FFFFFF"/>
            <w:noWrap/>
            <w:vAlign w:val="bottom"/>
          </w:tcPr>
          <w:p w14:paraId="796D6F9D" w14:textId="77777777"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p>
        </w:tc>
        <w:tc>
          <w:tcPr>
            <w:tcW w:w="834" w:type="pct"/>
            <w:gridSpan w:val="2"/>
            <w:tcBorders>
              <w:top w:val="nil"/>
              <w:left w:val="nil"/>
              <w:bottom w:val="nil"/>
              <w:right w:val="nil"/>
            </w:tcBorders>
            <w:shd w:val="clear" w:color="000000" w:fill="FFFFFF"/>
            <w:vAlign w:val="bottom"/>
          </w:tcPr>
          <w:p w14:paraId="765FCE19" w14:textId="50EB7471"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142" w:type="pct"/>
            <w:tcBorders>
              <w:top w:val="nil"/>
              <w:left w:val="nil"/>
              <w:bottom w:val="nil"/>
              <w:right w:val="nil"/>
            </w:tcBorders>
            <w:shd w:val="clear" w:color="000000" w:fill="FFFFFF"/>
            <w:noWrap/>
            <w:vAlign w:val="bottom"/>
          </w:tcPr>
          <w:p w14:paraId="54727CDB" w14:textId="77777777"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p>
        </w:tc>
        <w:tc>
          <w:tcPr>
            <w:tcW w:w="830" w:type="pct"/>
            <w:gridSpan w:val="2"/>
            <w:tcBorders>
              <w:top w:val="nil"/>
              <w:left w:val="nil"/>
              <w:bottom w:val="nil"/>
              <w:right w:val="nil"/>
            </w:tcBorders>
            <w:shd w:val="clear" w:color="000000" w:fill="FFFFFF"/>
            <w:vAlign w:val="bottom"/>
          </w:tcPr>
          <w:p w14:paraId="472CCD6D" w14:textId="4A8BD47E"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562" w:type="pct"/>
            <w:tcBorders>
              <w:top w:val="nil"/>
              <w:left w:val="nil"/>
              <w:bottom w:val="nil"/>
              <w:right w:val="nil"/>
            </w:tcBorders>
            <w:shd w:val="clear" w:color="000000" w:fill="FFFFFF"/>
            <w:noWrap/>
            <w:vAlign w:val="bottom"/>
          </w:tcPr>
          <w:p w14:paraId="1CD1AFB5" w14:textId="77777777" w:rsidR="00930A25" w:rsidRPr="00702DBB" w:rsidRDefault="00930A25" w:rsidP="00A329A3">
            <w:pPr>
              <w:spacing w:after="0" w:line="240" w:lineRule="auto"/>
              <w:jc w:val="center"/>
              <w:rPr>
                <w:rFonts w:ascii="Century Schoolbook" w:eastAsia="Times New Roman" w:hAnsi="Century Schoolbook" w:cs="Times New Roman"/>
                <w:color w:val="000000"/>
                <w:sz w:val="18"/>
                <w:szCs w:val="18"/>
              </w:rPr>
            </w:pPr>
          </w:p>
        </w:tc>
      </w:tr>
      <w:tr w:rsidR="00930A25" w:rsidRPr="00702DBB" w14:paraId="73F140D8" w14:textId="77777777" w:rsidTr="00930A25">
        <w:trPr>
          <w:trHeight w:val="288"/>
        </w:trPr>
        <w:tc>
          <w:tcPr>
            <w:tcW w:w="1660" w:type="pct"/>
            <w:tcBorders>
              <w:top w:val="nil"/>
              <w:left w:val="nil"/>
              <w:bottom w:val="nil"/>
              <w:right w:val="nil"/>
            </w:tcBorders>
            <w:shd w:val="clear" w:color="000000" w:fill="FFFFFF"/>
            <w:noWrap/>
            <w:vAlign w:val="bottom"/>
            <w:hideMark/>
          </w:tcPr>
          <w:p w14:paraId="748C2835" w14:textId="769C0421" w:rsidR="006E4DEE" w:rsidRPr="00702DBB" w:rsidRDefault="006E4DEE"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Log-like ratio: unrestricted vs. null</w:t>
            </w:r>
          </w:p>
        </w:tc>
        <w:tc>
          <w:tcPr>
            <w:tcW w:w="830" w:type="pct"/>
            <w:gridSpan w:val="2"/>
            <w:tcBorders>
              <w:top w:val="nil"/>
              <w:left w:val="nil"/>
              <w:bottom w:val="nil"/>
              <w:right w:val="nil"/>
            </w:tcBorders>
            <w:shd w:val="clear" w:color="000000" w:fill="FFFFFF"/>
            <w:vAlign w:val="bottom"/>
            <w:hideMark/>
          </w:tcPr>
          <w:p w14:paraId="3FEF7DF4" w14:textId="62CABC12"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688 </w:t>
            </w:r>
          </w:p>
        </w:tc>
        <w:tc>
          <w:tcPr>
            <w:tcW w:w="142" w:type="pct"/>
            <w:tcBorders>
              <w:top w:val="nil"/>
              <w:left w:val="nil"/>
              <w:bottom w:val="nil"/>
              <w:right w:val="nil"/>
            </w:tcBorders>
            <w:shd w:val="clear" w:color="000000" w:fill="FFFFFF"/>
            <w:noWrap/>
            <w:vAlign w:val="bottom"/>
            <w:hideMark/>
          </w:tcPr>
          <w:p w14:paraId="61BFC77D" w14:textId="42BED92D"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4" w:type="pct"/>
            <w:gridSpan w:val="2"/>
            <w:tcBorders>
              <w:top w:val="nil"/>
              <w:left w:val="nil"/>
              <w:bottom w:val="nil"/>
              <w:right w:val="nil"/>
            </w:tcBorders>
            <w:shd w:val="clear" w:color="000000" w:fill="FFFFFF"/>
            <w:vAlign w:val="bottom"/>
            <w:hideMark/>
          </w:tcPr>
          <w:p w14:paraId="1554FC0D" w14:textId="0C9395D9"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592 </w:t>
            </w:r>
          </w:p>
        </w:tc>
        <w:tc>
          <w:tcPr>
            <w:tcW w:w="142" w:type="pct"/>
            <w:tcBorders>
              <w:top w:val="nil"/>
              <w:left w:val="nil"/>
              <w:bottom w:val="nil"/>
              <w:right w:val="nil"/>
            </w:tcBorders>
            <w:shd w:val="clear" w:color="000000" w:fill="FFFFFF"/>
            <w:noWrap/>
            <w:vAlign w:val="bottom"/>
            <w:hideMark/>
          </w:tcPr>
          <w:p w14:paraId="785638F0" w14:textId="32D08530"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0" w:type="pct"/>
            <w:gridSpan w:val="2"/>
            <w:tcBorders>
              <w:top w:val="nil"/>
              <w:left w:val="nil"/>
              <w:bottom w:val="nil"/>
              <w:right w:val="nil"/>
            </w:tcBorders>
            <w:shd w:val="clear" w:color="000000" w:fill="FFFFFF"/>
            <w:vAlign w:val="bottom"/>
            <w:hideMark/>
          </w:tcPr>
          <w:p w14:paraId="1ED35490" w14:textId="7D58480F"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502 </w:t>
            </w:r>
          </w:p>
        </w:tc>
        <w:tc>
          <w:tcPr>
            <w:tcW w:w="562" w:type="pct"/>
            <w:tcBorders>
              <w:top w:val="nil"/>
              <w:left w:val="nil"/>
              <w:bottom w:val="nil"/>
              <w:right w:val="nil"/>
            </w:tcBorders>
            <w:shd w:val="clear" w:color="000000" w:fill="FFFFFF"/>
            <w:noWrap/>
            <w:vAlign w:val="bottom"/>
            <w:hideMark/>
          </w:tcPr>
          <w:p w14:paraId="2C5FD814" w14:textId="7F7186CB"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4442D4A2" w14:textId="77777777" w:rsidTr="00930A25">
        <w:trPr>
          <w:trHeight w:val="288"/>
        </w:trPr>
        <w:tc>
          <w:tcPr>
            <w:tcW w:w="1660" w:type="pct"/>
            <w:tcBorders>
              <w:top w:val="nil"/>
              <w:left w:val="nil"/>
              <w:right w:val="nil"/>
            </w:tcBorders>
            <w:shd w:val="clear" w:color="000000" w:fill="FFFFFF"/>
            <w:noWrap/>
            <w:vAlign w:val="bottom"/>
            <w:hideMark/>
          </w:tcPr>
          <w:p w14:paraId="0951868C" w14:textId="440F0670" w:rsidR="006E4DEE" w:rsidRPr="00702DBB" w:rsidRDefault="006E4DEE" w:rsidP="00F53845">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No observations</w:t>
            </w:r>
          </w:p>
        </w:tc>
        <w:tc>
          <w:tcPr>
            <w:tcW w:w="830" w:type="pct"/>
            <w:gridSpan w:val="2"/>
            <w:tcBorders>
              <w:top w:val="nil"/>
              <w:left w:val="nil"/>
              <w:right w:val="nil"/>
            </w:tcBorders>
            <w:shd w:val="clear" w:color="000000" w:fill="FFFFFF"/>
            <w:vAlign w:val="bottom"/>
            <w:hideMark/>
          </w:tcPr>
          <w:p w14:paraId="17A367E0" w14:textId="5C9AB7AB"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3,514,094 </w:t>
            </w:r>
          </w:p>
        </w:tc>
        <w:tc>
          <w:tcPr>
            <w:tcW w:w="142" w:type="pct"/>
            <w:tcBorders>
              <w:top w:val="nil"/>
              <w:left w:val="nil"/>
              <w:right w:val="nil"/>
            </w:tcBorders>
            <w:shd w:val="clear" w:color="000000" w:fill="FFFFFF"/>
            <w:noWrap/>
            <w:vAlign w:val="bottom"/>
            <w:hideMark/>
          </w:tcPr>
          <w:p w14:paraId="72D4CCFF" w14:textId="2A4DFE25"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4" w:type="pct"/>
            <w:gridSpan w:val="2"/>
            <w:tcBorders>
              <w:top w:val="nil"/>
              <w:left w:val="nil"/>
              <w:right w:val="nil"/>
            </w:tcBorders>
            <w:shd w:val="clear" w:color="000000" w:fill="FFFFFF"/>
            <w:vAlign w:val="bottom"/>
            <w:hideMark/>
          </w:tcPr>
          <w:p w14:paraId="68C93D8F" w14:textId="79D45755"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2,771,067 </w:t>
            </w:r>
          </w:p>
        </w:tc>
        <w:tc>
          <w:tcPr>
            <w:tcW w:w="142" w:type="pct"/>
            <w:tcBorders>
              <w:top w:val="nil"/>
              <w:left w:val="nil"/>
              <w:right w:val="nil"/>
            </w:tcBorders>
            <w:shd w:val="clear" w:color="000000" w:fill="FFFFFF"/>
            <w:noWrap/>
            <w:vAlign w:val="bottom"/>
            <w:hideMark/>
          </w:tcPr>
          <w:p w14:paraId="0B4B7896" w14:textId="1AEC497C"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0" w:type="pct"/>
            <w:gridSpan w:val="2"/>
            <w:tcBorders>
              <w:top w:val="nil"/>
              <w:left w:val="nil"/>
              <w:right w:val="nil"/>
            </w:tcBorders>
            <w:shd w:val="clear" w:color="000000" w:fill="FFFFFF"/>
            <w:vAlign w:val="bottom"/>
            <w:hideMark/>
          </w:tcPr>
          <w:p w14:paraId="695DB99A" w14:textId="277B7523"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1,669,989 </w:t>
            </w:r>
          </w:p>
        </w:tc>
        <w:tc>
          <w:tcPr>
            <w:tcW w:w="562" w:type="pct"/>
            <w:tcBorders>
              <w:top w:val="nil"/>
              <w:left w:val="nil"/>
              <w:right w:val="nil"/>
            </w:tcBorders>
            <w:shd w:val="clear" w:color="000000" w:fill="FFFFFF"/>
            <w:noWrap/>
            <w:vAlign w:val="bottom"/>
            <w:hideMark/>
          </w:tcPr>
          <w:p w14:paraId="4BA6421B" w14:textId="0DBA8F1C"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r w:rsidR="00930A25" w:rsidRPr="00702DBB" w14:paraId="262B879E" w14:textId="77777777" w:rsidTr="00930A25">
        <w:trPr>
          <w:trHeight w:val="288"/>
        </w:trPr>
        <w:tc>
          <w:tcPr>
            <w:tcW w:w="1660" w:type="pct"/>
            <w:tcBorders>
              <w:top w:val="nil"/>
              <w:left w:val="nil"/>
              <w:bottom w:val="double" w:sz="4" w:space="0" w:color="auto"/>
              <w:right w:val="nil"/>
            </w:tcBorders>
            <w:shd w:val="clear" w:color="000000" w:fill="FFFFFF"/>
            <w:noWrap/>
            <w:vAlign w:val="bottom"/>
            <w:hideMark/>
          </w:tcPr>
          <w:p w14:paraId="52E427FD" w14:textId="27E697DF" w:rsidR="006E4DEE" w:rsidRPr="00702DBB" w:rsidRDefault="006E4DEE" w:rsidP="00A329A3">
            <w:pPr>
              <w:spacing w:after="0" w:line="240" w:lineRule="auto"/>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No of </w:t>
            </w:r>
            <w:proofErr w:type="spellStart"/>
            <w:r w:rsidRPr="00702DBB">
              <w:rPr>
                <w:rFonts w:ascii="Century Schoolbook" w:eastAsia="Times New Roman" w:hAnsi="Century Schoolbook" w:cs="Times New Roman"/>
                <w:color w:val="000000"/>
                <w:sz w:val="18"/>
                <w:szCs w:val="18"/>
              </w:rPr>
              <w:t>recomm</w:t>
            </w:r>
            <w:proofErr w:type="spellEnd"/>
            <w:r w:rsidRPr="00702DBB">
              <w:rPr>
                <w:rFonts w:ascii="Century Schoolbook" w:eastAsia="Times New Roman" w:hAnsi="Century Schoolbook" w:cs="Times New Roman"/>
                <w:color w:val="000000"/>
                <w:sz w:val="18"/>
                <w:szCs w:val="18"/>
              </w:rPr>
              <w:t xml:space="preserve"> changes</w:t>
            </w:r>
          </w:p>
        </w:tc>
        <w:tc>
          <w:tcPr>
            <w:tcW w:w="830" w:type="pct"/>
            <w:gridSpan w:val="2"/>
            <w:tcBorders>
              <w:top w:val="nil"/>
              <w:left w:val="nil"/>
              <w:bottom w:val="double" w:sz="4" w:space="0" w:color="auto"/>
              <w:right w:val="nil"/>
            </w:tcBorders>
            <w:shd w:val="clear" w:color="000000" w:fill="FFFFFF"/>
            <w:vAlign w:val="bottom"/>
            <w:hideMark/>
          </w:tcPr>
          <w:p w14:paraId="15DEE649" w14:textId="1351033C"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71,533 </w:t>
            </w:r>
          </w:p>
        </w:tc>
        <w:tc>
          <w:tcPr>
            <w:tcW w:w="142" w:type="pct"/>
            <w:tcBorders>
              <w:top w:val="nil"/>
              <w:left w:val="nil"/>
              <w:bottom w:val="double" w:sz="4" w:space="0" w:color="auto"/>
              <w:right w:val="nil"/>
            </w:tcBorders>
            <w:shd w:val="clear" w:color="000000" w:fill="FFFFFF"/>
            <w:noWrap/>
            <w:vAlign w:val="bottom"/>
            <w:hideMark/>
          </w:tcPr>
          <w:p w14:paraId="23353C0A" w14:textId="5FCF0596"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4" w:type="pct"/>
            <w:gridSpan w:val="2"/>
            <w:tcBorders>
              <w:top w:val="nil"/>
              <w:left w:val="nil"/>
              <w:bottom w:val="double" w:sz="4" w:space="0" w:color="auto"/>
              <w:right w:val="nil"/>
            </w:tcBorders>
            <w:shd w:val="clear" w:color="000000" w:fill="FFFFFF"/>
            <w:vAlign w:val="bottom"/>
            <w:hideMark/>
          </w:tcPr>
          <w:p w14:paraId="4C4D03FA" w14:textId="00BFBE43"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62,327 </w:t>
            </w:r>
          </w:p>
        </w:tc>
        <w:tc>
          <w:tcPr>
            <w:tcW w:w="142" w:type="pct"/>
            <w:tcBorders>
              <w:top w:val="nil"/>
              <w:left w:val="nil"/>
              <w:bottom w:val="double" w:sz="4" w:space="0" w:color="auto"/>
              <w:right w:val="nil"/>
            </w:tcBorders>
            <w:shd w:val="clear" w:color="000000" w:fill="FFFFFF"/>
            <w:noWrap/>
            <w:vAlign w:val="bottom"/>
            <w:hideMark/>
          </w:tcPr>
          <w:p w14:paraId="419E7E70" w14:textId="39D0804A"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c>
          <w:tcPr>
            <w:tcW w:w="830" w:type="pct"/>
            <w:gridSpan w:val="2"/>
            <w:tcBorders>
              <w:top w:val="nil"/>
              <w:left w:val="nil"/>
              <w:bottom w:val="double" w:sz="4" w:space="0" w:color="auto"/>
              <w:right w:val="nil"/>
            </w:tcBorders>
            <w:shd w:val="clear" w:color="000000" w:fill="FFFFFF"/>
            <w:vAlign w:val="bottom"/>
            <w:hideMark/>
          </w:tcPr>
          <w:p w14:paraId="786568C0" w14:textId="53C359F9"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xml:space="preserve">36,011 </w:t>
            </w:r>
          </w:p>
        </w:tc>
        <w:tc>
          <w:tcPr>
            <w:tcW w:w="562" w:type="pct"/>
            <w:tcBorders>
              <w:top w:val="nil"/>
              <w:left w:val="nil"/>
              <w:bottom w:val="double" w:sz="4" w:space="0" w:color="auto"/>
              <w:right w:val="nil"/>
            </w:tcBorders>
            <w:shd w:val="clear" w:color="000000" w:fill="FFFFFF"/>
            <w:noWrap/>
            <w:vAlign w:val="bottom"/>
            <w:hideMark/>
          </w:tcPr>
          <w:p w14:paraId="65707453" w14:textId="53FF28A2" w:rsidR="006E4DEE" w:rsidRPr="00702DBB" w:rsidRDefault="006E4DEE" w:rsidP="00A329A3">
            <w:pPr>
              <w:spacing w:after="0" w:line="240" w:lineRule="auto"/>
              <w:jc w:val="center"/>
              <w:rPr>
                <w:rFonts w:ascii="Century Schoolbook" w:eastAsia="Times New Roman" w:hAnsi="Century Schoolbook" w:cs="Times New Roman"/>
                <w:color w:val="000000"/>
                <w:sz w:val="18"/>
                <w:szCs w:val="18"/>
              </w:rPr>
            </w:pPr>
            <w:r w:rsidRPr="00702DBB">
              <w:rPr>
                <w:rFonts w:ascii="Century Schoolbook" w:eastAsia="Times New Roman" w:hAnsi="Century Schoolbook" w:cs="Times New Roman"/>
                <w:color w:val="000000"/>
                <w:sz w:val="18"/>
                <w:szCs w:val="18"/>
              </w:rPr>
              <w:t> </w:t>
            </w:r>
          </w:p>
        </w:tc>
      </w:tr>
    </w:tbl>
    <w:p w14:paraId="5CCF6713" w14:textId="77777777" w:rsidR="00F770FF" w:rsidRDefault="00F770FF" w:rsidP="00F770FF">
      <w:pPr>
        <w:rPr>
          <w:sz w:val="16"/>
        </w:rPr>
      </w:pPr>
      <w:r>
        <w:rPr>
          <w:sz w:val="16"/>
        </w:rPr>
        <w:br w:type="page"/>
      </w:r>
    </w:p>
    <w:tbl>
      <w:tblPr>
        <w:tblW w:w="9533" w:type="dxa"/>
        <w:tblInd w:w="108" w:type="dxa"/>
        <w:tblLook w:val="04A0" w:firstRow="1" w:lastRow="0" w:firstColumn="1" w:lastColumn="0" w:noHBand="0" w:noVBand="1"/>
      </w:tblPr>
      <w:tblGrid>
        <w:gridCol w:w="3163"/>
        <w:gridCol w:w="1009"/>
        <w:gridCol w:w="574"/>
        <w:gridCol w:w="270"/>
        <w:gridCol w:w="1008"/>
        <w:gridCol w:w="573"/>
        <w:gridCol w:w="270"/>
        <w:gridCol w:w="1008"/>
        <w:gridCol w:w="573"/>
        <w:gridCol w:w="1085"/>
      </w:tblGrid>
      <w:tr w:rsidR="0030324D" w:rsidRPr="00A329A3" w14:paraId="1E4A74ED" w14:textId="77777777" w:rsidTr="00930A25">
        <w:trPr>
          <w:trHeight w:val="399"/>
        </w:trPr>
        <w:tc>
          <w:tcPr>
            <w:tcW w:w="0" w:type="auto"/>
            <w:gridSpan w:val="10"/>
            <w:tcBorders>
              <w:top w:val="nil"/>
              <w:left w:val="nil"/>
              <w:bottom w:val="single" w:sz="4" w:space="0" w:color="auto"/>
              <w:right w:val="nil"/>
            </w:tcBorders>
            <w:shd w:val="clear" w:color="000000" w:fill="FFFFFF"/>
            <w:noWrap/>
            <w:vAlign w:val="bottom"/>
            <w:hideMark/>
          </w:tcPr>
          <w:p w14:paraId="34556143" w14:textId="77777777" w:rsidR="0030324D" w:rsidRPr="00A329A3" w:rsidRDefault="0030324D"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b/>
                <w:bCs/>
                <w:color w:val="000000"/>
                <w:sz w:val="18"/>
                <w:szCs w:val="18"/>
              </w:rPr>
              <w:lastRenderedPageBreak/>
              <w:t>Panel B.</w:t>
            </w:r>
            <w:r w:rsidRPr="00A329A3">
              <w:rPr>
                <w:rFonts w:ascii="Century Schoolbook" w:eastAsia="Times New Roman" w:hAnsi="Century Schoolbook" w:cs="Times New Roman"/>
                <w:color w:val="000000"/>
                <w:sz w:val="18"/>
                <w:szCs w:val="18"/>
              </w:rPr>
              <w:t xml:space="preserve"> Hazard model for time to a </w:t>
            </w:r>
            <w:r w:rsidRPr="006E4DEE">
              <w:rPr>
                <w:rFonts w:ascii="Century Schoolbook" w:eastAsia="Times New Roman" w:hAnsi="Century Schoolbook" w:cs="Times New Roman"/>
                <w:b/>
                <w:i/>
                <w:color w:val="000000"/>
                <w:sz w:val="18"/>
                <w:szCs w:val="18"/>
              </w:rPr>
              <w:t>downgrade</w:t>
            </w:r>
            <w:r w:rsidRPr="00A329A3">
              <w:rPr>
                <w:rFonts w:ascii="Century Schoolbook" w:eastAsia="Times New Roman" w:hAnsi="Century Schoolbook" w:cs="Times New Roman"/>
                <w:color w:val="000000"/>
                <w:sz w:val="18"/>
                <w:szCs w:val="18"/>
              </w:rPr>
              <w:t xml:space="preserve"> revision</w:t>
            </w:r>
          </w:p>
          <w:p w14:paraId="6D6D89C0" w14:textId="39FB5752" w:rsidR="0030324D" w:rsidRPr="00A329A3" w:rsidRDefault="0030324D" w:rsidP="00A329A3">
            <w:pPr>
              <w:spacing w:after="0" w:line="240" w:lineRule="auto"/>
              <w:jc w:val="center"/>
              <w:rPr>
                <w:rFonts w:ascii="Century Schoolbook" w:eastAsia="Times New Roman" w:hAnsi="Century Schoolbook" w:cs="Times New Roman"/>
                <w:color w:val="000000"/>
                <w:sz w:val="18"/>
                <w:szCs w:val="18"/>
              </w:rPr>
            </w:pPr>
          </w:p>
        </w:tc>
      </w:tr>
      <w:tr w:rsidR="00A329A3" w:rsidRPr="00A329A3" w14:paraId="6E8E5742" w14:textId="77777777" w:rsidTr="00930A25">
        <w:trPr>
          <w:trHeight w:val="264"/>
        </w:trPr>
        <w:tc>
          <w:tcPr>
            <w:tcW w:w="0" w:type="auto"/>
            <w:tcBorders>
              <w:top w:val="nil"/>
              <w:left w:val="nil"/>
              <w:bottom w:val="nil"/>
              <w:right w:val="nil"/>
            </w:tcBorders>
            <w:shd w:val="clear" w:color="000000" w:fill="FFFFFF"/>
            <w:noWrap/>
            <w:vAlign w:val="bottom"/>
            <w:hideMark/>
          </w:tcPr>
          <w:p w14:paraId="29746A69"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gridSpan w:val="2"/>
            <w:tcBorders>
              <w:top w:val="nil"/>
              <w:left w:val="nil"/>
              <w:bottom w:val="single" w:sz="4" w:space="0" w:color="auto"/>
              <w:right w:val="nil"/>
            </w:tcBorders>
            <w:shd w:val="clear" w:color="000000" w:fill="FFFFFF"/>
            <w:vAlign w:val="bottom"/>
            <w:hideMark/>
          </w:tcPr>
          <w:p w14:paraId="72230E7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(4)</w:t>
            </w:r>
          </w:p>
        </w:tc>
        <w:tc>
          <w:tcPr>
            <w:tcW w:w="0" w:type="auto"/>
            <w:tcBorders>
              <w:top w:val="nil"/>
              <w:left w:val="nil"/>
              <w:bottom w:val="nil"/>
              <w:right w:val="nil"/>
            </w:tcBorders>
            <w:shd w:val="clear" w:color="000000" w:fill="FFFFFF"/>
            <w:noWrap/>
            <w:vAlign w:val="bottom"/>
            <w:hideMark/>
          </w:tcPr>
          <w:p w14:paraId="45EEE0A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gridSpan w:val="2"/>
            <w:tcBorders>
              <w:top w:val="nil"/>
              <w:left w:val="nil"/>
              <w:bottom w:val="single" w:sz="4" w:space="0" w:color="auto"/>
              <w:right w:val="nil"/>
            </w:tcBorders>
            <w:shd w:val="clear" w:color="000000" w:fill="FFFFFF"/>
            <w:vAlign w:val="bottom"/>
            <w:hideMark/>
          </w:tcPr>
          <w:p w14:paraId="782CE5B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(5)</w:t>
            </w:r>
          </w:p>
        </w:tc>
        <w:tc>
          <w:tcPr>
            <w:tcW w:w="0" w:type="auto"/>
            <w:tcBorders>
              <w:top w:val="nil"/>
              <w:left w:val="nil"/>
              <w:bottom w:val="nil"/>
              <w:right w:val="nil"/>
            </w:tcBorders>
            <w:shd w:val="clear" w:color="000000" w:fill="FFFFFF"/>
            <w:noWrap/>
            <w:vAlign w:val="bottom"/>
            <w:hideMark/>
          </w:tcPr>
          <w:p w14:paraId="6D74A9A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gridSpan w:val="2"/>
            <w:tcBorders>
              <w:top w:val="nil"/>
              <w:left w:val="nil"/>
              <w:bottom w:val="single" w:sz="4" w:space="0" w:color="auto"/>
              <w:right w:val="nil"/>
            </w:tcBorders>
            <w:shd w:val="clear" w:color="000000" w:fill="FFFFFF"/>
            <w:vAlign w:val="bottom"/>
            <w:hideMark/>
          </w:tcPr>
          <w:p w14:paraId="2F9CD99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(6)</w:t>
            </w:r>
          </w:p>
        </w:tc>
        <w:tc>
          <w:tcPr>
            <w:tcW w:w="0" w:type="auto"/>
            <w:vMerge w:val="restart"/>
            <w:tcBorders>
              <w:top w:val="nil"/>
              <w:left w:val="nil"/>
              <w:bottom w:val="single" w:sz="4" w:space="0" w:color="000000"/>
              <w:right w:val="nil"/>
            </w:tcBorders>
            <w:shd w:val="clear" w:color="000000" w:fill="FFFFFF"/>
            <w:vAlign w:val="center"/>
            <w:hideMark/>
          </w:tcPr>
          <w:p w14:paraId="2F55183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Prediction</w:t>
            </w:r>
          </w:p>
        </w:tc>
      </w:tr>
      <w:tr w:rsidR="00A329A3" w:rsidRPr="00A329A3" w14:paraId="01B76726" w14:textId="77777777" w:rsidTr="00930A25">
        <w:trPr>
          <w:trHeight w:val="317"/>
        </w:trPr>
        <w:tc>
          <w:tcPr>
            <w:tcW w:w="0" w:type="auto"/>
            <w:tcBorders>
              <w:top w:val="nil"/>
              <w:left w:val="nil"/>
              <w:bottom w:val="nil"/>
              <w:right w:val="nil"/>
            </w:tcBorders>
            <w:shd w:val="clear" w:color="000000" w:fill="FFFFFF"/>
            <w:noWrap/>
            <w:vAlign w:val="bottom"/>
            <w:hideMark/>
          </w:tcPr>
          <w:p w14:paraId="65B66D0B"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gridSpan w:val="2"/>
            <w:tcBorders>
              <w:top w:val="single" w:sz="4" w:space="0" w:color="auto"/>
              <w:left w:val="nil"/>
              <w:bottom w:val="single" w:sz="4" w:space="0" w:color="auto"/>
              <w:right w:val="nil"/>
            </w:tcBorders>
            <w:shd w:val="clear" w:color="000000" w:fill="FFFFFF"/>
            <w:vAlign w:val="bottom"/>
            <w:hideMark/>
          </w:tcPr>
          <w:p w14:paraId="228238C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1996–2013</w:t>
            </w:r>
          </w:p>
        </w:tc>
        <w:tc>
          <w:tcPr>
            <w:tcW w:w="0" w:type="auto"/>
            <w:tcBorders>
              <w:top w:val="nil"/>
              <w:left w:val="nil"/>
              <w:bottom w:val="nil"/>
              <w:right w:val="nil"/>
            </w:tcBorders>
            <w:shd w:val="clear" w:color="000000" w:fill="FFFFFF"/>
            <w:noWrap/>
            <w:vAlign w:val="bottom"/>
            <w:hideMark/>
          </w:tcPr>
          <w:p w14:paraId="78C8245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gridSpan w:val="2"/>
            <w:tcBorders>
              <w:top w:val="single" w:sz="4" w:space="0" w:color="auto"/>
              <w:left w:val="nil"/>
              <w:bottom w:val="single" w:sz="4" w:space="0" w:color="auto"/>
              <w:right w:val="nil"/>
            </w:tcBorders>
            <w:shd w:val="clear" w:color="000000" w:fill="FFFFFF"/>
            <w:vAlign w:val="bottom"/>
            <w:hideMark/>
          </w:tcPr>
          <w:p w14:paraId="3126405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1996–2013</w:t>
            </w:r>
          </w:p>
        </w:tc>
        <w:tc>
          <w:tcPr>
            <w:tcW w:w="0" w:type="auto"/>
            <w:tcBorders>
              <w:top w:val="nil"/>
              <w:left w:val="nil"/>
              <w:bottom w:val="nil"/>
              <w:right w:val="nil"/>
            </w:tcBorders>
            <w:shd w:val="clear" w:color="000000" w:fill="FFFFFF"/>
            <w:noWrap/>
            <w:vAlign w:val="bottom"/>
            <w:hideMark/>
          </w:tcPr>
          <w:p w14:paraId="237E5E3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gridSpan w:val="2"/>
            <w:tcBorders>
              <w:top w:val="single" w:sz="4" w:space="0" w:color="auto"/>
              <w:left w:val="nil"/>
              <w:bottom w:val="single" w:sz="4" w:space="0" w:color="auto"/>
              <w:right w:val="nil"/>
            </w:tcBorders>
            <w:shd w:val="clear" w:color="000000" w:fill="FFFFFF"/>
            <w:vAlign w:val="bottom"/>
            <w:hideMark/>
          </w:tcPr>
          <w:p w14:paraId="41F1F27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2003–2013</w:t>
            </w:r>
          </w:p>
        </w:tc>
        <w:tc>
          <w:tcPr>
            <w:tcW w:w="0" w:type="auto"/>
            <w:vMerge/>
            <w:tcBorders>
              <w:top w:val="nil"/>
              <w:left w:val="nil"/>
              <w:bottom w:val="single" w:sz="4" w:space="0" w:color="000000"/>
              <w:right w:val="nil"/>
            </w:tcBorders>
            <w:vAlign w:val="center"/>
            <w:hideMark/>
          </w:tcPr>
          <w:p w14:paraId="79EFDB27"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p>
        </w:tc>
      </w:tr>
      <w:tr w:rsidR="00702DBB" w:rsidRPr="00A329A3" w14:paraId="586CA6DC" w14:textId="77777777" w:rsidTr="00930A25">
        <w:trPr>
          <w:trHeight w:val="249"/>
        </w:trPr>
        <w:tc>
          <w:tcPr>
            <w:tcW w:w="0" w:type="auto"/>
            <w:tcBorders>
              <w:top w:val="nil"/>
              <w:left w:val="nil"/>
              <w:bottom w:val="single" w:sz="4" w:space="0" w:color="auto"/>
              <w:right w:val="nil"/>
            </w:tcBorders>
            <w:shd w:val="clear" w:color="000000" w:fill="FFFFFF"/>
            <w:noWrap/>
            <w:vAlign w:val="bottom"/>
            <w:hideMark/>
          </w:tcPr>
          <w:p w14:paraId="73FCD992"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46339BC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Estimate</w:t>
            </w:r>
          </w:p>
        </w:tc>
        <w:tc>
          <w:tcPr>
            <w:tcW w:w="0" w:type="auto"/>
            <w:tcBorders>
              <w:top w:val="nil"/>
              <w:left w:val="nil"/>
              <w:bottom w:val="single" w:sz="4" w:space="0" w:color="auto"/>
              <w:right w:val="nil"/>
            </w:tcBorders>
            <w:shd w:val="clear" w:color="000000" w:fill="FFFFFF"/>
            <w:noWrap/>
            <w:vAlign w:val="bottom"/>
            <w:hideMark/>
          </w:tcPr>
          <w:p w14:paraId="44EC9EE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HR</w:t>
            </w:r>
          </w:p>
        </w:tc>
        <w:tc>
          <w:tcPr>
            <w:tcW w:w="0" w:type="auto"/>
            <w:tcBorders>
              <w:top w:val="nil"/>
              <w:left w:val="nil"/>
              <w:bottom w:val="single" w:sz="4" w:space="0" w:color="auto"/>
              <w:right w:val="nil"/>
            </w:tcBorders>
            <w:shd w:val="clear" w:color="000000" w:fill="FFFFFF"/>
            <w:noWrap/>
            <w:vAlign w:val="bottom"/>
            <w:hideMark/>
          </w:tcPr>
          <w:p w14:paraId="4499BE5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5927098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Estimate</w:t>
            </w:r>
          </w:p>
        </w:tc>
        <w:tc>
          <w:tcPr>
            <w:tcW w:w="0" w:type="auto"/>
            <w:tcBorders>
              <w:top w:val="nil"/>
              <w:left w:val="nil"/>
              <w:bottom w:val="single" w:sz="4" w:space="0" w:color="auto"/>
              <w:right w:val="nil"/>
            </w:tcBorders>
            <w:shd w:val="clear" w:color="000000" w:fill="FFFFFF"/>
            <w:noWrap/>
            <w:vAlign w:val="bottom"/>
            <w:hideMark/>
          </w:tcPr>
          <w:p w14:paraId="49A68E8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HR</w:t>
            </w:r>
          </w:p>
        </w:tc>
        <w:tc>
          <w:tcPr>
            <w:tcW w:w="0" w:type="auto"/>
            <w:tcBorders>
              <w:top w:val="nil"/>
              <w:left w:val="nil"/>
              <w:bottom w:val="single" w:sz="4" w:space="0" w:color="auto"/>
              <w:right w:val="nil"/>
            </w:tcBorders>
            <w:shd w:val="clear" w:color="000000" w:fill="FFFFFF"/>
            <w:noWrap/>
            <w:vAlign w:val="bottom"/>
            <w:hideMark/>
          </w:tcPr>
          <w:p w14:paraId="15B6101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0493BCF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Estimate</w:t>
            </w:r>
          </w:p>
        </w:tc>
        <w:tc>
          <w:tcPr>
            <w:tcW w:w="0" w:type="auto"/>
            <w:tcBorders>
              <w:top w:val="nil"/>
              <w:left w:val="nil"/>
              <w:bottom w:val="single" w:sz="4" w:space="0" w:color="auto"/>
              <w:right w:val="nil"/>
            </w:tcBorders>
            <w:shd w:val="clear" w:color="000000" w:fill="FFFFFF"/>
            <w:noWrap/>
            <w:vAlign w:val="bottom"/>
            <w:hideMark/>
          </w:tcPr>
          <w:p w14:paraId="32C5003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HR</w:t>
            </w:r>
          </w:p>
        </w:tc>
        <w:tc>
          <w:tcPr>
            <w:tcW w:w="0" w:type="auto"/>
            <w:vMerge/>
            <w:tcBorders>
              <w:top w:val="nil"/>
              <w:left w:val="nil"/>
              <w:bottom w:val="single" w:sz="4" w:space="0" w:color="000000"/>
              <w:right w:val="nil"/>
            </w:tcBorders>
            <w:vAlign w:val="center"/>
            <w:hideMark/>
          </w:tcPr>
          <w:p w14:paraId="4AA5DF19"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p>
        </w:tc>
      </w:tr>
      <w:tr w:rsidR="00702DBB" w:rsidRPr="00A329A3" w14:paraId="757600DA" w14:textId="77777777" w:rsidTr="00930A25">
        <w:trPr>
          <w:trHeight w:val="264"/>
        </w:trPr>
        <w:tc>
          <w:tcPr>
            <w:tcW w:w="0" w:type="auto"/>
            <w:tcBorders>
              <w:top w:val="nil"/>
              <w:left w:val="nil"/>
              <w:bottom w:val="nil"/>
              <w:right w:val="nil"/>
            </w:tcBorders>
            <w:shd w:val="clear" w:color="000000" w:fill="FFFFFF"/>
            <w:noWrap/>
            <w:vAlign w:val="bottom"/>
            <w:hideMark/>
          </w:tcPr>
          <w:p w14:paraId="5B4A2B86" w14:textId="77777777" w:rsidR="00A329A3" w:rsidRPr="00A329A3" w:rsidRDefault="00A329A3" w:rsidP="00A329A3">
            <w:pPr>
              <w:spacing w:after="0" w:line="240" w:lineRule="auto"/>
              <w:rPr>
                <w:rFonts w:ascii="Century Schoolbook" w:eastAsia="Times New Roman" w:hAnsi="Century Schoolbook" w:cs="Times New Roman"/>
                <w:i/>
                <w:iCs/>
                <w:color w:val="000000"/>
                <w:sz w:val="18"/>
                <w:szCs w:val="18"/>
              </w:rPr>
            </w:pPr>
            <w:r w:rsidRPr="00A329A3">
              <w:rPr>
                <w:rFonts w:ascii="Century Schoolbook" w:eastAsia="Times New Roman" w:hAnsi="Century Schoolbook" w:cs="Times New Roman"/>
                <w:i/>
                <w:iCs/>
                <w:color w:val="000000"/>
                <w:sz w:val="18"/>
                <w:szCs w:val="18"/>
              </w:rPr>
              <w:t>Previous year speed-style</w:t>
            </w:r>
          </w:p>
        </w:tc>
        <w:tc>
          <w:tcPr>
            <w:tcW w:w="0" w:type="auto"/>
            <w:tcBorders>
              <w:top w:val="nil"/>
              <w:left w:val="nil"/>
              <w:bottom w:val="nil"/>
              <w:right w:val="nil"/>
            </w:tcBorders>
            <w:shd w:val="clear" w:color="000000" w:fill="FFFFFF"/>
            <w:noWrap/>
            <w:vAlign w:val="bottom"/>
            <w:hideMark/>
          </w:tcPr>
          <w:p w14:paraId="4774993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F2664D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EF6623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D23C6D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08F98D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FE76A8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BEF025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B39345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C99058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122DF96A" w14:textId="77777777" w:rsidTr="00930A25">
        <w:trPr>
          <w:trHeight w:val="264"/>
        </w:trPr>
        <w:tc>
          <w:tcPr>
            <w:tcW w:w="0" w:type="auto"/>
            <w:tcBorders>
              <w:top w:val="nil"/>
              <w:left w:val="nil"/>
              <w:bottom w:val="nil"/>
              <w:right w:val="nil"/>
            </w:tcBorders>
            <w:shd w:val="clear" w:color="000000" w:fill="FFFFFF"/>
            <w:noWrap/>
            <w:vAlign w:val="bottom"/>
            <w:hideMark/>
          </w:tcPr>
          <w:p w14:paraId="4B0BB237"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Slow  turnover</w:t>
            </w:r>
          </w:p>
        </w:tc>
        <w:tc>
          <w:tcPr>
            <w:tcW w:w="0" w:type="auto"/>
            <w:tcBorders>
              <w:top w:val="nil"/>
              <w:left w:val="nil"/>
              <w:bottom w:val="nil"/>
              <w:right w:val="nil"/>
            </w:tcBorders>
            <w:shd w:val="clear" w:color="000000" w:fill="FFFFFF"/>
            <w:vAlign w:val="bottom"/>
            <w:hideMark/>
          </w:tcPr>
          <w:p w14:paraId="1AC0CE1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-0.204***</w:t>
            </w:r>
          </w:p>
        </w:tc>
        <w:tc>
          <w:tcPr>
            <w:tcW w:w="0" w:type="auto"/>
            <w:tcBorders>
              <w:top w:val="nil"/>
              <w:left w:val="nil"/>
              <w:bottom w:val="nil"/>
              <w:right w:val="nil"/>
            </w:tcBorders>
            <w:shd w:val="clear" w:color="000000" w:fill="FFFFFF"/>
            <w:vAlign w:val="bottom"/>
            <w:hideMark/>
          </w:tcPr>
          <w:p w14:paraId="71AFD1C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0.82</w:t>
            </w:r>
          </w:p>
        </w:tc>
        <w:tc>
          <w:tcPr>
            <w:tcW w:w="0" w:type="auto"/>
            <w:tcBorders>
              <w:top w:val="nil"/>
              <w:left w:val="nil"/>
              <w:bottom w:val="nil"/>
              <w:right w:val="nil"/>
            </w:tcBorders>
            <w:shd w:val="clear" w:color="000000" w:fill="FFFFFF"/>
            <w:noWrap/>
            <w:vAlign w:val="bottom"/>
            <w:hideMark/>
          </w:tcPr>
          <w:p w14:paraId="010E9AD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856760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-0.204***</w:t>
            </w:r>
          </w:p>
        </w:tc>
        <w:tc>
          <w:tcPr>
            <w:tcW w:w="0" w:type="auto"/>
            <w:tcBorders>
              <w:top w:val="nil"/>
              <w:left w:val="nil"/>
              <w:bottom w:val="nil"/>
              <w:right w:val="nil"/>
            </w:tcBorders>
            <w:shd w:val="clear" w:color="000000" w:fill="FFFFFF"/>
            <w:vAlign w:val="bottom"/>
            <w:hideMark/>
          </w:tcPr>
          <w:p w14:paraId="17FAE18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0.82</w:t>
            </w:r>
          </w:p>
        </w:tc>
        <w:tc>
          <w:tcPr>
            <w:tcW w:w="0" w:type="auto"/>
            <w:tcBorders>
              <w:top w:val="nil"/>
              <w:left w:val="nil"/>
              <w:bottom w:val="nil"/>
              <w:right w:val="nil"/>
            </w:tcBorders>
            <w:shd w:val="clear" w:color="000000" w:fill="FFFFFF"/>
            <w:noWrap/>
            <w:vAlign w:val="bottom"/>
            <w:hideMark/>
          </w:tcPr>
          <w:p w14:paraId="0EAAEE7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E8B3B6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-0.285***</w:t>
            </w:r>
          </w:p>
        </w:tc>
        <w:tc>
          <w:tcPr>
            <w:tcW w:w="0" w:type="auto"/>
            <w:tcBorders>
              <w:top w:val="nil"/>
              <w:left w:val="nil"/>
              <w:bottom w:val="nil"/>
              <w:right w:val="nil"/>
            </w:tcBorders>
            <w:shd w:val="clear" w:color="000000" w:fill="FFFFFF"/>
            <w:vAlign w:val="bottom"/>
            <w:hideMark/>
          </w:tcPr>
          <w:p w14:paraId="4E73FE9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0.75</w:t>
            </w:r>
          </w:p>
        </w:tc>
        <w:tc>
          <w:tcPr>
            <w:tcW w:w="0" w:type="auto"/>
            <w:tcBorders>
              <w:top w:val="nil"/>
              <w:left w:val="nil"/>
              <w:bottom w:val="nil"/>
              <w:right w:val="nil"/>
            </w:tcBorders>
            <w:shd w:val="clear" w:color="000000" w:fill="FFFFFF"/>
            <w:noWrap/>
            <w:vAlign w:val="bottom"/>
            <w:hideMark/>
          </w:tcPr>
          <w:p w14:paraId="52FB6A6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03967922" w14:textId="77777777" w:rsidTr="00930A25">
        <w:trPr>
          <w:trHeight w:val="276"/>
        </w:trPr>
        <w:tc>
          <w:tcPr>
            <w:tcW w:w="0" w:type="auto"/>
            <w:tcBorders>
              <w:top w:val="nil"/>
              <w:left w:val="nil"/>
              <w:bottom w:val="nil"/>
              <w:right w:val="nil"/>
            </w:tcBorders>
            <w:shd w:val="clear" w:color="000000" w:fill="FFFFFF"/>
            <w:noWrap/>
            <w:vAlign w:val="bottom"/>
            <w:hideMark/>
          </w:tcPr>
          <w:p w14:paraId="08C624FD"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485AA5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(0.013)</w:t>
            </w:r>
          </w:p>
        </w:tc>
        <w:tc>
          <w:tcPr>
            <w:tcW w:w="0" w:type="auto"/>
            <w:tcBorders>
              <w:top w:val="nil"/>
              <w:left w:val="nil"/>
              <w:bottom w:val="nil"/>
              <w:right w:val="nil"/>
            </w:tcBorders>
            <w:shd w:val="clear" w:color="000000" w:fill="FFFFFF"/>
            <w:vAlign w:val="bottom"/>
            <w:hideMark/>
          </w:tcPr>
          <w:p w14:paraId="06E4C0C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0C508E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1F2977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(0.017)</w:t>
            </w:r>
          </w:p>
        </w:tc>
        <w:tc>
          <w:tcPr>
            <w:tcW w:w="0" w:type="auto"/>
            <w:tcBorders>
              <w:top w:val="nil"/>
              <w:left w:val="nil"/>
              <w:bottom w:val="nil"/>
              <w:right w:val="nil"/>
            </w:tcBorders>
            <w:shd w:val="clear" w:color="000000" w:fill="FFFFFF"/>
            <w:vAlign w:val="bottom"/>
            <w:hideMark/>
          </w:tcPr>
          <w:p w14:paraId="02A9E0D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A23508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7D51C4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(0.023)</w:t>
            </w:r>
          </w:p>
        </w:tc>
        <w:tc>
          <w:tcPr>
            <w:tcW w:w="0" w:type="auto"/>
            <w:tcBorders>
              <w:top w:val="nil"/>
              <w:left w:val="nil"/>
              <w:bottom w:val="nil"/>
              <w:right w:val="nil"/>
            </w:tcBorders>
            <w:shd w:val="clear" w:color="000000" w:fill="FFFFFF"/>
            <w:vAlign w:val="bottom"/>
            <w:hideMark/>
          </w:tcPr>
          <w:p w14:paraId="55AA49A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0D8433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68606462" w14:textId="77777777" w:rsidTr="00930A25">
        <w:trPr>
          <w:trHeight w:val="264"/>
        </w:trPr>
        <w:tc>
          <w:tcPr>
            <w:tcW w:w="0" w:type="auto"/>
            <w:tcBorders>
              <w:top w:val="nil"/>
              <w:left w:val="nil"/>
              <w:bottom w:val="nil"/>
              <w:right w:val="nil"/>
            </w:tcBorders>
            <w:shd w:val="clear" w:color="000000" w:fill="FFFFFF"/>
            <w:noWrap/>
            <w:vAlign w:val="bottom"/>
            <w:hideMark/>
          </w:tcPr>
          <w:p w14:paraId="3EB1C806"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Fast turnover</w:t>
            </w:r>
          </w:p>
        </w:tc>
        <w:tc>
          <w:tcPr>
            <w:tcW w:w="0" w:type="auto"/>
            <w:tcBorders>
              <w:top w:val="nil"/>
              <w:left w:val="nil"/>
              <w:bottom w:val="nil"/>
              <w:right w:val="nil"/>
            </w:tcBorders>
            <w:shd w:val="clear" w:color="000000" w:fill="FFFFFF"/>
            <w:vAlign w:val="bottom"/>
            <w:hideMark/>
          </w:tcPr>
          <w:p w14:paraId="455355C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0.347***</w:t>
            </w:r>
          </w:p>
        </w:tc>
        <w:tc>
          <w:tcPr>
            <w:tcW w:w="0" w:type="auto"/>
            <w:tcBorders>
              <w:top w:val="nil"/>
              <w:left w:val="nil"/>
              <w:bottom w:val="nil"/>
              <w:right w:val="nil"/>
            </w:tcBorders>
            <w:shd w:val="clear" w:color="000000" w:fill="FFFFFF"/>
            <w:vAlign w:val="bottom"/>
            <w:hideMark/>
          </w:tcPr>
          <w:p w14:paraId="290E3B0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1.41</w:t>
            </w:r>
          </w:p>
        </w:tc>
        <w:tc>
          <w:tcPr>
            <w:tcW w:w="0" w:type="auto"/>
            <w:tcBorders>
              <w:top w:val="nil"/>
              <w:left w:val="nil"/>
              <w:bottom w:val="nil"/>
              <w:right w:val="nil"/>
            </w:tcBorders>
            <w:shd w:val="clear" w:color="000000" w:fill="FFFFFF"/>
            <w:noWrap/>
            <w:vAlign w:val="bottom"/>
            <w:hideMark/>
          </w:tcPr>
          <w:p w14:paraId="21FAB0C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95C1E6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0.350***</w:t>
            </w:r>
          </w:p>
        </w:tc>
        <w:tc>
          <w:tcPr>
            <w:tcW w:w="0" w:type="auto"/>
            <w:tcBorders>
              <w:top w:val="nil"/>
              <w:left w:val="nil"/>
              <w:bottom w:val="nil"/>
              <w:right w:val="nil"/>
            </w:tcBorders>
            <w:shd w:val="clear" w:color="000000" w:fill="FFFFFF"/>
            <w:vAlign w:val="bottom"/>
            <w:hideMark/>
          </w:tcPr>
          <w:p w14:paraId="4E072F0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1.42</w:t>
            </w:r>
          </w:p>
        </w:tc>
        <w:tc>
          <w:tcPr>
            <w:tcW w:w="0" w:type="auto"/>
            <w:tcBorders>
              <w:top w:val="nil"/>
              <w:left w:val="nil"/>
              <w:bottom w:val="nil"/>
              <w:right w:val="nil"/>
            </w:tcBorders>
            <w:shd w:val="clear" w:color="000000" w:fill="FFFFFF"/>
            <w:noWrap/>
            <w:vAlign w:val="bottom"/>
            <w:hideMark/>
          </w:tcPr>
          <w:p w14:paraId="04A4290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8C7240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0.484***</w:t>
            </w:r>
          </w:p>
        </w:tc>
        <w:tc>
          <w:tcPr>
            <w:tcW w:w="0" w:type="auto"/>
            <w:tcBorders>
              <w:top w:val="nil"/>
              <w:left w:val="nil"/>
              <w:bottom w:val="nil"/>
              <w:right w:val="nil"/>
            </w:tcBorders>
            <w:shd w:val="clear" w:color="000000" w:fill="FFFFFF"/>
            <w:vAlign w:val="bottom"/>
            <w:hideMark/>
          </w:tcPr>
          <w:p w14:paraId="7ABDC74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1.62</w:t>
            </w:r>
          </w:p>
        </w:tc>
        <w:tc>
          <w:tcPr>
            <w:tcW w:w="0" w:type="auto"/>
            <w:tcBorders>
              <w:top w:val="nil"/>
              <w:left w:val="nil"/>
              <w:bottom w:val="nil"/>
              <w:right w:val="nil"/>
            </w:tcBorders>
            <w:shd w:val="clear" w:color="000000" w:fill="FFFFFF"/>
            <w:noWrap/>
            <w:vAlign w:val="bottom"/>
            <w:hideMark/>
          </w:tcPr>
          <w:p w14:paraId="5D92EB7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19062705" w14:textId="77777777" w:rsidTr="00930A25">
        <w:trPr>
          <w:trHeight w:val="264"/>
        </w:trPr>
        <w:tc>
          <w:tcPr>
            <w:tcW w:w="0" w:type="auto"/>
            <w:tcBorders>
              <w:top w:val="nil"/>
              <w:left w:val="nil"/>
              <w:bottom w:val="nil"/>
              <w:right w:val="nil"/>
            </w:tcBorders>
            <w:shd w:val="clear" w:color="000000" w:fill="FFFFFF"/>
            <w:noWrap/>
            <w:vAlign w:val="bottom"/>
            <w:hideMark/>
          </w:tcPr>
          <w:p w14:paraId="54F8053A"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9ED650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(0.014)</w:t>
            </w:r>
          </w:p>
        </w:tc>
        <w:tc>
          <w:tcPr>
            <w:tcW w:w="0" w:type="auto"/>
            <w:tcBorders>
              <w:top w:val="nil"/>
              <w:left w:val="nil"/>
              <w:bottom w:val="nil"/>
              <w:right w:val="nil"/>
            </w:tcBorders>
            <w:shd w:val="clear" w:color="000000" w:fill="FFFFFF"/>
            <w:vAlign w:val="bottom"/>
            <w:hideMark/>
          </w:tcPr>
          <w:p w14:paraId="334A7B8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B72327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70747E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(0.018)</w:t>
            </w:r>
          </w:p>
        </w:tc>
        <w:tc>
          <w:tcPr>
            <w:tcW w:w="0" w:type="auto"/>
            <w:tcBorders>
              <w:top w:val="nil"/>
              <w:left w:val="nil"/>
              <w:bottom w:val="nil"/>
              <w:right w:val="nil"/>
            </w:tcBorders>
            <w:shd w:val="clear" w:color="000000" w:fill="FFFFFF"/>
            <w:vAlign w:val="bottom"/>
            <w:hideMark/>
          </w:tcPr>
          <w:p w14:paraId="6D5DB9E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FB30A5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52A1C4C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(0.024)</w:t>
            </w:r>
          </w:p>
        </w:tc>
        <w:tc>
          <w:tcPr>
            <w:tcW w:w="0" w:type="auto"/>
            <w:tcBorders>
              <w:top w:val="nil"/>
              <w:left w:val="nil"/>
              <w:bottom w:val="nil"/>
              <w:right w:val="nil"/>
            </w:tcBorders>
            <w:shd w:val="clear" w:color="000000" w:fill="FFFFFF"/>
            <w:vAlign w:val="bottom"/>
            <w:hideMark/>
          </w:tcPr>
          <w:p w14:paraId="230750E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AB7676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7E262425" w14:textId="77777777" w:rsidTr="00930A25">
        <w:trPr>
          <w:trHeight w:val="399"/>
        </w:trPr>
        <w:tc>
          <w:tcPr>
            <w:tcW w:w="0" w:type="auto"/>
            <w:tcBorders>
              <w:top w:val="nil"/>
              <w:left w:val="nil"/>
              <w:bottom w:val="nil"/>
              <w:right w:val="nil"/>
            </w:tcBorders>
            <w:shd w:val="clear" w:color="000000" w:fill="FFFFFF"/>
            <w:noWrap/>
            <w:vAlign w:val="bottom"/>
            <w:hideMark/>
          </w:tcPr>
          <w:p w14:paraId="1C13AD6E" w14:textId="77777777" w:rsidR="00A329A3" w:rsidRPr="00A329A3" w:rsidRDefault="00A329A3" w:rsidP="00A329A3">
            <w:pPr>
              <w:spacing w:after="0" w:line="240" w:lineRule="auto"/>
              <w:rPr>
                <w:rFonts w:ascii="Century Schoolbook" w:eastAsia="Times New Roman" w:hAnsi="Century Schoolbook" w:cs="Times New Roman"/>
                <w:i/>
                <w:iCs/>
                <w:color w:val="000000"/>
                <w:sz w:val="18"/>
                <w:szCs w:val="18"/>
              </w:rPr>
            </w:pPr>
            <w:r w:rsidRPr="00A329A3">
              <w:rPr>
                <w:rFonts w:ascii="Century Schoolbook" w:eastAsia="Times New Roman" w:hAnsi="Century Schoolbook" w:cs="Times New Roman"/>
                <w:i/>
                <w:iCs/>
                <w:color w:val="000000"/>
                <w:sz w:val="18"/>
                <w:szCs w:val="18"/>
              </w:rPr>
              <w:t>Control variables</w:t>
            </w:r>
          </w:p>
        </w:tc>
        <w:tc>
          <w:tcPr>
            <w:tcW w:w="0" w:type="auto"/>
            <w:tcBorders>
              <w:top w:val="nil"/>
              <w:left w:val="nil"/>
              <w:bottom w:val="nil"/>
              <w:right w:val="nil"/>
            </w:tcBorders>
            <w:shd w:val="clear" w:color="000000" w:fill="FFFFFF"/>
            <w:vAlign w:val="bottom"/>
            <w:hideMark/>
          </w:tcPr>
          <w:p w14:paraId="39F11AC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19DC2A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C42340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2D2A79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6751F4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63DE08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1EDC616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7929B7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E64052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58E0FC59" w14:textId="77777777" w:rsidTr="00930A25">
        <w:trPr>
          <w:trHeight w:val="264"/>
        </w:trPr>
        <w:tc>
          <w:tcPr>
            <w:tcW w:w="0" w:type="auto"/>
            <w:tcBorders>
              <w:top w:val="nil"/>
              <w:left w:val="nil"/>
              <w:bottom w:val="nil"/>
              <w:right w:val="nil"/>
            </w:tcBorders>
            <w:shd w:val="clear" w:color="000000" w:fill="FFFFFF"/>
            <w:noWrap/>
            <w:vAlign w:val="bottom"/>
            <w:hideMark/>
          </w:tcPr>
          <w:p w14:paraId="18459921"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Concurrent with earnings</w:t>
            </w:r>
          </w:p>
        </w:tc>
        <w:tc>
          <w:tcPr>
            <w:tcW w:w="0" w:type="auto"/>
            <w:tcBorders>
              <w:top w:val="nil"/>
              <w:left w:val="nil"/>
              <w:bottom w:val="nil"/>
              <w:right w:val="nil"/>
            </w:tcBorders>
            <w:shd w:val="clear" w:color="000000" w:fill="FFFFFF"/>
            <w:vAlign w:val="bottom"/>
            <w:hideMark/>
          </w:tcPr>
          <w:p w14:paraId="411039D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1.343***</w:t>
            </w:r>
          </w:p>
        </w:tc>
        <w:tc>
          <w:tcPr>
            <w:tcW w:w="0" w:type="auto"/>
            <w:tcBorders>
              <w:top w:val="nil"/>
              <w:left w:val="nil"/>
              <w:bottom w:val="nil"/>
              <w:right w:val="nil"/>
            </w:tcBorders>
            <w:shd w:val="clear" w:color="000000" w:fill="FFFFFF"/>
            <w:vAlign w:val="bottom"/>
            <w:hideMark/>
          </w:tcPr>
          <w:p w14:paraId="2688B9F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3.83</w:t>
            </w:r>
          </w:p>
        </w:tc>
        <w:tc>
          <w:tcPr>
            <w:tcW w:w="0" w:type="auto"/>
            <w:tcBorders>
              <w:top w:val="nil"/>
              <w:left w:val="nil"/>
              <w:bottom w:val="nil"/>
              <w:right w:val="nil"/>
            </w:tcBorders>
            <w:shd w:val="clear" w:color="000000" w:fill="FFFFFF"/>
            <w:noWrap/>
            <w:vAlign w:val="bottom"/>
            <w:hideMark/>
          </w:tcPr>
          <w:p w14:paraId="6652002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2DDD64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1.291***</w:t>
            </w:r>
          </w:p>
        </w:tc>
        <w:tc>
          <w:tcPr>
            <w:tcW w:w="0" w:type="auto"/>
            <w:tcBorders>
              <w:top w:val="nil"/>
              <w:left w:val="nil"/>
              <w:bottom w:val="nil"/>
              <w:right w:val="nil"/>
            </w:tcBorders>
            <w:shd w:val="clear" w:color="000000" w:fill="FFFFFF"/>
            <w:vAlign w:val="bottom"/>
            <w:hideMark/>
          </w:tcPr>
          <w:p w14:paraId="43732FE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3.64</w:t>
            </w:r>
          </w:p>
        </w:tc>
        <w:tc>
          <w:tcPr>
            <w:tcW w:w="0" w:type="auto"/>
            <w:tcBorders>
              <w:top w:val="nil"/>
              <w:left w:val="nil"/>
              <w:bottom w:val="nil"/>
              <w:right w:val="nil"/>
            </w:tcBorders>
            <w:shd w:val="clear" w:color="000000" w:fill="FFFFFF"/>
            <w:noWrap/>
            <w:vAlign w:val="bottom"/>
            <w:hideMark/>
          </w:tcPr>
          <w:p w14:paraId="350161F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11194C8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1.212***</w:t>
            </w:r>
          </w:p>
        </w:tc>
        <w:tc>
          <w:tcPr>
            <w:tcW w:w="0" w:type="auto"/>
            <w:tcBorders>
              <w:top w:val="nil"/>
              <w:left w:val="nil"/>
              <w:bottom w:val="nil"/>
              <w:right w:val="nil"/>
            </w:tcBorders>
            <w:shd w:val="clear" w:color="000000" w:fill="FFFFFF"/>
            <w:vAlign w:val="bottom"/>
            <w:hideMark/>
          </w:tcPr>
          <w:p w14:paraId="1298B4A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3.36</w:t>
            </w:r>
          </w:p>
        </w:tc>
        <w:tc>
          <w:tcPr>
            <w:tcW w:w="0" w:type="auto"/>
            <w:tcBorders>
              <w:top w:val="nil"/>
              <w:left w:val="nil"/>
              <w:bottom w:val="nil"/>
              <w:right w:val="nil"/>
            </w:tcBorders>
            <w:shd w:val="clear" w:color="000000" w:fill="FFFFFF"/>
            <w:noWrap/>
            <w:vAlign w:val="bottom"/>
            <w:hideMark/>
          </w:tcPr>
          <w:p w14:paraId="0758131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6F753A82" w14:textId="77777777" w:rsidTr="00930A25">
        <w:trPr>
          <w:trHeight w:val="264"/>
        </w:trPr>
        <w:tc>
          <w:tcPr>
            <w:tcW w:w="0" w:type="auto"/>
            <w:tcBorders>
              <w:top w:val="nil"/>
              <w:left w:val="nil"/>
              <w:bottom w:val="nil"/>
              <w:right w:val="nil"/>
            </w:tcBorders>
            <w:shd w:val="clear" w:color="000000" w:fill="FFFFFF"/>
            <w:noWrap/>
            <w:vAlign w:val="bottom"/>
            <w:hideMark/>
          </w:tcPr>
          <w:p w14:paraId="4A3DB581"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C68E12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(0.010)</w:t>
            </w:r>
          </w:p>
        </w:tc>
        <w:tc>
          <w:tcPr>
            <w:tcW w:w="0" w:type="auto"/>
            <w:tcBorders>
              <w:top w:val="nil"/>
              <w:left w:val="nil"/>
              <w:bottom w:val="nil"/>
              <w:right w:val="nil"/>
            </w:tcBorders>
            <w:shd w:val="clear" w:color="000000" w:fill="FFFFFF"/>
            <w:vAlign w:val="bottom"/>
            <w:hideMark/>
          </w:tcPr>
          <w:p w14:paraId="1E92F72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720666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105C2C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(0.012)</w:t>
            </w:r>
          </w:p>
        </w:tc>
        <w:tc>
          <w:tcPr>
            <w:tcW w:w="0" w:type="auto"/>
            <w:tcBorders>
              <w:top w:val="nil"/>
              <w:left w:val="nil"/>
              <w:bottom w:val="nil"/>
              <w:right w:val="nil"/>
            </w:tcBorders>
            <w:shd w:val="clear" w:color="000000" w:fill="FFFFFF"/>
            <w:vAlign w:val="bottom"/>
            <w:hideMark/>
          </w:tcPr>
          <w:p w14:paraId="550E371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D635AC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79F1E5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(0.017)</w:t>
            </w:r>
          </w:p>
        </w:tc>
        <w:tc>
          <w:tcPr>
            <w:tcW w:w="0" w:type="auto"/>
            <w:tcBorders>
              <w:top w:val="nil"/>
              <w:left w:val="nil"/>
              <w:bottom w:val="nil"/>
              <w:right w:val="nil"/>
            </w:tcBorders>
            <w:shd w:val="clear" w:color="000000" w:fill="FFFFFF"/>
            <w:vAlign w:val="bottom"/>
            <w:hideMark/>
          </w:tcPr>
          <w:p w14:paraId="7E5B244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98C892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142C8958" w14:textId="77777777" w:rsidTr="00930A25">
        <w:trPr>
          <w:trHeight w:val="264"/>
        </w:trPr>
        <w:tc>
          <w:tcPr>
            <w:tcW w:w="0" w:type="auto"/>
            <w:tcBorders>
              <w:top w:val="nil"/>
              <w:left w:val="nil"/>
              <w:bottom w:val="nil"/>
              <w:right w:val="nil"/>
            </w:tcBorders>
            <w:shd w:val="clear" w:color="000000" w:fill="FFFFFF"/>
            <w:noWrap/>
            <w:vAlign w:val="bottom"/>
            <w:hideMark/>
          </w:tcPr>
          <w:p w14:paraId="7F527BAB"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News Intensity</w:t>
            </w:r>
          </w:p>
        </w:tc>
        <w:tc>
          <w:tcPr>
            <w:tcW w:w="0" w:type="auto"/>
            <w:tcBorders>
              <w:top w:val="nil"/>
              <w:left w:val="nil"/>
              <w:bottom w:val="nil"/>
              <w:right w:val="nil"/>
            </w:tcBorders>
            <w:shd w:val="clear" w:color="000000" w:fill="FFFFFF"/>
            <w:vAlign w:val="bottom"/>
            <w:hideMark/>
          </w:tcPr>
          <w:p w14:paraId="1A5F456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3F785F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9DB625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5058AF5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54BB9F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529B08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5B6765F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0.214***</w:t>
            </w:r>
          </w:p>
        </w:tc>
        <w:tc>
          <w:tcPr>
            <w:tcW w:w="0" w:type="auto"/>
            <w:tcBorders>
              <w:top w:val="nil"/>
              <w:left w:val="nil"/>
              <w:bottom w:val="nil"/>
              <w:right w:val="nil"/>
            </w:tcBorders>
            <w:shd w:val="clear" w:color="000000" w:fill="FFFFFF"/>
            <w:vAlign w:val="bottom"/>
            <w:hideMark/>
          </w:tcPr>
          <w:p w14:paraId="28BEC27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1.24</w:t>
            </w:r>
          </w:p>
        </w:tc>
        <w:tc>
          <w:tcPr>
            <w:tcW w:w="0" w:type="auto"/>
            <w:tcBorders>
              <w:top w:val="nil"/>
              <w:left w:val="nil"/>
              <w:bottom w:val="nil"/>
              <w:right w:val="nil"/>
            </w:tcBorders>
            <w:shd w:val="clear" w:color="000000" w:fill="FFFFFF"/>
            <w:noWrap/>
            <w:vAlign w:val="bottom"/>
            <w:hideMark/>
          </w:tcPr>
          <w:p w14:paraId="393728F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49B5A0E5" w14:textId="77777777" w:rsidTr="00930A25">
        <w:trPr>
          <w:trHeight w:val="264"/>
        </w:trPr>
        <w:tc>
          <w:tcPr>
            <w:tcW w:w="0" w:type="auto"/>
            <w:tcBorders>
              <w:top w:val="nil"/>
              <w:left w:val="nil"/>
              <w:bottom w:val="nil"/>
              <w:right w:val="nil"/>
            </w:tcBorders>
            <w:shd w:val="clear" w:color="000000" w:fill="FFFFFF"/>
            <w:noWrap/>
            <w:vAlign w:val="bottom"/>
            <w:hideMark/>
          </w:tcPr>
          <w:p w14:paraId="0B9DAC1F"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AE0C8C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C823D0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B6BEFC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6D9EAD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1136CF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147E2F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DDA45F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(0.005)</w:t>
            </w:r>
          </w:p>
        </w:tc>
        <w:tc>
          <w:tcPr>
            <w:tcW w:w="0" w:type="auto"/>
            <w:tcBorders>
              <w:top w:val="nil"/>
              <w:left w:val="nil"/>
              <w:bottom w:val="nil"/>
              <w:right w:val="nil"/>
            </w:tcBorders>
            <w:shd w:val="clear" w:color="000000" w:fill="FFFFFF"/>
            <w:vAlign w:val="bottom"/>
            <w:hideMark/>
          </w:tcPr>
          <w:p w14:paraId="49BBE03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79567A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175CBBB9" w14:textId="77777777" w:rsidTr="00930A25">
        <w:trPr>
          <w:trHeight w:val="264"/>
        </w:trPr>
        <w:tc>
          <w:tcPr>
            <w:tcW w:w="0" w:type="auto"/>
            <w:tcBorders>
              <w:top w:val="nil"/>
              <w:left w:val="nil"/>
              <w:bottom w:val="nil"/>
              <w:right w:val="nil"/>
            </w:tcBorders>
            <w:shd w:val="clear" w:color="000000" w:fill="FFFFFF"/>
            <w:noWrap/>
            <w:vAlign w:val="bottom"/>
            <w:hideMark/>
          </w:tcPr>
          <w:p w14:paraId="57EA525F"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Positive stock price jump</w:t>
            </w:r>
          </w:p>
        </w:tc>
        <w:tc>
          <w:tcPr>
            <w:tcW w:w="0" w:type="auto"/>
            <w:tcBorders>
              <w:top w:val="nil"/>
              <w:left w:val="nil"/>
              <w:bottom w:val="nil"/>
              <w:right w:val="nil"/>
            </w:tcBorders>
            <w:shd w:val="clear" w:color="000000" w:fill="FFFFFF"/>
            <w:vAlign w:val="bottom"/>
            <w:hideMark/>
          </w:tcPr>
          <w:p w14:paraId="5366F6E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01AE77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32DA6A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595E3A64" w14:textId="59128E89" w:rsidR="00A329A3" w:rsidRPr="00A329A3" w:rsidRDefault="00817A1B" w:rsidP="00817A1B">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-0.018</w:t>
            </w:r>
          </w:p>
        </w:tc>
        <w:tc>
          <w:tcPr>
            <w:tcW w:w="0" w:type="auto"/>
            <w:tcBorders>
              <w:top w:val="nil"/>
              <w:left w:val="nil"/>
              <w:bottom w:val="nil"/>
              <w:right w:val="nil"/>
            </w:tcBorders>
            <w:shd w:val="clear" w:color="000000" w:fill="FFFFFF"/>
            <w:vAlign w:val="bottom"/>
            <w:hideMark/>
          </w:tcPr>
          <w:p w14:paraId="0EF2E83F" w14:textId="4C1C1A15" w:rsidR="00A329A3" w:rsidRPr="00A329A3" w:rsidRDefault="00817A1B" w:rsidP="00A329A3">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0.98</w:t>
            </w:r>
          </w:p>
        </w:tc>
        <w:tc>
          <w:tcPr>
            <w:tcW w:w="0" w:type="auto"/>
            <w:tcBorders>
              <w:top w:val="nil"/>
              <w:left w:val="nil"/>
              <w:bottom w:val="nil"/>
              <w:right w:val="nil"/>
            </w:tcBorders>
            <w:shd w:val="clear" w:color="000000" w:fill="FFFFFF"/>
            <w:noWrap/>
            <w:vAlign w:val="bottom"/>
            <w:hideMark/>
          </w:tcPr>
          <w:p w14:paraId="17C46B2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54FFF8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-0.032</w:t>
            </w:r>
          </w:p>
        </w:tc>
        <w:tc>
          <w:tcPr>
            <w:tcW w:w="0" w:type="auto"/>
            <w:tcBorders>
              <w:top w:val="nil"/>
              <w:left w:val="nil"/>
              <w:bottom w:val="nil"/>
              <w:right w:val="nil"/>
            </w:tcBorders>
            <w:shd w:val="clear" w:color="000000" w:fill="FFFFFF"/>
            <w:vAlign w:val="bottom"/>
            <w:hideMark/>
          </w:tcPr>
          <w:p w14:paraId="490AACA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0.97</w:t>
            </w:r>
          </w:p>
        </w:tc>
        <w:tc>
          <w:tcPr>
            <w:tcW w:w="0" w:type="auto"/>
            <w:tcBorders>
              <w:top w:val="nil"/>
              <w:left w:val="nil"/>
              <w:bottom w:val="nil"/>
              <w:right w:val="nil"/>
            </w:tcBorders>
            <w:shd w:val="clear" w:color="000000" w:fill="FFFFFF"/>
            <w:noWrap/>
            <w:vAlign w:val="bottom"/>
            <w:hideMark/>
          </w:tcPr>
          <w:p w14:paraId="398DFE2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35C06258" w14:textId="77777777" w:rsidTr="00930A25">
        <w:trPr>
          <w:trHeight w:val="264"/>
        </w:trPr>
        <w:tc>
          <w:tcPr>
            <w:tcW w:w="0" w:type="auto"/>
            <w:tcBorders>
              <w:top w:val="nil"/>
              <w:left w:val="nil"/>
              <w:bottom w:val="nil"/>
              <w:right w:val="nil"/>
            </w:tcBorders>
            <w:shd w:val="clear" w:color="000000" w:fill="FFFFFF"/>
            <w:noWrap/>
            <w:vAlign w:val="bottom"/>
            <w:hideMark/>
          </w:tcPr>
          <w:p w14:paraId="5B9A6499"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D122AD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D02F54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588062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E60AE7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(0.016)</w:t>
            </w:r>
          </w:p>
        </w:tc>
        <w:tc>
          <w:tcPr>
            <w:tcW w:w="0" w:type="auto"/>
            <w:tcBorders>
              <w:top w:val="nil"/>
              <w:left w:val="nil"/>
              <w:bottom w:val="nil"/>
              <w:right w:val="nil"/>
            </w:tcBorders>
            <w:shd w:val="clear" w:color="000000" w:fill="FFFFFF"/>
            <w:vAlign w:val="bottom"/>
            <w:hideMark/>
          </w:tcPr>
          <w:p w14:paraId="6E1273E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4F47EB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2AE159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(0.023)</w:t>
            </w:r>
          </w:p>
        </w:tc>
        <w:tc>
          <w:tcPr>
            <w:tcW w:w="0" w:type="auto"/>
            <w:tcBorders>
              <w:top w:val="nil"/>
              <w:left w:val="nil"/>
              <w:bottom w:val="nil"/>
              <w:right w:val="nil"/>
            </w:tcBorders>
            <w:shd w:val="clear" w:color="000000" w:fill="FFFFFF"/>
            <w:vAlign w:val="bottom"/>
            <w:hideMark/>
          </w:tcPr>
          <w:p w14:paraId="2B7FE76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4DE0DB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4475C8BA" w14:textId="77777777" w:rsidTr="00930A25">
        <w:trPr>
          <w:trHeight w:val="264"/>
        </w:trPr>
        <w:tc>
          <w:tcPr>
            <w:tcW w:w="0" w:type="auto"/>
            <w:tcBorders>
              <w:top w:val="nil"/>
              <w:left w:val="nil"/>
              <w:bottom w:val="nil"/>
              <w:right w:val="nil"/>
            </w:tcBorders>
            <w:shd w:val="clear" w:color="000000" w:fill="FFFFFF"/>
            <w:noWrap/>
            <w:vAlign w:val="bottom"/>
            <w:hideMark/>
          </w:tcPr>
          <w:p w14:paraId="3089AD66"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Negative stock price jump</w:t>
            </w:r>
          </w:p>
        </w:tc>
        <w:tc>
          <w:tcPr>
            <w:tcW w:w="0" w:type="auto"/>
            <w:tcBorders>
              <w:top w:val="nil"/>
              <w:left w:val="nil"/>
              <w:bottom w:val="nil"/>
              <w:right w:val="nil"/>
            </w:tcBorders>
            <w:shd w:val="clear" w:color="000000" w:fill="FFFFFF"/>
            <w:vAlign w:val="bottom"/>
            <w:hideMark/>
          </w:tcPr>
          <w:p w14:paraId="2CCDFD5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57BEF6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E9C409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B6702E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-0.213***</w:t>
            </w:r>
          </w:p>
        </w:tc>
        <w:tc>
          <w:tcPr>
            <w:tcW w:w="0" w:type="auto"/>
            <w:tcBorders>
              <w:top w:val="nil"/>
              <w:left w:val="nil"/>
              <w:bottom w:val="nil"/>
              <w:right w:val="nil"/>
            </w:tcBorders>
            <w:shd w:val="clear" w:color="000000" w:fill="FFFFFF"/>
            <w:vAlign w:val="bottom"/>
            <w:hideMark/>
          </w:tcPr>
          <w:p w14:paraId="79E813A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0.81</w:t>
            </w:r>
          </w:p>
        </w:tc>
        <w:tc>
          <w:tcPr>
            <w:tcW w:w="0" w:type="auto"/>
            <w:tcBorders>
              <w:top w:val="nil"/>
              <w:left w:val="nil"/>
              <w:bottom w:val="nil"/>
              <w:right w:val="nil"/>
            </w:tcBorders>
            <w:shd w:val="clear" w:color="000000" w:fill="FFFFFF"/>
            <w:noWrap/>
            <w:vAlign w:val="bottom"/>
            <w:hideMark/>
          </w:tcPr>
          <w:p w14:paraId="57474B3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51DF49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-0.283***</w:t>
            </w:r>
          </w:p>
        </w:tc>
        <w:tc>
          <w:tcPr>
            <w:tcW w:w="0" w:type="auto"/>
            <w:tcBorders>
              <w:top w:val="nil"/>
              <w:left w:val="nil"/>
              <w:bottom w:val="nil"/>
              <w:right w:val="nil"/>
            </w:tcBorders>
            <w:shd w:val="clear" w:color="000000" w:fill="FFFFFF"/>
            <w:vAlign w:val="bottom"/>
            <w:hideMark/>
          </w:tcPr>
          <w:p w14:paraId="493E379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0.75</w:t>
            </w:r>
          </w:p>
        </w:tc>
        <w:tc>
          <w:tcPr>
            <w:tcW w:w="0" w:type="auto"/>
            <w:tcBorders>
              <w:top w:val="nil"/>
              <w:left w:val="nil"/>
              <w:bottom w:val="nil"/>
              <w:right w:val="nil"/>
            </w:tcBorders>
            <w:shd w:val="clear" w:color="000000" w:fill="FFFFFF"/>
            <w:noWrap/>
            <w:vAlign w:val="bottom"/>
            <w:hideMark/>
          </w:tcPr>
          <w:p w14:paraId="72E7DF7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1FED037B" w14:textId="77777777" w:rsidTr="00930A25">
        <w:trPr>
          <w:trHeight w:val="264"/>
        </w:trPr>
        <w:tc>
          <w:tcPr>
            <w:tcW w:w="0" w:type="auto"/>
            <w:tcBorders>
              <w:top w:val="nil"/>
              <w:left w:val="nil"/>
              <w:bottom w:val="nil"/>
              <w:right w:val="nil"/>
            </w:tcBorders>
            <w:shd w:val="clear" w:color="000000" w:fill="FFFFFF"/>
            <w:noWrap/>
            <w:vAlign w:val="bottom"/>
            <w:hideMark/>
          </w:tcPr>
          <w:p w14:paraId="75A26D65"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34BB61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A96BBF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3B60AE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9CD631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(0.017)</w:t>
            </w:r>
          </w:p>
        </w:tc>
        <w:tc>
          <w:tcPr>
            <w:tcW w:w="0" w:type="auto"/>
            <w:tcBorders>
              <w:top w:val="nil"/>
              <w:left w:val="nil"/>
              <w:bottom w:val="nil"/>
              <w:right w:val="nil"/>
            </w:tcBorders>
            <w:shd w:val="clear" w:color="000000" w:fill="FFFFFF"/>
            <w:vAlign w:val="bottom"/>
            <w:hideMark/>
          </w:tcPr>
          <w:p w14:paraId="17601A8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CE6F32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30B02E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(0.025)</w:t>
            </w:r>
          </w:p>
        </w:tc>
        <w:tc>
          <w:tcPr>
            <w:tcW w:w="0" w:type="auto"/>
            <w:tcBorders>
              <w:top w:val="nil"/>
              <w:left w:val="nil"/>
              <w:bottom w:val="nil"/>
              <w:right w:val="nil"/>
            </w:tcBorders>
            <w:shd w:val="clear" w:color="000000" w:fill="FFFFFF"/>
            <w:vAlign w:val="bottom"/>
            <w:hideMark/>
          </w:tcPr>
          <w:p w14:paraId="787B025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215230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41278700" w14:textId="77777777" w:rsidTr="00930A25">
        <w:trPr>
          <w:trHeight w:val="264"/>
        </w:trPr>
        <w:tc>
          <w:tcPr>
            <w:tcW w:w="0" w:type="auto"/>
            <w:tcBorders>
              <w:top w:val="nil"/>
              <w:left w:val="nil"/>
              <w:bottom w:val="nil"/>
              <w:right w:val="nil"/>
            </w:tcBorders>
            <w:shd w:val="clear" w:color="000000" w:fill="FFFFFF"/>
            <w:noWrap/>
            <w:vAlign w:val="bottom"/>
            <w:hideMark/>
          </w:tcPr>
          <w:p w14:paraId="62AB53E8"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Market-adjusted stock return</w:t>
            </w:r>
          </w:p>
        </w:tc>
        <w:tc>
          <w:tcPr>
            <w:tcW w:w="0" w:type="auto"/>
            <w:tcBorders>
              <w:top w:val="nil"/>
              <w:left w:val="nil"/>
              <w:bottom w:val="nil"/>
              <w:right w:val="nil"/>
            </w:tcBorders>
            <w:shd w:val="clear" w:color="000000" w:fill="FFFFFF"/>
            <w:vAlign w:val="bottom"/>
            <w:hideMark/>
          </w:tcPr>
          <w:p w14:paraId="61BEDD6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2405E0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A6439C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209CEF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-1.844***</w:t>
            </w:r>
          </w:p>
        </w:tc>
        <w:tc>
          <w:tcPr>
            <w:tcW w:w="0" w:type="auto"/>
            <w:tcBorders>
              <w:top w:val="nil"/>
              <w:left w:val="nil"/>
              <w:bottom w:val="nil"/>
              <w:right w:val="nil"/>
            </w:tcBorders>
            <w:shd w:val="clear" w:color="000000" w:fill="FFFFFF"/>
            <w:vAlign w:val="bottom"/>
            <w:hideMark/>
          </w:tcPr>
          <w:p w14:paraId="2D56296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0.16</w:t>
            </w:r>
          </w:p>
        </w:tc>
        <w:tc>
          <w:tcPr>
            <w:tcW w:w="0" w:type="auto"/>
            <w:tcBorders>
              <w:top w:val="nil"/>
              <w:left w:val="nil"/>
              <w:bottom w:val="nil"/>
              <w:right w:val="nil"/>
            </w:tcBorders>
            <w:shd w:val="clear" w:color="000000" w:fill="FFFFFF"/>
            <w:noWrap/>
            <w:vAlign w:val="bottom"/>
            <w:hideMark/>
          </w:tcPr>
          <w:p w14:paraId="5D804E4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1E47FA8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-1.496***</w:t>
            </w:r>
          </w:p>
        </w:tc>
        <w:tc>
          <w:tcPr>
            <w:tcW w:w="0" w:type="auto"/>
            <w:tcBorders>
              <w:top w:val="nil"/>
              <w:left w:val="nil"/>
              <w:bottom w:val="nil"/>
              <w:right w:val="nil"/>
            </w:tcBorders>
            <w:shd w:val="clear" w:color="000000" w:fill="FFFFFF"/>
            <w:vAlign w:val="bottom"/>
            <w:hideMark/>
          </w:tcPr>
          <w:p w14:paraId="4A629C6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0.22</w:t>
            </w:r>
          </w:p>
        </w:tc>
        <w:tc>
          <w:tcPr>
            <w:tcW w:w="0" w:type="auto"/>
            <w:tcBorders>
              <w:top w:val="nil"/>
              <w:left w:val="nil"/>
              <w:bottom w:val="nil"/>
              <w:right w:val="nil"/>
            </w:tcBorders>
            <w:shd w:val="clear" w:color="000000" w:fill="FFFFFF"/>
            <w:noWrap/>
            <w:vAlign w:val="bottom"/>
            <w:hideMark/>
          </w:tcPr>
          <w:p w14:paraId="4416FE5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3C6F04E1" w14:textId="77777777" w:rsidTr="00930A25">
        <w:trPr>
          <w:trHeight w:val="264"/>
        </w:trPr>
        <w:tc>
          <w:tcPr>
            <w:tcW w:w="0" w:type="auto"/>
            <w:tcBorders>
              <w:top w:val="nil"/>
              <w:left w:val="nil"/>
              <w:bottom w:val="nil"/>
              <w:right w:val="nil"/>
            </w:tcBorders>
            <w:shd w:val="clear" w:color="000000" w:fill="FFFFFF"/>
            <w:noWrap/>
            <w:vAlign w:val="bottom"/>
            <w:hideMark/>
          </w:tcPr>
          <w:p w14:paraId="2472E477"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6B37E6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F05E33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FEB1AC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96F6E6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(0.049)</w:t>
            </w:r>
          </w:p>
        </w:tc>
        <w:tc>
          <w:tcPr>
            <w:tcW w:w="0" w:type="auto"/>
            <w:tcBorders>
              <w:top w:val="nil"/>
              <w:left w:val="nil"/>
              <w:bottom w:val="nil"/>
              <w:right w:val="nil"/>
            </w:tcBorders>
            <w:shd w:val="clear" w:color="000000" w:fill="FFFFFF"/>
            <w:vAlign w:val="bottom"/>
            <w:hideMark/>
          </w:tcPr>
          <w:p w14:paraId="32EA65A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54B103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BB9BF3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(0.075)</w:t>
            </w:r>
          </w:p>
        </w:tc>
        <w:tc>
          <w:tcPr>
            <w:tcW w:w="0" w:type="auto"/>
            <w:tcBorders>
              <w:top w:val="nil"/>
              <w:left w:val="nil"/>
              <w:bottom w:val="nil"/>
              <w:right w:val="nil"/>
            </w:tcBorders>
            <w:shd w:val="clear" w:color="000000" w:fill="FFFFFF"/>
            <w:vAlign w:val="bottom"/>
            <w:hideMark/>
          </w:tcPr>
          <w:p w14:paraId="6FE93B0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18B6A0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6C903A2E" w14:textId="77777777" w:rsidTr="00930A25">
        <w:trPr>
          <w:trHeight w:val="264"/>
        </w:trPr>
        <w:tc>
          <w:tcPr>
            <w:tcW w:w="0" w:type="auto"/>
            <w:tcBorders>
              <w:top w:val="nil"/>
              <w:left w:val="nil"/>
              <w:bottom w:val="nil"/>
              <w:right w:val="nil"/>
            </w:tcBorders>
            <w:shd w:val="clear" w:color="000000" w:fill="FFFFFF"/>
            <w:noWrap/>
            <w:vAlign w:val="bottom"/>
            <w:hideMark/>
          </w:tcPr>
          <w:p w14:paraId="0A1AF506"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Industry-adjusted stock return</w:t>
            </w:r>
          </w:p>
        </w:tc>
        <w:tc>
          <w:tcPr>
            <w:tcW w:w="0" w:type="auto"/>
            <w:tcBorders>
              <w:top w:val="nil"/>
              <w:left w:val="nil"/>
              <w:bottom w:val="nil"/>
              <w:right w:val="nil"/>
            </w:tcBorders>
            <w:shd w:val="clear" w:color="000000" w:fill="FFFFFF"/>
            <w:vAlign w:val="bottom"/>
            <w:hideMark/>
          </w:tcPr>
          <w:p w14:paraId="47368D0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12CCC83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52ABAA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3487BF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-0.235***</w:t>
            </w:r>
          </w:p>
        </w:tc>
        <w:tc>
          <w:tcPr>
            <w:tcW w:w="0" w:type="auto"/>
            <w:tcBorders>
              <w:top w:val="nil"/>
              <w:left w:val="nil"/>
              <w:bottom w:val="nil"/>
              <w:right w:val="nil"/>
            </w:tcBorders>
            <w:shd w:val="clear" w:color="000000" w:fill="FFFFFF"/>
            <w:vAlign w:val="bottom"/>
            <w:hideMark/>
          </w:tcPr>
          <w:p w14:paraId="6EC90CB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0.79</w:t>
            </w:r>
          </w:p>
        </w:tc>
        <w:tc>
          <w:tcPr>
            <w:tcW w:w="0" w:type="auto"/>
            <w:tcBorders>
              <w:top w:val="nil"/>
              <w:left w:val="nil"/>
              <w:bottom w:val="nil"/>
              <w:right w:val="nil"/>
            </w:tcBorders>
            <w:shd w:val="clear" w:color="000000" w:fill="FFFFFF"/>
            <w:noWrap/>
            <w:vAlign w:val="bottom"/>
            <w:hideMark/>
          </w:tcPr>
          <w:p w14:paraId="31F8F19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658068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-0.424***</w:t>
            </w:r>
          </w:p>
        </w:tc>
        <w:tc>
          <w:tcPr>
            <w:tcW w:w="0" w:type="auto"/>
            <w:tcBorders>
              <w:top w:val="nil"/>
              <w:left w:val="nil"/>
              <w:bottom w:val="nil"/>
              <w:right w:val="nil"/>
            </w:tcBorders>
            <w:shd w:val="clear" w:color="000000" w:fill="FFFFFF"/>
            <w:vAlign w:val="bottom"/>
            <w:hideMark/>
          </w:tcPr>
          <w:p w14:paraId="69FFC52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0.65</w:t>
            </w:r>
          </w:p>
        </w:tc>
        <w:tc>
          <w:tcPr>
            <w:tcW w:w="0" w:type="auto"/>
            <w:tcBorders>
              <w:top w:val="nil"/>
              <w:left w:val="nil"/>
              <w:bottom w:val="nil"/>
              <w:right w:val="nil"/>
            </w:tcBorders>
            <w:shd w:val="clear" w:color="000000" w:fill="FFFFFF"/>
            <w:noWrap/>
            <w:vAlign w:val="bottom"/>
            <w:hideMark/>
          </w:tcPr>
          <w:p w14:paraId="143C68E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5FE33C06" w14:textId="77777777" w:rsidTr="00930A25">
        <w:trPr>
          <w:trHeight w:val="264"/>
        </w:trPr>
        <w:tc>
          <w:tcPr>
            <w:tcW w:w="0" w:type="auto"/>
            <w:tcBorders>
              <w:top w:val="nil"/>
              <w:left w:val="nil"/>
              <w:bottom w:val="nil"/>
              <w:right w:val="nil"/>
            </w:tcBorders>
            <w:shd w:val="clear" w:color="000000" w:fill="FFFFFF"/>
            <w:noWrap/>
            <w:vAlign w:val="bottom"/>
            <w:hideMark/>
          </w:tcPr>
          <w:p w14:paraId="7414EA9F"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179D5F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1A12367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7C0C6A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992CB5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(0.030)</w:t>
            </w:r>
          </w:p>
        </w:tc>
        <w:tc>
          <w:tcPr>
            <w:tcW w:w="0" w:type="auto"/>
            <w:tcBorders>
              <w:top w:val="nil"/>
              <w:left w:val="nil"/>
              <w:bottom w:val="nil"/>
              <w:right w:val="nil"/>
            </w:tcBorders>
            <w:shd w:val="clear" w:color="000000" w:fill="FFFFFF"/>
            <w:vAlign w:val="bottom"/>
            <w:hideMark/>
          </w:tcPr>
          <w:p w14:paraId="1F8EAE8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FCB460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44AE04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(0.046)</w:t>
            </w:r>
          </w:p>
        </w:tc>
        <w:tc>
          <w:tcPr>
            <w:tcW w:w="0" w:type="auto"/>
            <w:tcBorders>
              <w:top w:val="nil"/>
              <w:left w:val="nil"/>
              <w:bottom w:val="nil"/>
              <w:right w:val="nil"/>
            </w:tcBorders>
            <w:shd w:val="clear" w:color="000000" w:fill="FFFFFF"/>
            <w:vAlign w:val="bottom"/>
            <w:hideMark/>
          </w:tcPr>
          <w:p w14:paraId="778AB3D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F2169C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20C8AD46" w14:textId="77777777" w:rsidTr="00930A25">
        <w:trPr>
          <w:trHeight w:val="264"/>
        </w:trPr>
        <w:tc>
          <w:tcPr>
            <w:tcW w:w="0" w:type="auto"/>
            <w:tcBorders>
              <w:top w:val="nil"/>
              <w:left w:val="nil"/>
              <w:bottom w:val="nil"/>
              <w:right w:val="nil"/>
            </w:tcBorders>
            <w:shd w:val="clear" w:color="000000" w:fill="FFFFFF"/>
            <w:noWrap/>
            <w:vAlign w:val="bottom"/>
            <w:hideMark/>
          </w:tcPr>
          <w:p w14:paraId="2B829862"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xml:space="preserve">Stock volatility </w:t>
            </w:r>
          </w:p>
        </w:tc>
        <w:tc>
          <w:tcPr>
            <w:tcW w:w="0" w:type="auto"/>
            <w:tcBorders>
              <w:top w:val="nil"/>
              <w:left w:val="nil"/>
              <w:bottom w:val="nil"/>
              <w:right w:val="nil"/>
            </w:tcBorders>
            <w:shd w:val="clear" w:color="000000" w:fill="FFFFFF"/>
            <w:vAlign w:val="bottom"/>
            <w:hideMark/>
          </w:tcPr>
          <w:p w14:paraId="4C1CB82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4D16DC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16C912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D0971A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-0.338***</w:t>
            </w:r>
          </w:p>
        </w:tc>
        <w:tc>
          <w:tcPr>
            <w:tcW w:w="0" w:type="auto"/>
            <w:tcBorders>
              <w:top w:val="nil"/>
              <w:left w:val="nil"/>
              <w:bottom w:val="nil"/>
              <w:right w:val="nil"/>
            </w:tcBorders>
            <w:shd w:val="clear" w:color="000000" w:fill="FFFFFF"/>
            <w:vAlign w:val="bottom"/>
            <w:hideMark/>
          </w:tcPr>
          <w:p w14:paraId="1E5A613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0.71</w:t>
            </w:r>
          </w:p>
        </w:tc>
        <w:tc>
          <w:tcPr>
            <w:tcW w:w="0" w:type="auto"/>
            <w:tcBorders>
              <w:top w:val="nil"/>
              <w:left w:val="nil"/>
              <w:bottom w:val="nil"/>
              <w:right w:val="nil"/>
            </w:tcBorders>
            <w:shd w:val="clear" w:color="000000" w:fill="FFFFFF"/>
            <w:noWrap/>
            <w:vAlign w:val="bottom"/>
            <w:hideMark/>
          </w:tcPr>
          <w:p w14:paraId="0C4F9E4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57888F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-0.373***</w:t>
            </w:r>
          </w:p>
        </w:tc>
        <w:tc>
          <w:tcPr>
            <w:tcW w:w="0" w:type="auto"/>
            <w:tcBorders>
              <w:top w:val="nil"/>
              <w:left w:val="nil"/>
              <w:bottom w:val="nil"/>
              <w:right w:val="nil"/>
            </w:tcBorders>
            <w:shd w:val="clear" w:color="000000" w:fill="FFFFFF"/>
            <w:vAlign w:val="bottom"/>
            <w:hideMark/>
          </w:tcPr>
          <w:p w14:paraId="5C2C921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0.69</w:t>
            </w:r>
          </w:p>
        </w:tc>
        <w:tc>
          <w:tcPr>
            <w:tcW w:w="0" w:type="auto"/>
            <w:tcBorders>
              <w:top w:val="nil"/>
              <w:left w:val="nil"/>
              <w:bottom w:val="nil"/>
              <w:right w:val="nil"/>
            </w:tcBorders>
            <w:shd w:val="clear" w:color="000000" w:fill="FFFFFF"/>
            <w:noWrap/>
            <w:vAlign w:val="bottom"/>
            <w:hideMark/>
          </w:tcPr>
          <w:p w14:paraId="34EDC5C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233EF9BB" w14:textId="77777777" w:rsidTr="00930A25">
        <w:trPr>
          <w:trHeight w:val="264"/>
        </w:trPr>
        <w:tc>
          <w:tcPr>
            <w:tcW w:w="0" w:type="auto"/>
            <w:tcBorders>
              <w:top w:val="nil"/>
              <w:left w:val="nil"/>
              <w:bottom w:val="nil"/>
              <w:right w:val="nil"/>
            </w:tcBorders>
            <w:shd w:val="clear" w:color="000000" w:fill="FFFFFF"/>
            <w:noWrap/>
            <w:vAlign w:val="bottom"/>
            <w:hideMark/>
          </w:tcPr>
          <w:p w14:paraId="4DAC0B54"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5C3B787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08A77F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B28A0F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0B4B93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(0.036)</w:t>
            </w:r>
          </w:p>
        </w:tc>
        <w:tc>
          <w:tcPr>
            <w:tcW w:w="0" w:type="auto"/>
            <w:tcBorders>
              <w:top w:val="nil"/>
              <w:left w:val="nil"/>
              <w:bottom w:val="nil"/>
              <w:right w:val="nil"/>
            </w:tcBorders>
            <w:shd w:val="clear" w:color="000000" w:fill="FFFFFF"/>
            <w:vAlign w:val="bottom"/>
            <w:hideMark/>
          </w:tcPr>
          <w:p w14:paraId="203157E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0052CB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191BB2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(0.056)</w:t>
            </w:r>
          </w:p>
        </w:tc>
        <w:tc>
          <w:tcPr>
            <w:tcW w:w="0" w:type="auto"/>
            <w:tcBorders>
              <w:top w:val="nil"/>
              <w:left w:val="nil"/>
              <w:bottom w:val="nil"/>
              <w:right w:val="nil"/>
            </w:tcBorders>
            <w:shd w:val="clear" w:color="000000" w:fill="FFFFFF"/>
            <w:vAlign w:val="bottom"/>
            <w:hideMark/>
          </w:tcPr>
          <w:p w14:paraId="4EC6A4D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5AF5AE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67B0FA9A" w14:textId="77777777" w:rsidTr="00930A25">
        <w:trPr>
          <w:trHeight w:val="264"/>
        </w:trPr>
        <w:tc>
          <w:tcPr>
            <w:tcW w:w="0" w:type="auto"/>
            <w:tcBorders>
              <w:top w:val="nil"/>
              <w:left w:val="nil"/>
              <w:bottom w:val="nil"/>
              <w:right w:val="nil"/>
            </w:tcBorders>
            <w:shd w:val="clear" w:color="000000" w:fill="FFFFFF"/>
            <w:noWrap/>
            <w:vAlign w:val="bottom"/>
            <w:hideMark/>
          </w:tcPr>
          <w:p w14:paraId="41FF3C0C"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Stock volume (log)</w:t>
            </w:r>
          </w:p>
        </w:tc>
        <w:tc>
          <w:tcPr>
            <w:tcW w:w="0" w:type="auto"/>
            <w:tcBorders>
              <w:top w:val="nil"/>
              <w:left w:val="nil"/>
              <w:bottom w:val="nil"/>
              <w:right w:val="nil"/>
            </w:tcBorders>
            <w:shd w:val="clear" w:color="000000" w:fill="FFFFFF"/>
            <w:vAlign w:val="bottom"/>
            <w:hideMark/>
          </w:tcPr>
          <w:p w14:paraId="77AF6C4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1FD9CA6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13730A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D516E7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0.301***</w:t>
            </w:r>
          </w:p>
        </w:tc>
        <w:tc>
          <w:tcPr>
            <w:tcW w:w="0" w:type="auto"/>
            <w:tcBorders>
              <w:top w:val="nil"/>
              <w:left w:val="nil"/>
              <w:bottom w:val="nil"/>
              <w:right w:val="nil"/>
            </w:tcBorders>
            <w:shd w:val="clear" w:color="000000" w:fill="FFFFFF"/>
            <w:vAlign w:val="bottom"/>
            <w:hideMark/>
          </w:tcPr>
          <w:p w14:paraId="7807031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1.35</w:t>
            </w:r>
          </w:p>
        </w:tc>
        <w:tc>
          <w:tcPr>
            <w:tcW w:w="0" w:type="auto"/>
            <w:tcBorders>
              <w:top w:val="nil"/>
              <w:left w:val="nil"/>
              <w:bottom w:val="nil"/>
              <w:right w:val="nil"/>
            </w:tcBorders>
            <w:shd w:val="clear" w:color="000000" w:fill="FFFFFF"/>
            <w:noWrap/>
            <w:vAlign w:val="bottom"/>
            <w:hideMark/>
          </w:tcPr>
          <w:p w14:paraId="400DD84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E2EF6A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0.319***</w:t>
            </w:r>
          </w:p>
        </w:tc>
        <w:tc>
          <w:tcPr>
            <w:tcW w:w="0" w:type="auto"/>
            <w:tcBorders>
              <w:top w:val="nil"/>
              <w:left w:val="nil"/>
              <w:bottom w:val="nil"/>
              <w:right w:val="nil"/>
            </w:tcBorders>
            <w:shd w:val="clear" w:color="000000" w:fill="FFFFFF"/>
            <w:vAlign w:val="bottom"/>
            <w:hideMark/>
          </w:tcPr>
          <w:p w14:paraId="1ABA57B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1.38</w:t>
            </w:r>
          </w:p>
        </w:tc>
        <w:tc>
          <w:tcPr>
            <w:tcW w:w="0" w:type="auto"/>
            <w:tcBorders>
              <w:top w:val="nil"/>
              <w:left w:val="nil"/>
              <w:bottom w:val="nil"/>
              <w:right w:val="nil"/>
            </w:tcBorders>
            <w:shd w:val="clear" w:color="000000" w:fill="FFFFFF"/>
            <w:noWrap/>
            <w:vAlign w:val="bottom"/>
            <w:hideMark/>
          </w:tcPr>
          <w:p w14:paraId="79C3CD8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6B0D3440" w14:textId="77777777" w:rsidTr="00930A25">
        <w:trPr>
          <w:trHeight w:val="264"/>
        </w:trPr>
        <w:tc>
          <w:tcPr>
            <w:tcW w:w="0" w:type="auto"/>
            <w:tcBorders>
              <w:top w:val="nil"/>
              <w:left w:val="nil"/>
              <w:bottom w:val="nil"/>
              <w:right w:val="nil"/>
            </w:tcBorders>
            <w:shd w:val="clear" w:color="000000" w:fill="FFFFFF"/>
            <w:noWrap/>
            <w:vAlign w:val="bottom"/>
            <w:hideMark/>
          </w:tcPr>
          <w:p w14:paraId="0B8ACD46"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6F1BC6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2D5FB0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60B670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E7C2F3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(0.007)</w:t>
            </w:r>
          </w:p>
        </w:tc>
        <w:tc>
          <w:tcPr>
            <w:tcW w:w="0" w:type="auto"/>
            <w:tcBorders>
              <w:top w:val="nil"/>
              <w:left w:val="nil"/>
              <w:bottom w:val="nil"/>
              <w:right w:val="nil"/>
            </w:tcBorders>
            <w:shd w:val="clear" w:color="000000" w:fill="FFFFFF"/>
            <w:vAlign w:val="bottom"/>
            <w:hideMark/>
          </w:tcPr>
          <w:p w14:paraId="3D2C293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2372EA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A06860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(0.012)</w:t>
            </w:r>
          </w:p>
        </w:tc>
        <w:tc>
          <w:tcPr>
            <w:tcW w:w="0" w:type="auto"/>
            <w:tcBorders>
              <w:top w:val="nil"/>
              <w:left w:val="nil"/>
              <w:bottom w:val="nil"/>
              <w:right w:val="nil"/>
            </w:tcBorders>
            <w:shd w:val="clear" w:color="000000" w:fill="FFFFFF"/>
            <w:vAlign w:val="bottom"/>
            <w:hideMark/>
          </w:tcPr>
          <w:p w14:paraId="67518D7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EAC177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04676C05" w14:textId="77777777" w:rsidTr="00930A25">
        <w:trPr>
          <w:trHeight w:val="264"/>
        </w:trPr>
        <w:tc>
          <w:tcPr>
            <w:tcW w:w="0" w:type="auto"/>
            <w:tcBorders>
              <w:top w:val="nil"/>
              <w:left w:val="nil"/>
              <w:bottom w:val="nil"/>
              <w:right w:val="nil"/>
            </w:tcBorders>
            <w:shd w:val="clear" w:color="000000" w:fill="FFFFFF"/>
            <w:noWrap/>
            <w:vAlign w:val="bottom"/>
            <w:hideMark/>
          </w:tcPr>
          <w:p w14:paraId="749A7D66"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Industry volume (log)</w:t>
            </w:r>
          </w:p>
        </w:tc>
        <w:tc>
          <w:tcPr>
            <w:tcW w:w="0" w:type="auto"/>
            <w:tcBorders>
              <w:top w:val="nil"/>
              <w:left w:val="nil"/>
              <w:bottom w:val="nil"/>
              <w:right w:val="nil"/>
            </w:tcBorders>
            <w:shd w:val="clear" w:color="000000" w:fill="FFFFFF"/>
            <w:vAlign w:val="bottom"/>
            <w:hideMark/>
          </w:tcPr>
          <w:p w14:paraId="65C99F8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2F9C00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249B3E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0875E1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-0.007**</w:t>
            </w:r>
          </w:p>
        </w:tc>
        <w:tc>
          <w:tcPr>
            <w:tcW w:w="0" w:type="auto"/>
            <w:tcBorders>
              <w:top w:val="nil"/>
              <w:left w:val="nil"/>
              <w:bottom w:val="nil"/>
              <w:right w:val="nil"/>
            </w:tcBorders>
            <w:shd w:val="clear" w:color="000000" w:fill="FFFFFF"/>
            <w:vAlign w:val="bottom"/>
            <w:hideMark/>
          </w:tcPr>
          <w:p w14:paraId="0431798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0.99</w:t>
            </w:r>
          </w:p>
        </w:tc>
        <w:tc>
          <w:tcPr>
            <w:tcW w:w="0" w:type="auto"/>
            <w:tcBorders>
              <w:top w:val="nil"/>
              <w:left w:val="nil"/>
              <w:bottom w:val="nil"/>
              <w:right w:val="nil"/>
            </w:tcBorders>
            <w:shd w:val="clear" w:color="000000" w:fill="FFFFFF"/>
            <w:noWrap/>
            <w:vAlign w:val="bottom"/>
            <w:hideMark/>
          </w:tcPr>
          <w:p w14:paraId="79106D2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638A96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-0.007</w:t>
            </w:r>
          </w:p>
        </w:tc>
        <w:tc>
          <w:tcPr>
            <w:tcW w:w="0" w:type="auto"/>
            <w:tcBorders>
              <w:top w:val="nil"/>
              <w:left w:val="nil"/>
              <w:bottom w:val="nil"/>
              <w:right w:val="nil"/>
            </w:tcBorders>
            <w:shd w:val="clear" w:color="000000" w:fill="FFFFFF"/>
            <w:vAlign w:val="bottom"/>
            <w:hideMark/>
          </w:tcPr>
          <w:p w14:paraId="46C83A8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0.99</w:t>
            </w:r>
          </w:p>
        </w:tc>
        <w:tc>
          <w:tcPr>
            <w:tcW w:w="0" w:type="auto"/>
            <w:tcBorders>
              <w:top w:val="nil"/>
              <w:left w:val="nil"/>
              <w:bottom w:val="nil"/>
              <w:right w:val="nil"/>
            </w:tcBorders>
            <w:shd w:val="clear" w:color="000000" w:fill="FFFFFF"/>
            <w:noWrap/>
            <w:vAlign w:val="bottom"/>
            <w:hideMark/>
          </w:tcPr>
          <w:p w14:paraId="0A79F98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0D218E89" w14:textId="77777777" w:rsidTr="00930A25">
        <w:trPr>
          <w:trHeight w:val="264"/>
        </w:trPr>
        <w:tc>
          <w:tcPr>
            <w:tcW w:w="0" w:type="auto"/>
            <w:tcBorders>
              <w:top w:val="nil"/>
              <w:left w:val="nil"/>
              <w:bottom w:val="nil"/>
              <w:right w:val="nil"/>
            </w:tcBorders>
            <w:shd w:val="clear" w:color="000000" w:fill="FFFFFF"/>
            <w:noWrap/>
            <w:vAlign w:val="bottom"/>
            <w:hideMark/>
          </w:tcPr>
          <w:p w14:paraId="0EA7AE79"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51DD035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6D600F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AEFCDD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5CB856D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(0.003)</w:t>
            </w:r>
          </w:p>
        </w:tc>
        <w:tc>
          <w:tcPr>
            <w:tcW w:w="0" w:type="auto"/>
            <w:tcBorders>
              <w:top w:val="nil"/>
              <w:left w:val="nil"/>
              <w:bottom w:val="nil"/>
              <w:right w:val="nil"/>
            </w:tcBorders>
            <w:shd w:val="clear" w:color="000000" w:fill="FFFFFF"/>
            <w:vAlign w:val="bottom"/>
            <w:hideMark/>
          </w:tcPr>
          <w:p w14:paraId="26E9717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4B2D4D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B9D456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(0.004)</w:t>
            </w:r>
          </w:p>
        </w:tc>
        <w:tc>
          <w:tcPr>
            <w:tcW w:w="0" w:type="auto"/>
            <w:tcBorders>
              <w:top w:val="nil"/>
              <w:left w:val="nil"/>
              <w:bottom w:val="nil"/>
              <w:right w:val="nil"/>
            </w:tcBorders>
            <w:shd w:val="clear" w:color="000000" w:fill="FFFFFF"/>
            <w:vAlign w:val="bottom"/>
            <w:hideMark/>
          </w:tcPr>
          <w:p w14:paraId="1B7C6AD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F1AAB1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459204B7" w14:textId="77777777" w:rsidTr="00930A25">
        <w:trPr>
          <w:trHeight w:val="264"/>
        </w:trPr>
        <w:tc>
          <w:tcPr>
            <w:tcW w:w="0" w:type="auto"/>
            <w:tcBorders>
              <w:top w:val="nil"/>
              <w:left w:val="nil"/>
              <w:bottom w:val="nil"/>
              <w:right w:val="nil"/>
            </w:tcBorders>
            <w:shd w:val="clear" w:color="000000" w:fill="FFFFFF"/>
            <w:noWrap/>
            <w:vAlign w:val="bottom"/>
            <w:hideMark/>
          </w:tcPr>
          <w:p w14:paraId="5B65CBB3"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Price relative to 52-week high</w:t>
            </w:r>
          </w:p>
        </w:tc>
        <w:tc>
          <w:tcPr>
            <w:tcW w:w="0" w:type="auto"/>
            <w:tcBorders>
              <w:top w:val="nil"/>
              <w:left w:val="nil"/>
              <w:bottom w:val="nil"/>
              <w:right w:val="nil"/>
            </w:tcBorders>
            <w:shd w:val="clear" w:color="000000" w:fill="FFFFFF"/>
            <w:vAlign w:val="bottom"/>
            <w:hideMark/>
          </w:tcPr>
          <w:p w14:paraId="6B44792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CE7BE6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1815AE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A891AB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-0.504***</w:t>
            </w:r>
          </w:p>
        </w:tc>
        <w:tc>
          <w:tcPr>
            <w:tcW w:w="0" w:type="auto"/>
            <w:tcBorders>
              <w:top w:val="nil"/>
              <w:left w:val="nil"/>
              <w:bottom w:val="nil"/>
              <w:right w:val="nil"/>
            </w:tcBorders>
            <w:shd w:val="clear" w:color="000000" w:fill="FFFFFF"/>
            <w:vAlign w:val="bottom"/>
            <w:hideMark/>
          </w:tcPr>
          <w:p w14:paraId="78D2032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0.60</w:t>
            </w:r>
          </w:p>
        </w:tc>
        <w:tc>
          <w:tcPr>
            <w:tcW w:w="0" w:type="auto"/>
            <w:tcBorders>
              <w:top w:val="nil"/>
              <w:left w:val="nil"/>
              <w:bottom w:val="nil"/>
              <w:right w:val="nil"/>
            </w:tcBorders>
            <w:shd w:val="clear" w:color="000000" w:fill="FFFFFF"/>
            <w:noWrap/>
            <w:vAlign w:val="bottom"/>
            <w:hideMark/>
          </w:tcPr>
          <w:p w14:paraId="2BCF6C3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F78839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-0.355***</w:t>
            </w:r>
          </w:p>
        </w:tc>
        <w:tc>
          <w:tcPr>
            <w:tcW w:w="0" w:type="auto"/>
            <w:tcBorders>
              <w:top w:val="nil"/>
              <w:left w:val="nil"/>
              <w:bottom w:val="nil"/>
              <w:right w:val="nil"/>
            </w:tcBorders>
            <w:shd w:val="clear" w:color="000000" w:fill="FFFFFF"/>
            <w:vAlign w:val="bottom"/>
            <w:hideMark/>
          </w:tcPr>
          <w:p w14:paraId="5D5CA4A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0.70</w:t>
            </w:r>
          </w:p>
        </w:tc>
        <w:tc>
          <w:tcPr>
            <w:tcW w:w="0" w:type="auto"/>
            <w:tcBorders>
              <w:top w:val="nil"/>
              <w:left w:val="nil"/>
              <w:bottom w:val="nil"/>
              <w:right w:val="nil"/>
            </w:tcBorders>
            <w:shd w:val="clear" w:color="000000" w:fill="FFFFFF"/>
            <w:noWrap/>
            <w:vAlign w:val="bottom"/>
            <w:hideMark/>
          </w:tcPr>
          <w:p w14:paraId="4626478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6DE657F3" w14:textId="77777777" w:rsidTr="00930A25">
        <w:trPr>
          <w:trHeight w:val="264"/>
        </w:trPr>
        <w:tc>
          <w:tcPr>
            <w:tcW w:w="0" w:type="auto"/>
            <w:tcBorders>
              <w:top w:val="nil"/>
              <w:left w:val="nil"/>
              <w:bottom w:val="nil"/>
              <w:right w:val="nil"/>
            </w:tcBorders>
            <w:shd w:val="clear" w:color="000000" w:fill="FFFFFF"/>
            <w:noWrap/>
            <w:vAlign w:val="bottom"/>
            <w:hideMark/>
          </w:tcPr>
          <w:p w14:paraId="0DCBCD0E"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5E864D2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149C9E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6D441E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7F0BBE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(0.026)</w:t>
            </w:r>
          </w:p>
        </w:tc>
        <w:tc>
          <w:tcPr>
            <w:tcW w:w="0" w:type="auto"/>
            <w:tcBorders>
              <w:top w:val="nil"/>
              <w:left w:val="nil"/>
              <w:bottom w:val="nil"/>
              <w:right w:val="nil"/>
            </w:tcBorders>
            <w:shd w:val="clear" w:color="000000" w:fill="FFFFFF"/>
            <w:vAlign w:val="bottom"/>
            <w:hideMark/>
          </w:tcPr>
          <w:p w14:paraId="6965018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2F880D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274A2E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(0.039)</w:t>
            </w:r>
          </w:p>
        </w:tc>
        <w:tc>
          <w:tcPr>
            <w:tcW w:w="0" w:type="auto"/>
            <w:tcBorders>
              <w:top w:val="nil"/>
              <w:left w:val="nil"/>
              <w:bottom w:val="nil"/>
              <w:right w:val="nil"/>
            </w:tcBorders>
            <w:shd w:val="clear" w:color="000000" w:fill="FFFFFF"/>
            <w:vAlign w:val="bottom"/>
            <w:hideMark/>
          </w:tcPr>
          <w:p w14:paraId="7F9A8B7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6E4ADA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0A97D637" w14:textId="77777777" w:rsidTr="00930A25">
        <w:trPr>
          <w:trHeight w:val="264"/>
        </w:trPr>
        <w:tc>
          <w:tcPr>
            <w:tcW w:w="0" w:type="auto"/>
            <w:tcBorders>
              <w:top w:val="nil"/>
              <w:left w:val="nil"/>
              <w:bottom w:val="nil"/>
              <w:right w:val="nil"/>
            </w:tcBorders>
            <w:shd w:val="clear" w:color="000000" w:fill="FFFFFF"/>
            <w:noWrap/>
            <w:vAlign w:val="bottom"/>
            <w:hideMark/>
          </w:tcPr>
          <w:p w14:paraId="38C8EA48"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level up/down</w:t>
            </w:r>
          </w:p>
        </w:tc>
        <w:tc>
          <w:tcPr>
            <w:tcW w:w="0" w:type="auto"/>
            <w:tcBorders>
              <w:top w:val="nil"/>
              <w:left w:val="nil"/>
              <w:bottom w:val="nil"/>
              <w:right w:val="nil"/>
            </w:tcBorders>
            <w:shd w:val="clear" w:color="000000" w:fill="FFFFFF"/>
            <w:vAlign w:val="bottom"/>
            <w:hideMark/>
          </w:tcPr>
          <w:p w14:paraId="0ED0A04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4A2832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98DB56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C74E23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-0.088***</w:t>
            </w:r>
          </w:p>
        </w:tc>
        <w:tc>
          <w:tcPr>
            <w:tcW w:w="0" w:type="auto"/>
            <w:tcBorders>
              <w:top w:val="nil"/>
              <w:left w:val="nil"/>
              <w:bottom w:val="nil"/>
              <w:right w:val="nil"/>
            </w:tcBorders>
            <w:shd w:val="clear" w:color="000000" w:fill="FFFFFF"/>
            <w:vAlign w:val="bottom"/>
            <w:hideMark/>
          </w:tcPr>
          <w:p w14:paraId="5B185CB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0.92</w:t>
            </w:r>
          </w:p>
        </w:tc>
        <w:tc>
          <w:tcPr>
            <w:tcW w:w="0" w:type="auto"/>
            <w:tcBorders>
              <w:top w:val="nil"/>
              <w:left w:val="nil"/>
              <w:bottom w:val="nil"/>
              <w:right w:val="nil"/>
            </w:tcBorders>
            <w:shd w:val="clear" w:color="000000" w:fill="FFFFFF"/>
            <w:noWrap/>
            <w:vAlign w:val="bottom"/>
            <w:hideMark/>
          </w:tcPr>
          <w:p w14:paraId="50A9731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FB0B29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-0.013</w:t>
            </w:r>
          </w:p>
        </w:tc>
        <w:tc>
          <w:tcPr>
            <w:tcW w:w="0" w:type="auto"/>
            <w:tcBorders>
              <w:top w:val="nil"/>
              <w:left w:val="nil"/>
              <w:bottom w:val="nil"/>
              <w:right w:val="nil"/>
            </w:tcBorders>
            <w:shd w:val="clear" w:color="000000" w:fill="FFFFFF"/>
            <w:vAlign w:val="bottom"/>
            <w:hideMark/>
          </w:tcPr>
          <w:p w14:paraId="08C0FD8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0.99</w:t>
            </w:r>
          </w:p>
        </w:tc>
        <w:tc>
          <w:tcPr>
            <w:tcW w:w="0" w:type="auto"/>
            <w:tcBorders>
              <w:top w:val="nil"/>
              <w:left w:val="nil"/>
              <w:bottom w:val="nil"/>
              <w:right w:val="nil"/>
            </w:tcBorders>
            <w:shd w:val="clear" w:color="000000" w:fill="FFFFFF"/>
            <w:noWrap/>
            <w:vAlign w:val="bottom"/>
            <w:hideMark/>
          </w:tcPr>
          <w:p w14:paraId="6ECB5C1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 )</w:t>
            </w:r>
          </w:p>
        </w:tc>
      </w:tr>
      <w:tr w:rsidR="00702DBB" w:rsidRPr="00A329A3" w14:paraId="5E756B34" w14:textId="77777777" w:rsidTr="00930A25">
        <w:trPr>
          <w:trHeight w:val="264"/>
        </w:trPr>
        <w:tc>
          <w:tcPr>
            <w:tcW w:w="0" w:type="auto"/>
            <w:tcBorders>
              <w:top w:val="nil"/>
              <w:left w:val="nil"/>
              <w:bottom w:val="nil"/>
              <w:right w:val="nil"/>
            </w:tcBorders>
            <w:shd w:val="clear" w:color="000000" w:fill="FFFFFF"/>
            <w:noWrap/>
            <w:vAlign w:val="bottom"/>
            <w:hideMark/>
          </w:tcPr>
          <w:p w14:paraId="7E01ADF4"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17B6FC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177B6B1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4C78C9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668A09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(0.012)</w:t>
            </w:r>
          </w:p>
        </w:tc>
        <w:tc>
          <w:tcPr>
            <w:tcW w:w="0" w:type="auto"/>
            <w:tcBorders>
              <w:top w:val="nil"/>
              <w:left w:val="nil"/>
              <w:bottom w:val="nil"/>
              <w:right w:val="nil"/>
            </w:tcBorders>
            <w:shd w:val="clear" w:color="000000" w:fill="FFFFFF"/>
            <w:vAlign w:val="bottom"/>
            <w:hideMark/>
          </w:tcPr>
          <w:p w14:paraId="16E6B6A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BFAC63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E921A3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(0.018)</w:t>
            </w:r>
          </w:p>
        </w:tc>
        <w:tc>
          <w:tcPr>
            <w:tcW w:w="0" w:type="auto"/>
            <w:tcBorders>
              <w:top w:val="nil"/>
              <w:left w:val="nil"/>
              <w:bottom w:val="nil"/>
              <w:right w:val="nil"/>
            </w:tcBorders>
            <w:shd w:val="clear" w:color="000000" w:fill="FFFFFF"/>
            <w:vAlign w:val="bottom"/>
            <w:hideMark/>
          </w:tcPr>
          <w:p w14:paraId="5605B18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379B08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21873B0F" w14:textId="77777777" w:rsidTr="00930A25">
        <w:trPr>
          <w:trHeight w:val="420"/>
        </w:trPr>
        <w:tc>
          <w:tcPr>
            <w:tcW w:w="0" w:type="auto"/>
            <w:tcBorders>
              <w:top w:val="nil"/>
              <w:left w:val="nil"/>
              <w:bottom w:val="nil"/>
              <w:right w:val="nil"/>
            </w:tcBorders>
            <w:shd w:val="clear" w:color="000000" w:fill="FFFFFF"/>
            <w:noWrap/>
            <w:vAlign w:val="bottom"/>
            <w:hideMark/>
          </w:tcPr>
          <w:p w14:paraId="6D615934" w14:textId="77777777" w:rsidR="00A329A3" w:rsidRPr="00A329A3" w:rsidRDefault="00A329A3" w:rsidP="00A329A3">
            <w:pPr>
              <w:spacing w:after="0" w:line="240" w:lineRule="auto"/>
              <w:rPr>
                <w:rFonts w:ascii="Century Schoolbook" w:eastAsia="Times New Roman" w:hAnsi="Century Schoolbook" w:cs="Times New Roman"/>
                <w:i/>
                <w:iCs/>
                <w:color w:val="000000"/>
                <w:sz w:val="18"/>
                <w:szCs w:val="18"/>
              </w:rPr>
            </w:pPr>
            <w:r w:rsidRPr="00A329A3">
              <w:rPr>
                <w:rFonts w:ascii="Century Schoolbook" w:eastAsia="Times New Roman" w:hAnsi="Century Schoolbook" w:cs="Times New Roman"/>
                <w:i/>
                <w:iCs/>
                <w:color w:val="000000"/>
                <w:sz w:val="18"/>
                <w:szCs w:val="18"/>
              </w:rPr>
              <w:t>Previous recommendation level</w:t>
            </w:r>
          </w:p>
        </w:tc>
        <w:tc>
          <w:tcPr>
            <w:tcW w:w="0" w:type="auto"/>
            <w:tcBorders>
              <w:top w:val="nil"/>
              <w:left w:val="nil"/>
              <w:bottom w:val="nil"/>
              <w:right w:val="nil"/>
            </w:tcBorders>
            <w:shd w:val="clear" w:color="000000" w:fill="FFFFFF"/>
            <w:vAlign w:val="bottom"/>
            <w:hideMark/>
          </w:tcPr>
          <w:p w14:paraId="4AA8153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D433D4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7933D5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6A4027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CFECE3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639148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6D55A0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1EAC5D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6B464A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3FDD61BD" w14:textId="77777777" w:rsidTr="00930A25">
        <w:trPr>
          <w:trHeight w:val="264"/>
        </w:trPr>
        <w:tc>
          <w:tcPr>
            <w:tcW w:w="0" w:type="auto"/>
            <w:tcBorders>
              <w:top w:val="nil"/>
              <w:left w:val="nil"/>
              <w:bottom w:val="nil"/>
              <w:right w:val="nil"/>
            </w:tcBorders>
            <w:shd w:val="clear" w:color="000000" w:fill="FFFFFF"/>
            <w:noWrap/>
            <w:vAlign w:val="bottom"/>
            <w:hideMark/>
          </w:tcPr>
          <w:p w14:paraId="5BF16BBD"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xml:space="preserve">Last </w:t>
            </w:r>
            <w:proofErr w:type="spellStart"/>
            <w:r w:rsidRPr="00A329A3">
              <w:rPr>
                <w:rFonts w:ascii="Century Schoolbook" w:eastAsia="Times New Roman" w:hAnsi="Century Schoolbook" w:cs="Times New Roman"/>
                <w:color w:val="000000"/>
                <w:sz w:val="18"/>
                <w:szCs w:val="18"/>
              </w:rPr>
              <w:t>recom</w:t>
            </w:r>
            <w:proofErr w:type="spellEnd"/>
            <w:r w:rsidRPr="00A329A3">
              <w:rPr>
                <w:rFonts w:ascii="Century Schoolbook" w:eastAsia="Times New Roman" w:hAnsi="Century Schoolbook" w:cs="Times New Roman"/>
                <w:color w:val="000000"/>
                <w:sz w:val="18"/>
                <w:szCs w:val="18"/>
              </w:rPr>
              <w:t>. = 1 ("Strong buy")</w:t>
            </w:r>
          </w:p>
        </w:tc>
        <w:tc>
          <w:tcPr>
            <w:tcW w:w="0" w:type="auto"/>
            <w:tcBorders>
              <w:top w:val="nil"/>
              <w:left w:val="nil"/>
              <w:bottom w:val="nil"/>
              <w:right w:val="nil"/>
            </w:tcBorders>
            <w:shd w:val="clear" w:color="000000" w:fill="FFFFFF"/>
            <w:vAlign w:val="bottom"/>
            <w:hideMark/>
          </w:tcPr>
          <w:p w14:paraId="57BF21D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-0.059***</w:t>
            </w:r>
          </w:p>
        </w:tc>
        <w:tc>
          <w:tcPr>
            <w:tcW w:w="0" w:type="auto"/>
            <w:tcBorders>
              <w:top w:val="nil"/>
              <w:left w:val="nil"/>
              <w:bottom w:val="nil"/>
              <w:right w:val="nil"/>
            </w:tcBorders>
            <w:shd w:val="clear" w:color="000000" w:fill="FFFFFF"/>
            <w:vAlign w:val="bottom"/>
            <w:hideMark/>
          </w:tcPr>
          <w:p w14:paraId="5A8198A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0.94</w:t>
            </w:r>
          </w:p>
        </w:tc>
        <w:tc>
          <w:tcPr>
            <w:tcW w:w="0" w:type="auto"/>
            <w:tcBorders>
              <w:top w:val="nil"/>
              <w:left w:val="nil"/>
              <w:bottom w:val="nil"/>
              <w:right w:val="nil"/>
            </w:tcBorders>
            <w:shd w:val="clear" w:color="000000" w:fill="FFFFFF"/>
            <w:noWrap/>
            <w:vAlign w:val="bottom"/>
            <w:hideMark/>
          </w:tcPr>
          <w:p w14:paraId="38C957C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1F39D187" w14:textId="6E634D4A" w:rsidR="00A329A3" w:rsidRPr="00A329A3" w:rsidRDefault="007C155A" w:rsidP="00A329A3">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-0.048</w:t>
            </w:r>
            <w:r w:rsidR="00A329A3" w:rsidRPr="00A329A3">
              <w:rPr>
                <w:rFonts w:ascii="Century Schoolbook" w:eastAsia="Times New Roman" w:hAnsi="Century Schoolbook" w:cs="Times New Roman"/>
                <w:color w:val="000000"/>
                <w:sz w:val="18"/>
                <w:szCs w:val="18"/>
              </w:rPr>
              <w:t>***</w:t>
            </w:r>
          </w:p>
        </w:tc>
        <w:tc>
          <w:tcPr>
            <w:tcW w:w="0" w:type="auto"/>
            <w:tcBorders>
              <w:top w:val="nil"/>
              <w:left w:val="nil"/>
              <w:bottom w:val="nil"/>
              <w:right w:val="nil"/>
            </w:tcBorders>
            <w:shd w:val="clear" w:color="000000" w:fill="FFFFFF"/>
            <w:vAlign w:val="bottom"/>
            <w:hideMark/>
          </w:tcPr>
          <w:p w14:paraId="0827E62A" w14:textId="18396D64" w:rsidR="00A329A3" w:rsidRPr="00A329A3" w:rsidRDefault="007C155A" w:rsidP="00A329A3">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0.95</w:t>
            </w:r>
          </w:p>
        </w:tc>
        <w:tc>
          <w:tcPr>
            <w:tcW w:w="0" w:type="auto"/>
            <w:tcBorders>
              <w:top w:val="nil"/>
              <w:left w:val="nil"/>
              <w:bottom w:val="nil"/>
              <w:right w:val="nil"/>
            </w:tcBorders>
            <w:shd w:val="clear" w:color="000000" w:fill="FFFFFF"/>
            <w:noWrap/>
            <w:vAlign w:val="bottom"/>
            <w:hideMark/>
          </w:tcPr>
          <w:p w14:paraId="7DB57C9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367AD5C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-0.016</w:t>
            </w:r>
          </w:p>
        </w:tc>
        <w:tc>
          <w:tcPr>
            <w:tcW w:w="0" w:type="auto"/>
            <w:tcBorders>
              <w:top w:val="nil"/>
              <w:left w:val="nil"/>
              <w:bottom w:val="nil"/>
              <w:right w:val="nil"/>
            </w:tcBorders>
            <w:shd w:val="clear" w:color="000000" w:fill="FFFFFF"/>
            <w:vAlign w:val="bottom"/>
            <w:hideMark/>
          </w:tcPr>
          <w:p w14:paraId="2167EA1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0.99</w:t>
            </w:r>
          </w:p>
        </w:tc>
        <w:tc>
          <w:tcPr>
            <w:tcW w:w="0" w:type="auto"/>
            <w:tcBorders>
              <w:top w:val="nil"/>
              <w:left w:val="nil"/>
              <w:bottom w:val="nil"/>
              <w:right w:val="nil"/>
            </w:tcBorders>
            <w:shd w:val="clear" w:color="000000" w:fill="FFFFFF"/>
            <w:noWrap/>
            <w:vAlign w:val="bottom"/>
            <w:hideMark/>
          </w:tcPr>
          <w:p w14:paraId="2A8B5F8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4190811B" w14:textId="77777777" w:rsidTr="00930A25">
        <w:trPr>
          <w:trHeight w:val="264"/>
        </w:trPr>
        <w:tc>
          <w:tcPr>
            <w:tcW w:w="0" w:type="auto"/>
            <w:tcBorders>
              <w:top w:val="nil"/>
              <w:left w:val="nil"/>
              <w:bottom w:val="nil"/>
              <w:right w:val="nil"/>
            </w:tcBorders>
            <w:shd w:val="clear" w:color="000000" w:fill="FFFFFF"/>
            <w:noWrap/>
            <w:vAlign w:val="bottom"/>
            <w:hideMark/>
          </w:tcPr>
          <w:p w14:paraId="2AFB6E5F"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0AC5FCC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(0.013)</w:t>
            </w:r>
          </w:p>
        </w:tc>
        <w:tc>
          <w:tcPr>
            <w:tcW w:w="0" w:type="auto"/>
            <w:tcBorders>
              <w:top w:val="nil"/>
              <w:left w:val="nil"/>
              <w:bottom w:val="nil"/>
              <w:right w:val="nil"/>
            </w:tcBorders>
            <w:shd w:val="clear" w:color="000000" w:fill="FFFFFF"/>
            <w:vAlign w:val="bottom"/>
            <w:hideMark/>
          </w:tcPr>
          <w:p w14:paraId="687EC54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262A84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DDE9F2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(0.016)</w:t>
            </w:r>
          </w:p>
        </w:tc>
        <w:tc>
          <w:tcPr>
            <w:tcW w:w="0" w:type="auto"/>
            <w:tcBorders>
              <w:top w:val="nil"/>
              <w:left w:val="nil"/>
              <w:bottom w:val="nil"/>
              <w:right w:val="nil"/>
            </w:tcBorders>
            <w:shd w:val="clear" w:color="000000" w:fill="FFFFFF"/>
            <w:vAlign w:val="bottom"/>
            <w:hideMark/>
          </w:tcPr>
          <w:p w14:paraId="608D9D6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3DD1FD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51C1CC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(0.022)</w:t>
            </w:r>
          </w:p>
        </w:tc>
        <w:tc>
          <w:tcPr>
            <w:tcW w:w="0" w:type="auto"/>
            <w:tcBorders>
              <w:top w:val="nil"/>
              <w:left w:val="nil"/>
              <w:bottom w:val="nil"/>
              <w:right w:val="nil"/>
            </w:tcBorders>
            <w:shd w:val="clear" w:color="000000" w:fill="FFFFFF"/>
            <w:vAlign w:val="bottom"/>
            <w:hideMark/>
          </w:tcPr>
          <w:p w14:paraId="6288E0A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820134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76556337" w14:textId="77777777" w:rsidTr="00930A25">
        <w:trPr>
          <w:trHeight w:val="264"/>
        </w:trPr>
        <w:tc>
          <w:tcPr>
            <w:tcW w:w="0" w:type="auto"/>
            <w:tcBorders>
              <w:top w:val="nil"/>
              <w:left w:val="nil"/>
              <w:bottom w:val="nil"/>
              <w:right w:val="nil"/>
            </w:tcBorders>
            <w:shd w:val="clear" w:color="000000" w:fill="FFFFFF"/>
            <w:noWrap/>
            <w:vAlign w:val="bottom"/>
            <w:hideMark/>
          </w:tcPr>
          <w:p w14:paraId="5FB5BB61"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xml:space="preserve">Last </w:t>
            </w:r>
            <w:proofErr w:type="spellStart"/>
            <w:r w:rsidRPr="00A329A3">
              <w:rPr>
                <w:rFonts w:ascii="Century Schoolbook" w:eastAsia="Times New Roman" w:hAnsi="Century Schoolbook" w:cs="Times New Roman"/>
                <w:color w:val="000000"/>
                <w:sz w:val="18"/>
                <w:szCs w:val="18"/>
              </w:rPr>
              <w:t>recom</w:t>
            </w:r>
            <w:proofErr w:type="spellEnd"/>
            <w:r w:rsidRPr="00A329A3">
              <w:rPr>
                <w:rFonts w:ascii="Century Schoolbook" w:eastAsia="Times New Roman" w:hAnsi="Century Schoolbook" w:cs="Times New Roman"/>
                <w:color w:val="000000"/>
                <w:sz w:val="18"/>
                <w:szCs w:val="18"/>
              </w:rPr>
              <w:t>. = 2 ("Buy")</w:t>
            </w:r>
          </w:p>
        </w:tc>
        <w:tc>
          <w:tcPr>
            <w:tcW w:w="0" w:type="auto"/>
            <w:tcBorders>
              <w:top w:val="nil"/>
              <w:left w:val="nil"/>
              <w:bottom w:val="nil"/>
              <w:right w:val="nil"/>
            </w:tcBorders>
            <w:shd w:val="clear" w:color="000000" w:fill="FFFFFF"/>
            <w:vAlign w:val="bottom"/>
            <w:hideMark/>
          </w:tcPr>
          <w:p w14:paraId="59E2588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0.042***</w:t>
            </w:r>
          </w:p>
        </w:tc>
        <w:tc>
          <w:tcPr>
            <w:tcW w:w="0" w:type="auto"/>
            <w:tcBorders>
              <w:top w:val="nil"/>
              <w:left w:val="nil"/>
              <w:bottom w:val="nil"/>
              <w:right w:val="nil"/>
            </w:tcBorders>
            <w:shd w:val="clear" w:color="000000" w:fill="FFFFFF"/>
            <w:vAlign w:val="bottom"/>
            <w:hideMark/>
          </w:tcPr>
          <w:p w14:paraId="5B6ACFD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1.04</w:t>
            </w:r>
          </w:p>
        </w:tc>
        <w:tc>
          <w:tcPr>
            <w:tcW w:w="0" w:type="auto"/>
            <w:tcBorders>
              <w:top w:val="nil"/>
              <w:left w:val="nil"/>
              <w:bottom w:val="nil"/>
              <w:right w:val="nil"/>
            </w:tcBorders>
            <w:shd w:val="clear" w:color="000000" w:fill="FFFFFF"/>
            <w:noWrap/>
            <w:vAlign w:val="bottom"/>
            <w:hideMark/>
          </w:tcPr>
          <w:p w14:paraId="2BB3552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19D7676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0.097***</w:t>
            </w:r>
          </w:p>
        </w:tc>
        <w:tc>
          <w:tcPr>
            <w:tcW w:w="0" w:type="auto"/>
            <w:tcBorders>
              <w:top w:val="nil"/>
              <w:left w:val="nil"/>
              <w:bottom w:val="nil"/>
              <w:right w:val="nil"/>
            </w:tcBorders>
            <w:shd w:val="clear" w:color="000000" w:fill="FFFFFF"/>
            <w:vAlign w:val="bottom"/>
            <w:hideMark/>
          </w:tcPr>
          <w:p w14:paraId="77A7B6C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1.10</w:t>
            </w:r>
          </w:p>
        </w:tc>
        <w:tc>
          <w:tcPr>
            <w:tcW w:w="0" w:type="auto"/>
            <w:tcBorders>
              <w:top w:val="nil"/>
              <w:left w:val="nil"/>
              <w:bottom w:val="nil"/>
              <w:right w:val="nil"/>
            </w:tcBorders>
            <w:shd w:val="clear" w:color="000000" w:fill="FFFFFF"/>
            <w:noWrap/>
            <w:vAlign w:val="bottom"/>
            <w:hideMark/>
          </w:tcPr>
          <w:p w14:paraId="781B1B7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42F9D97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0.016</w:t>
            </w:r>
          </w:p>
        </w:tc>
        <w:tc>
          <w:tcPr>
            <w:tcW w:w="0" w:type="auto"/>
            <w:tcBorders>
              <w:top w:val="nil"/>
              <w:left w:val="nil"/>
              <w:bottom w:val="nil"/>
              <w:right w:val="nil"/>
            </w:tcBorders>
            <w:shd w:val="clear" w:color="000000" w:fill="FFFFFF"/>
            <w:vAlign w:val="bottom"/>
            <w:hideMark/>
          </w:tcPr>
          <w:p w14:paraId="06192C8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1.02</w:t>
            </w:r>
          </w:p>
        </w:tc>
        <w:tc>
          <w:tcPr>
            <w:tcW w:w="0" w:type="auto"/>
            <w:tcBorders>
              <w:top w:val="nil"/>
              <w:left w:val="nil"/>
              <w:bottom w:val="nil"/>
              <w:right w:val="nil"/>
            </w:tcBorders>
            <w:shd w:val="clear" w:color="000000" w:fill="FFFFFF"/>
            <w:noWrap/>
            <w:vAlign w:val="bottom"/>
            <w:hideMark/>
          </w:tcPr>
          <w:p w14:paraId="0ECD557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38CEA396" w14:textId="77777777" w:rsidTr="00930A25">
        <w:trPr>
          <w:trHeight w:val="264"/>
        </w:trPr>
        <w:tc>
          <w:tcPr>
            <w:tcW w:w="0" w:type="auto"/>
            <w:tcBorders>
              <w:top w:val="nil"/>
              <w:left w:val="nil"/>
              <w:bottom w:val="nil"/>
              <w:right w:val="nil"/>
            </w:tcBorders>
            <w:shd w:val="clear" w:color="000000" w:fill="FFFFFF"/>
            <w:noWrap/>
            <w:vAlign w:val="bottom"/>
            <w:hideMark/>
          </w:tcPr>
          <w:p w14:paraId="44CC27C5"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671E94E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(0.013)</w:t>
            </w:r>
          </w:p>
        </w:tc>
        <w:tc>
          <w:tcPr>
            <w:tcW w:w="0" w:type="auto"/>
            <w:tcBorders>
              <w:top w:val="nil"/>
              <w:left w:val="nil"/>
              <w:bottom w:val="nil"/>
              <w:right w:val="nil"/>
            </w:tcBorders>
            <w:shd w:val="clear" w:color="000000" w:fill="FFFFFF"/>
            <w:vAlign w:val="bottom"/>
            <w:hideMark/>
          </w:tcPr>
          <w:p w14:paraId="1B42F75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317E93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775B0C04"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(0.016)</w:t>
            </w:r>
          </w:p>
        </w:tc>
        <w:tc>
          <w:tcPr>
            <w:tcW w:w="0" w:type="auto"/>
            <w:tcBorders>
              <w:top w:val="nil"/>
              <w:left w:val="nil"/>
              <w:bottom w:val="nil"/>
              <w:right w:val="nil"/>
            </w:tcBorders>
            <w:shd w:val="clear" w:color="000000" w:fill="FFFFFF"/>
            <w:vAlign w:val="bottom"/>
            <w:hideMark/>
          </w:tcPr>
          <w:p w14:paraId="7AE8ED4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54E30E4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vAlign w:val="bottom"/>
            <w:hideMark/>
          </w:tcPr>
          <w:p w14:paraId="25A701F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(0.021)</w:t>
            </w:r>
          </w:p>
        </w:tc>
        <w:tc>
          <w:tcPr>
            <w:tcW w:w="0" w:type="auto"/>
            <w:tcBorders>
              <w:top w:val="nil"/>
              <w:left w:val="nil"/>
              <w:bottom w:val="nil"/>
              <w:right w:val="nil"/>
            </w:tcBorders>
            <w:shd w:val="clear" w:color="000000" w:fill="FFFFFF"/>
            <w:vAlign w:val="bottom"/>
            <w:hideMark/>
          </w:tcPr>
          <w:p w14:paraId="13037AF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78FF5A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62F2D022" w14:textId="77777777" w:rsidTr="00930A25">
        <w:trPr>
          <w:trHeight w:val="264"/>
        </w:trPr>
        <w:tc>
          <w:tcPr>
            <w:tcW w:w="0" w:type="auto"/>
            <w:tcBorders>
              <w:top w:val="nil"/>
              <w:left w:val="nil"/>
              <w:right w:val="nil"/>
            </w:tcBorders>
            <w:shd w:val="clear" w:color="000000" w:fill="FFFFFF"/>
            <w:noWrap/>
            <w:vAlign w:val="bottom"/>
            <w:hideMark/>
          </w:tcPr>
          <w:p w14:paraId="6A668EA0"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xml:space="preserve">Last </w:t>
            </w:r>
            <w:proofErr w:type="spellStart"/>
            <w:r w:rsidRPr="00A329A3">
              <w:rPr>
                <w:rFonts w:ascii="Century Schoolbook" w:eastAsia="Times New Roman" w:hAnsi="Century Schoolbook" w:cs="Times New Roman"/>
                <w:color w:val="000000"/>
                <w:sz w:val="18"/>
                <w:szCs w:val="18"/>
              </w:rPr>
              <w:t>recom</w:t>
            </w:r>
            <w:proofErr w:type="spellEnd"/>
            <w:r w:rsidRPr="00A329A3">
              <w:rPr>
                <w:rFonts w:ascii="Century Schoolbook" w:eastAsia="Times New Roman" w:hAnsi="Century Schoolbook" w:cs="Times New Roman"/>
                <w:color w:val="000000"/>
                <w:sz w:val="18"/>
                <w:szCs w:val="18"/>
              </w:rPr>
              <w:t>. = 4 ("Sell")</w:t>
            </w:r>
          </w:p>
        </w:tc>
        <w:tc>
          <w:tcPr>
            <w:tcW w:w="0" w:type="auto"/>
            <w:tcBorders>
              <w:top w:val="nil"/>
              <w:left w:val="nil"/>
              <w:right w:val="nil"/>
            </w:tcBorders>
            <w:shd w:val="clear" w:color="000000" w:fill="FFFFFF"/>
            <w:vAlign w:val="bottom"/>
            <w:hideMark/>
          </w:tcPr>
          <w:p w14:paraId="7B7A87D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0.394***</w:t>
            </w:r>
          </w:p>
        </w:tc>
        <w:tc>
          <w:tcPr>
            <w:tcW w:w="0" w:type="auto"/>
            <w:tcBorders>
              <w:top w:val="nil"/>
              <w:left w:val="nil"/>
              <w:right w:val="nil"/>
            </w:tcBorders>
            <w:shd w:val="clear" w:color="000000" w:fill="FFFFFF"/>
            <w:vAlign w:val="bottom"/>
            <w:hideMark/>
          </w:tcPr>
          <w:p w14:paraId="26BAE6C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1.48</w:t>
            </w:r>
          </w:p>
        </w:tc>
        <w:tc>
          <w:tcPr>
            <w:tcW w:w="0" w:type="auto"/>
            <w:tcBorders>
              <w:top w:val="nil"/>
              <w:left w:val="nil"/>
              <w:right w:val="nil"/>
            </w:tcBorders>
            <w:shd w:val="clear" w:color="000000" w:fill="FFFFFF"/>
            <w:noWrap/>
            <w:vAlign w:val="bottom"/>
            <w:hideMark/>
          </w:tcPr>
          <w:p w14:paraId="6B352541"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right w:val="nil"/>
            </w:tcBorders>
            <w:shd w:val="clear" w:color="000000" w:fill="FFFFFF"/>
            <w:vAlign w:val="bottom"/>
            <w:hideMark/>
          </w:tcPr>
          <w:p w14:paraId="70E3263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0.441***</w:t>
            </w:r>
          </w:p>
        </w:tc>
        <w:tc>
          <w:tcPr>
            <w:tcW w:w="0" w:type="auto"/>
            <w:tcBorders>
              <w:top w:val="nil"/>
              <w:left w:val="nil"/>
              <w:right w:val="nil"/>
            </w:tcBorders>
            <w:shd w:val="clear" w:color="000000" w:fill="FFFFFF"/>
            <w:vAlign w:val="bottom"/>
            <w:hideMark/>
          </w:tcPr>
          <w:p w14:paraId="553D487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1.56</w:t>
            </w:r>
          </w:p>
        </w:tc>
        <w:tc>
          <w:tcPr>
            <w:tcW w:w="0" w:type="auto"/>
            <w:tcBorders>
              <w:top w:val="nil"/>
              <w:left w:val="nil"/>
              <w:right w:val="nil"/>
            </w:tcBorders>
            <w:shd w:val="clear" w:color="000000" w:fill="FFFFFF"/>
            <w:noWrap/>
            <w:vAlign w:val="bottom"/>
            <w:hideMark/>
          </w:tcPr>
          <w:p w14:paraId="2B120A9F"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right w:val="nil"/>
            </w:tcBorders>
            <w:shd w:val="clear" w:color="000000" w:fill="FFFFFF"/>
            <w:vAlign w:val="bottom"/>
            <w:hideMark/>
          </w:tcPr>
          <w:p w14:paraId="6E2E463B"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0.449***</w:t>
            </w:r>
          </w:p>
        </w:tc>
        <w:tc>
          <w:tcPr>
            <w:tcW w:w="0" w:type="auto"/>
            <w:tcBorders>
              <w:top w:val="nil"/>
              <w:left w:val="nil"/>
              <w:right w:val="nil"/>
            </w:tcBorders>
            <w:shd w:val="clear" w:color="000000" w:fill="FFFFFF"/>
            <w:vAlign w:val="bottom"/>
            <w:hideMark/>
          </w:tcPr>
          <w:p w14:paraId="004948C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1.57</w:t>
            </w:r>
          </w:p>
        </w:tc>
        <w:tc>
          <w:tcPr>
            <w:tcW w:w="0" w:type="auto"/>
            <w:tcBorders>
              <w:top w:val="nil"/>
              <w:left w:val="nil"/>
              <w:right w:val="nil"/>
            </w:tcBorders>
            <w:shd w:val="clear" w:color="000000" w:fill="FFFFFF"/>
            <w:noWrap/>
            <w:vAlign w:val="bottom"/>
            <w:hideMark/>
          </w:tcPr>
          <w:p w14:paraId="167A0A8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1F3111FC" w14:textId="77777777" w:rsidTr="00930A25">
        <w:trPr>
          <w:trHeight w:val="264"/>
        </w:trPr>
        <w:tc>
          <w:tcPr>
            <w:tcW w:w="0" w:type="auto"/>
            <w:tcBorders>
              <w:top w:val="nil"/>
              <w:left w:val="nil"/>
              <w:right w:val="nil"/>
            </w:tcBorders>
            <w:shd w:val="clear" w:color="000000" w:fill="FFFFFF"/>
            <w:noWrap/>
            <w:vAlign w:val="bottom"/>
            <w:hideMark/>
          </w:tcPr>
          <w:p w14:paraId="18279090"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right w:val="nil"/>
            </w:tcBorders>
            <w:shd w:val="clear" w:color="000000" w:fill="FFFFFF"/>
            <w:vAlign w:val="bottom"/>
            <w:hideMark/>
          </w:tcPr>
          <w:p w14:paraId="40E192B2"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(0.056)</w:t>
            </w:r>
          </w:p>
        </w:tc>
        <w:tc>
          <w:tcPr>
            <w:tcW w:w="0" w:type="auto"/>
            <w:tcBorders>
              <w:top w:val="nil"/>
              <w:left w:val="nil"/>
              <w:right w:val="nil"/>
            </w:tcBorders>
            <w:shd w:val="clear" w:color="000000" w:fill="FFFFFF"/>
            <w:vAlign w:val="bottom"/>
            <w:hideMark/>
          </w:tcPr>
          <w:p w14:paraId="28C57AD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right w:val="nil"/>
            </w:tcBorders>
            <w:shd w:val="clear" w:color="000000" w:fill="FFFFFF"/>
            <w:noWrap/>
            <w:vAlign w:val="bottom"/>
            <w:hideMark/>
          </w:tcPr>
          <w:p w14:paraId="3B06BBE9"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right w:val="nil"/>
            </w:tcBorders>
            <w:shd w:val="clear" w:color="000000" w:fill="FFFFFF"/>
            <w:vAlign w:val="bottom"/>
            <w:hideMark/>
          </w:tcPr>
          <w:p w14:paraId="0C63B4C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(0.066)</w:t>
            </w:r>
          </w:p>
        </w:tc>
        <w:tc>
          <w:tcPr>
            <w:tcW w:w="0" w:type="auto"/>
            <w:tcBorders>
              <w:top w:val="nil"/>
              <w:left w:val="nil"/>
              <w:right w:val="nil"/>
            </w:tcBorders>
            <w:shd w:val="clear" w:color="000000" w:fill="FFFFFF"/>
            <w:vAlign w:val="bottom"/>
            <w:hideMark/>
          </w:tcPr>
          <w:p w14:paraId="681A4B8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right w:val="nil"/>
            </w:tcBorders>
            <w:shd w:val="clear" w:color="000000" w:fill="FFFFFF"/>
            <w:noWrap/>
            <w:vAlign w:val="bottom"/>
            <w:hideMark/>
          </w:tcPr>
          <w:p w14:paraId="53D00D6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right w:val="nil"/>
            </w:tcBorders>
            <w:shd w:val="clear" w:color="000000" w:fill="FFFFFF"/>
            <w:vAlign w:val="bottom"/>
            <w:hideMark/>
          </w:tcPr>
          <w:p w14:paraId="6F9DF077"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(0.079)</w:t>
            </w:r>
          </w:p>
        </w:tc>
        <w:tc>
          <w:tcPr>
            <w:tcW w:w="0" w:type="auto"/>
            <w:tcBorders>
              <w:top w:val="nil"/>
              <w:left w:val="nil"/>
              <w:right w:val="nil"/>
            </w:tcBorders>
            <w:shd w:val="clear" w:color="000000" w:fill="FFFFFF"/>
            <w:vAlign w:val="bottom"/>
            <w:hideMark/>
          </w:tcPr>
          <w:p w14:paraId="191F083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c>
          <w:tcPr>
            <w:tcW w:w="0" w:type="auto"/>
            <w:tcBorders>
              <w:top w:val="nil"/>
              <w:left w:val="nil"/>
              <w:right w:val="nil"/>
            </w:tcBorders>
            <w:shd w:val="clear" w:color="000000" w:fill="FFFFFF"/>
            <w:noWrap/>
            <w:vAlign w:val="bottom"/>
            <w:hideMark/>
          </w:tcPr>
          <w:p w14:paraId="568AA036"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w:t>
            </w:r>
          </w:p>
        </w:tc>
      </w:tr>
      <w:tr w:rsidR="00702DBB" w:rsidRPr="00A329A3" w14:paraId="2C0881E4" w14:textId="77777777" w:rsidTr="00930A25">
        <w:trPr>
          <w:trHeight w:val="264"/>
        </w:trPr>
        <w:tc>
          <w:tcPr>
            <w:tcW w:w="0" w:type="auto"/>
            <w:tcBorders>
              <w:left w:val="nil"/>
              <w:bottom w:val="single" w:sz="4" w:space="0" w:color="auto"/>
              <w:right w:val="nil"/>
            </w:tcBorders>
            <w:shd w:val="clear" w:color="000000" w:fill="FFFFFF"/>
            <w:noWrap/>
            <w:vAlign w:val="bottom"/>
          </w:tcPr>
          <w:p w14:paraId="0FC4F106" w14:textId="77777777" w:rsidR="00A329A3" w:rsidRPr="00A329A3" w:rsidRDefault="00A329A3" w:rsidP="00A329A3">
            <w:pPr>
              <w:spacing w:after="0" w:line="240" w:lineRule="auto"/>
              <w:rPr>
                <w:rFonts w:ascii="Century Schoolbook" w:eastAsia="Times New Roman" w:hAnsi="Century Schoolbook" w:cs="Times New Roman"/>
                <w:color w:val="000000"/>
                <w:sz w:val="18"/>
                <w:szCs w:val="18"/>
              </w:rPr>
            </w:pPr>
          </w:p>
        </w:tc>
        <w:tc>
          <w:tcPr>
            <w:tcW w:w="0" w:type="auto"/>
            <w:tcBorders>
              <w:left w:val="nil"/>
              <w:bottom w:val="single" w:sz="4" w:space="0" w:color="auto"/>
              <w:right w:val="nil"/>
            </w:tcBorders>
            <w:shd w:val="clear" w:color="000000" w:fill="FFFFFF"/>
            <w:vAlign w:val="bottom"/>
          </w:tcPr>
          <w:p w14:paraId="115F3558"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0" w:type="auto"/>
            <w:tcBorders>
              <w:left w:val="nil"/>
              <w:bottom w:val="single" w:sz="4" w:space="0" w:color="auto"/>
              <w:right w:val="nil"/>
            </w:tcBorders>
            <w:shd w:val="clear" w:color="000000" w:fill="FFFFFF"/>
            <w:vAlign w:val="bottom"/>
          </w:tcPr>
          <w:p w14:paraId="0C8E335C"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0" w:type="auto"/>
            <w:tcBorders>
              <w:left w:val="nil"/>
              <w:bottom w:val="single" w:sz="4" w:space="0" w:color="auto"/>
              <w:right w:val="nil"/>
            </w:tcBorders>
            <w:shd w:val="clear" w:color="000000" w:fill="FFFFFF"/>
            <w:noWrap/>
            <w:vAlign w:val="bottom"/>
          </w:tcPr>
          <w:p w14:paraId="4655015A"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0" w:type="auto"/>
            <w:tcBorders>
              <w:left w:val="nil"/>
              <w:bottom w:val="single" w:sz="4" w:space="0" w:color="auto"/>
              <w:right w:val="nil"/>
            </w:tcBorders>
            <w:shd w:val="clear" w:color="000000" w:fill="FFFFFF"/>
            <w:vAlign w:val="bottom"/>
          </w:tcPr>
          <w:p w14:paraId="4621A4A0"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0" w:type="auto"/>
            <w:tcBorders>
              <w:left w:val="nil"/>
              <w:bottom w:val="single" w:sz="4" w:space="0" w:color="auto"/>
              <w:right w:val="nil"/>
            </w:tcBorders>
            <w:shd w:val="clear" w:color="000000" w:fill="FFFFFF"/>
            <w:vAlign w:val="bottom"/>
          </w:tcPr>
          <w:p w14:paraId="13B55A2E"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0" w:type="auto"/>
            <w:tcBorders>
              <w:left w:val="nil"/>
              <w:bottom w:val="single" w:sz="4" w:space="0" w:color="auto"/>
              <w:right w:val="nil"/>
            </w:tcBorders>
            <w:shd w:val="clear" w:color="000000" w:fill="FFFFFF"/>
            <w:noWrap/>
            <w:vAlign w:val="bottom"/>
          </w:tcPr>
          <w:p w14:paraId="2F515833"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0" w:type="auto"/>
            <w:tcBorders>
              <w:left w:val="nil"/>
              <w:bottom w:val="single" w:sz="4" w:space="0" w:color="auto"/>
              <w:right w:val="nil"/>
            </w:tcBorders>
            <w:shd w:val="clear" w:color="000000" w:fill="FFFFFF"/>
            <w:vAlign w:val="bottom"/>
          </w:tcPr>
          <w:p w14:paraId="5EB16CE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0" w:type="auto"/>
            <w:tcBorders>
              <w:left w:val="nil"/>
              <w:bottom w:val="single" w:sz="4" w:space="0" w:color="auto"/>
              <w:right w:val="nil"/>
            </w:tcBorders>
            <w:shd w:val="clear" w:color="000000" w:fill="FFFFFF"/>
            <w:vAlign w:val="bottom"/>
          </w:tcPr>
          <w:p w14:paraId="57AC961D"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p>
        </w:tc>
        <w:tc>
          <w:tcPr>
            <w:tcW w:w="0" w:type="auto"/>
            <w:tcBorders>
              <w:left w:val="nil"/>
              <w:bottom w:val="single" w:sz="4" w:space="0" w:color="auto"/>
              <w:right w:val="nil"/>
            </w:tcBorders>
            <w:shd w:val="clear" w:color="000000" w:fill="FFFFFF"/>
            <w:noWrap/>
            <w:vAlign w:val="bottom"/>
          </w:tcPr>
          <w:p w14:paraId="1307C475" w14:textId="77777777" w:rsidR="00A329A3" w:rsidRPr="00A329A3" w:rsidRDefault="00A329A3" w:rsidP="00A329A3">
            <w:pPr>
              <w:spacing w:after="0" w:line="240" w:lineRule="auto"/>
              <w:jc w:val="center"/>
              <w:rPr>
                <w:rFonts w:ascii="Century Schoolbook" w:eastAsia="Times New Roman" w:hAnsi="Century Schoolbook" w:cs="Times New Roman"/>
                <w:color w:val="000000"/>
                <w:sz w:val="18"/>
                <w:szCs w:val="18"/>
              </w:rPr>
            </w:pPr>
          </w:p>
        </w:tc>
      </w:tr>
      <w:tr w:rsidR="00930A25" w:rsidRPr="00A329A3" w14:paraId="66A6AC79" w14:textId="77777777" w:rsidTr="00930A25">
        <w:trPr>
          <w:trHeight w:val="288"/>
        </w:trPr>
        <w:tc>
          <w:tcPr>
            <w:tcW w:w="0" w:type="auto"/>
            <w:tcBorders>
              <w:top w:val="nil"/>
              <w:left w:val="nil"/>
              <w:bottom w:val="nil"/>
              <w:right w:val="nil"/>
            </w:tcBorders>
            <w:shd w:val="clear" w:color="000000" w:fill="FFFFFF"/>
            <w:noWrap/>
            <w:vAlign w:val="bottom"/>
          </w:tcPr>
          <w:p w14:paraId="4848D2B9" w14:textId="52D1A7D6" w:rsidR="00930A25" w:rsidRPr="00A329A3" w:rsidRDefault="00930A25" w:rsidP="00930A25">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Year-fixed effects</w:t>
            </w:r>
          </w:p>
        </w:tc>
        <w:tc>
          <w:tcPr>
            <w:tcW w:w="0" w:type="auto"/>
            <w:gridSpan w:val="2"/>
            <w:tcBorders>
              <w:top w:val="nil"/>
              <w:left w:val="nil"/>
              <w:bottom w:val="nil"/>
              <w:right w:val="nil"/>
            </w:tcBorders>
            <w:shd w:val="clear" w:color="000000" w:fill="FFFFFF"/>
            <w:vAlign w:val="bottom"/>
          </w:tcPr>
          <w:p w14:paraId="2CC8E3DE" w14:textId="502095D5" w:rsidR="00930A25" w:rsidRPr="00A329A3" w:rsidRDefault="00930A25" w:rsidP="00930A25">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0" w:type="auto"/>
            <w:tcBorders>
              <w:top w:val="nil"/>
              <w:left w:val="nil"/>
              <w:bottom w:val="nil"/>
              <w:right w:val="nil"/>
            </w:tcBorders>
            <w:shd w:val="clear" w:color="000000" w:fill="FFFFFF"/>
            <w:noWrap/>
            <w:vAlign w:val="bottom"/>
          </w:tcPr>
          <w:p w14:paraId="31DA7B44" w14:textId="77777777"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nil"/>
              <w:right w:val="nil"/>
            </w:tcBorders>
            <w:shd w:val="clear" w:color="000000" w:fill="FFFFFF"/>
            <w:vAlign w:val="bottom"/>
          </w:tcPr>
          <w:p w14:paraId="25B79B59" w14:textId="0D20E519" w:rsidR="00930A25" w:rsidRPr="00A329A3" w:rsidRDefault="00930A25" w:rsidP="00930A25">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0" w:type="auto"/>
            <w:tcBorders>
              <w:top w:val="nil"/>
              <w:left w:val="nil"/>
              <w:bottom w:val="nil"/>
              <w:right w:val="nil"/>
            </w:tcBorders>
            <w:shd w:val="clear" w:color="000000" w:fill="FFFFFF"/>
            <w:noWrap/>
            <w:vAlign w:val="bottom"/>
          </w:tcPr>
          <w:p w14:paraId="0FCF6F4A" w14:textId="77777777"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nil"/>
              <w:right w:val="nil"/>
            </w:tcBorders>
            <w:shd w:val="clear" w:color="000000" w:fill="FFFFFF"/>
            <w:vAlign w:val="bottom"/>
          </w:tcPr>
          <w:p w14:paraId="23ED2813" w14:textId="4201A5F5" w:rsidR="00930A25" w:rsidRPr="00A329A3" w:rsidRDefault="00930A25" w:rsidP="00930A25">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0" w:type="auto"/>
            <w:tcBorders>
              <w:top w:val="nil"/>
              <w:left w:val="nil"/>
              <w:bottom w:val="nil"/>
              <w:right w:val="nil"/>
            </w:tcBorders>
            <w:shd w:val="clear" w:color="000000" w:fill="FFFFFF"/>
            <w:noWrap/>
            <w:vAlign w:val="bottom"/>
          </w:tcPr>
          <w:p w14:paraId="5C273199" w14:textId="77777777"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r>
      <w:tr w:rsidR="00930A25" w:rsidRPr="00A329A3" w14:paraId="17359245" w14:textId="77777777" w:rsidTr="00930A25">
        <w:trPr>
          <w:trHeight w:val="288"/>
        </w:trPr>
        <w:tc>
          <w:tcPr>
            <w:tcW w:w="0" w:type="auto"/>
            <w:tcBorders>
              <w:top w:val="nil"/>
              <w:left w:val="nil"/>
              <w:bottom w:val="nil"/>
              <w:right w:val="nil"/>
            </w:tcBorders>
            <w:shd w:val="clear" w:color="000000" w:fill="FFFFFF"/>
            <w:noWrap/>
            <w:vAlign w:val="bottom"/>
          </w:tcPr>
          <w:p w14:paraId="637B06B8" w14:textId="5448727B" w:rsidR="00930A25" w:rsidRPr="00A329A3" w:rsidRDefault="00930A25" w:rsidP="00930A25">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Analyst-random effects</w:t>
            </w:r>
          </w:p>
        </w:tc>
        <w:tc>
          <w:tcPr>
            <w:tcW w:w="0" w:type="auto"/>
            <w:gridSpan w:val="2"/>
            <w:tcBorders>
              <w:top w:val="nil"/>
              <w:left w:val="nil"/>
              <w:bottom w:val="nil"/>
              <w:right w:val="nil"/>
            </w:tcBorders>
            <w:shd w:val="clear" w:color="000000" w:fill="FFFFFF"/>
            <w:vAlign w:val="bottom"/>
          </w:tcPr>
          <w:p w14:paraId="01BDA2C7" w14:textId="7A5CC7A6" w:rsidR="00930A25" w:rsidRPr="00A329A3" w:rsidRDefault="00930A25" w:rsidP="00930A25">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0" w:type="auto"/>
            <w:tcBorders>
              <w:top w:val="nil"/>
              <w:left w:val="nil"/>
              <w:bottom w:val="nil"/>
              <w:right w:val="nil"/>
            </w:tcBorders>
            <w:shd w:val="clear" w:color="000000" w:fill="FFFFFF"/>
            <w:noWrap/>
            <w:vAlign w:val="bottom"/>
          </w:tcPr>
          <w:p w14:paraId="631A6F47" w14:textId="77777777"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nil"/>
              <w:right w:val="nil"/>
            </w:tcBorders>
            <w:shd w:val="clear" w:color="000000" w:fill="FFFFFF"/>
            <w:vAlign w:val="bottom"/>
          </w:tcPr>
          <w:p w14:paraId="082BDF79" w14:textId="54642BE1" w:rsidR="00930A25" w:rsidRPr="00A329A3" w:rsidRDefault="00930A25" w:rsidP="00930A25">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0" w:type="auto"/>
            <w:tcBorders>
              <w:top w:val="nil"/>
              <w:left w:val="nil"/>
              <w:bottom w:val="nil"/>
              <w:right w:val="nil"/>
            </w:tcBorders>
            <w:shd w:val="clear" w:color="000000" w:fill="FFFFFF"/>
            <w:noWrap/>
            <w:vAlign w:val="bottom"/>
          </w:tcPr>
          <w:p w14:paraId="1628E5EC" w14:textId="77777777"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nil"/>
              <w:right w:val="nil"/>
            </w:tcBorders>
            <w:shd w:val="clear" w:color="000000" w:fill="FFFFFF"/>
            <w:vAlign w:val="bottom"/>
          </w:tcPr>
          <w:p w14:paraId="3A0954B8" w14:textId="21F44B41" w:rsidR="00930A25" w:rsidRPr="00A329A3" w:rsidRDefault="00930A25" w:rsidP="00930A25">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0" w:type="auto"/>
            <w:tcBorders>
              <w:top w:val="nil"/>
              <w:left w:val="nil"/>
              <w:bottom w:val="nil"/>
              <w:right w:val="nil"/>
            </w:tcBorders>
            <w:shd w:val="clear" w:color="000000" w:fill="FFFFFF"/>
            <w:noWrap/>
            <w:vAlign w:val="bottom"/>
          </w:tcPr>
          <w:p w14:paraId="1303E359" w14:textId="77777777"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r>
      <w:tr w:rsidR="00930A25" w:rsidRPr="00A329A3" w14:paraId="57586C3E" w14:textId="77777777" w:rsidTr="00930A25">
        <w:trPr>
          <w:trHeight w:val="288"/>
        </w:trPr>
        <w:tc>
          <w:tcPr>
            <w:tcW w:w="0" w:type="auto"/>
            <w:tcBorders>
              <w:top w:val="nil"/>
              <w:left w:val="nil"/>
              <w:bottom w:val="nil"/>
              <w:right w:val="nil"/>
            </w:tcBorders>
            <w:shd w:val="clear" w:color="000000" w:fill="FFFFFF"/>
            <w:noWrap/>
            <w:vAlign w:val="bottom"/>
            <w:hideMark/>
          </w:tcPr>
          <w:p w14:paraId="6B3AEA21" w14:textId="1DF6CF20"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xml:space="preserve">Log-like ratio: </w:t>
            </w:r>
            <w:r>
              <w:rPr>
                <w:rFonts w:ascii="Century Schoolbook" w:eastAsia="Times New Roman" w:hAnsi="Century Schoolbook" w:cs="Times New Roman"/>
                <w:color w:val="000000"/>
                <w:sz w:val="18"/>
                <w:szCs w:val="18"/>
              </w:rPr>
              <w:t>unrestricted</w:t>
            </w:r>
            <w:r w:rsidRPr="00A329A3">
              <w:rPr>
                <w:rFonts w:ascii="Century Schoolbook" w:eastAsia="Times New Roman" w:hAnsi="Century Schoolbook" w:cs="Times New Roman"/>
                <w:color w:val="000000"/>
                <w:sz w:val="18"/>
                <w:szCs w:val="18"/>
              </w:rPr>
              <w:t xml:space="preserve"> vs. null</w:t>
            </w:r>
          </w:p>
        </w:tc>
        <w:tc>
          <w:tcPr>
            <w:tcW w:w="0" w:type="auto"/>
            <w:gridSpan w:val="2"/>
            <w:tcBorders>
              <w:top w:val="nil"/>
              <w:left w:val="nil"/>
              <w:bottom w:val="nil"/>
              <w:right w:val="nil"/>
            </w:tcBorders>
            <w:shd w:val="clear" w:color="000000" w:fill="FFFFFF"/>
            <w:vAlign w:val="bottom"/>
            <w:hideMark/>
          </w:tcPr>
          <w:p w14:paraId="4E34F1DE" w14:textId="5BB796CB"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916</w:t>
            </w:r>
          </w:p>
        </w:tc>
        <w:tc>
          <w:tcPr>
            <w:tcW w:w="0" w:type="auto"/>
            <w:tcBorders>
              <w:top w:val="nil"/>
              <w:left w:val="nil"/>
              <w:bottom w:val="nil"/>
              <w:right w:val="nil"/>
            </w:tcBorders>
            <w:shd w:val="clear" w:color="000000" w:fill="FFFFFF"/>
            <w:noWrap/>
            <w:vAlign w:val="bottom"/>
            <w:hideMark/>
          </w:tcPr>
          <w:p w14:paraId="602FB17B" w14:textId="2D20DA24"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nil"/>
              <w:right w:val="nil"/>
            </w:tcBorders>
            <w:shd w:val="clear" w:color="000000" w:fill="FFFFFF"/>
            <w:vAlign w:val="bottom"/>
            <w:hideMark/>
          </w:tcPr>
          <w:p w14:paraId="20B8A1BD" w14:textId="605D5C3C"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690</w:t>
            </w:r>
          </w:p>
        </w:tc>
        <w:tc>
          <w:tcPr>
            <w:tcW w:w="0" w:type="auto"/>
            <w:tcBorders>
              <w:top w:val="nil"/>
              <w:left w:val="nil"/>
              <w:bottom w:val="nil"/>
              <w:right w:val="nil"/>
            </w:tcBorders>
            <w:shd w:val="clear" w:color="000000" w:fill="FFFFFF"/>
            <w:noWrap/>
            <w:vAlign w:val="bottom"/>
            <w:hideMark/>
          </w:tcPr>
          <w:p w14:paraId="66219245" w14:textId="78A85CBC"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nil"/>
              <w:right w:val="nil"/>
            </w:tcBorders>
            <w:shd w:val="clear" w:color="000000" w:fill="FFFFFF"/>
            <w:vAlign w:val="bottom"/>
            <w:hideMark/>
          </w:tcPr>
          <w:p w14:paraId="30F54D44" w14:textId="6DFA8A8F"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607</w:t>
            </w:r>
          </w:p>
        </w:tc>
        <w:tc>
          <w:tcPr>
            <w:tcW w:w="0" w:type="auto"/>
            <w:tcBorders>
              <w:top w:val="nil"/>
              <w:left w:val="nil"/>
              <w:bottom w:val="nil"/>
              <w:right w:val="nil"/>
            </w:tcBorders>
            <w:shd w:val="clear" w:color="000000" w:fill="FFFFFF"/>
            <w:noWrap/>
            <w:vAlign w:val="bottom"/>
            <w:hideMark/>
          </w:tcPr>
          <w:p w14:paraId="4DA1E845" w14:textId="3FA2904D"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r>
      <w:tr w:rsidR="00930A25" w:rsidRPr="00A329A3" w14:paraId="4C7AB6CD" w14:textId="77777777" w:rsidTr="00930A25">
        <w:trPr>
          <w:trHeight w:val="288"/>
        </w:trPr>
        <w:tc>
          <w:tcPr>
            <w:tcW w:w="0" w:type="auto"/>
            <w:tcBorders>
              <w:top w:val="nil"/>
              <w:left w:val="nil"/>
              <w:bottom w:val="nil"/>
              <w:right w:val="nil"/>
            </w:tcBorders>
            <w:shd w:val="clear" w:color="000000" w:fill="FFFFFF"/>
            <w:noWrap/>
            <w:vAlign w:val="bottom"/>
            <w:hideMark/>
          </w:tcPr>
          <w:p w14:paraId="763D63CE" w14:textId="77777777"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No observations</w:t>
            </w:r>
          </w:p>
        </w:tc>
        <w:tc>
          <w:tcPr>
            <w:tcW w:w="0" w:type="auto"/>
            <w:gridSpan w:val="2"/>
            <w:tcBorders>
              <w:top w:val="nil"/>
              <w:left w:val="nil"/>
              <w:bottom w:val="nil"/>
              <w:right w:val="nil"/>
            </w:tcBorders>
            <w:shd w:val="clear" w:color="000000" w:fill="FFFFFF"/>
            <w:vAlign w:val="bottom"/>
            <w:hideMark/>
          </w:tcPr>
          <w:p w14:paraId="2C2ADB82" w14:textId="5A86B9A8"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4,982,311</w:t>
            </w:r>
          </w:p>
        </w:tc>
        <w:tc>
          <w:tcPr>
            <w:tcW w:w="0" w:type="auto"/>
            <w:tcBorders>
              <w:top w:val="nil"/>
              <w:left w:val="nil"/>
              <w:bottom w:val="nil"/>
              <w:right w:val="nil"/>
            </w:tcBorders>
            <w:shd w:val="clear" w:color="000000" w:fill="FFFFFF"/>
            <w:noWrap/>
            <w:vAlign w:val="bottom"/>
            <w:hideMark/>
          </w:tcPr>
          <w:p w14:paraId="0333E5DE" w14:textId="7D8D3A25"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nil"/>
              <w:right w:val="nil"/>
            </w:tcBorders>
            <w:shd w:val="clear" w:color="000000" w:fill="FFFFFF"/>
            <w:vAlign w:val="bottom"/>
            <w:hideMark/>
          </w:tcPr>
          <w:p w14:paraId="79062EBE" w14:textId="2DFC8EA9"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3,785,808</w:t>
            </w:r>
          </w:p>
        </w:tc>
        <w:tc>
          <w:tcPr>
            <w:tcW w:w="0" w:type="auto"/>
            <w:tcBorders>
              <w:top w:val="nil"/>
              <w:left w:val="nil"/>
              <w:bottom w:val="nil"/>
              <w:right w:val="nil"/>
            </w:tcBorders>
            <w:shd w:val="clear" w:color="000000" w:fill="FFFFFF"/>
            <w:noWrap/>
            <w:vAlign w:val="bottom"/>
            <w:hideMark/>
          </w:tcPr>
          <w:p w14:paraId="7D3C1899" w14:textId="4CF9AE8E"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nil"/>
              <w:right w:val="nil"/>
            </w:tcBorders>
            <w:shd w:val="clear" w:color="000000" w:fill="FFFFFF"/>
            <w:vAlign w:val="bottom"/>
            <w:hideMark/>
          </w:tcPr>
          <w:p w14:paraId="058893CE" w14:textId="21AA4A2A"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2,154,161</w:t>
            </w:r>
          </w:p>
        </w:tc>
        <w:tc>
          <w:tcPr>
            <w:tcW w:w="0" w:type="auto"/>
            <w:tcBorders>
              <w:top w:val="nil"/>
              <w:left w:val="nil"/>
              <w:bottom w:val="nil"/>
              <w:right w:val="nil"/>
            </w:tcBorders>
            <w:shd w:val="clear" w:color="000000" w:fill="FFFFFF"/>
            <w:noWrap/>
            <w:vAlign w:val="bottom"/>
            <w:hideMark/>
          </w:tcPr>
          <w:p w14:paraId="639B00CD" w14:textId="1CEBF92A"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r>
      <w:tr w:rsidR="00930A25" w:rsidRPr="00A329A3" w14:paraId="4763DA2B" w14:textId="77777777" w:rsidTr="00930A25">
        <w:trPr>
          <w:trHeight w:val="288"/>
        </w:trPr>
        <w:tc>
          <w:tcPr>
            <w:tcW w:w="0" w:type="auto"/>
            <w:tcBorders>
              <w:top w:val="nil"/>
              <w:left w:val="nil"/>
              <w:bottom w:val="double" w:sz="6" w:space="0" w:color="auto"/>
              <w:right w:val="nil"/>
            </w:tcBorders>
            <w:shd w:val="clear" w:color="000000" w:fill="FFFFFF"/>
            <w:noWrap/>
            <w:vAlign w:val="bottom"/>
            <w:hideMark/>
          </w:tcPr>
          <w:p w14:paraId="1AC3B9C1" w14:textId="77777777"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 xml:space="preserve">No of </w:t>
            </w:r>
            <w:proofErr w:type="spellStart"/>
            <w:r w:rsidRPr="00A329A3">
              <w:rPr>
                <w:rFonts w:ascii="Century Schoolbook" w:eastAsia="Times New Roman" w:hAnsi="Century Schoolbook" w:cs="Times New Roman"/>
                <w:color w:val="000000"/>
                <w:sz w:val="18"/>
                <w:szCs w:val="18"/>
              </w:rPr>
              <w:t>recomm</w:t>
            </w:r>
            <w:proofErr w:type="spellEnd"/>
            <w:r w:rsidRPr="00A329A3">
              <w:rPr>
                <w:rFonts w:ascii="Century Schoolbook" w:eastAsia="Times New Roman" w:hAnsi="Century Schoolbook" w:cs="Times New Roman"/>
                <w:color w:val="000000"/>
                <w:sz w:val="18"/>
                <w:szCs w:val="18"/>
              </w:rPr>
              <w:t xml:space="preserve"> changes</w:t>
            </w:r>
          </w:p>
        </w:tc>
        <w:tc>
          <w:tcPr>
            <w:tcW w:w="0" w:type="auto"/>
            <w:gridSpan w:val="2"/>
            <w:tcBorders>
              <w:top w:val="nil"/>
              <w:left w:val="nil"/>
              <w:bottom w:val="double" w:sz="6" w:space="0" w:color="auto"/>
              <w:right w:val="nil"/>
            </w:tcBorders>
            <w:shd w:val="clear" w:color="000000" w:fill="FFFFFF"/>
            <w:vAlign w:val="bottom"/>
            <w:hideMark/>
          </w:tcPr>
          <w:p w14:paraId="61B9EE70" w14:textId="23C273CF"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86,677</w:t>
            </w:r>
          </w:p>
        </w:tc>
        <w:tc>
          <w:tcPr>
            <w:tcW w:w="0" w:type="auto"/>
            <w:tcBorders>
              <w:top w:val="nil"/>
              <w:left w:val="nil"/>
              <w:bottom w:val="double" w:sz="6" w:space="0" w:color="auto"/>
              <w:right w:val="nil"/>
            </w:tcBorders>
            <w:shd w:val="clear" w:color="000000" w:fill="FFFFFF"/>
            <w:noWrap/>
            <w:vAlign w:val="bottom"/>
            <w:hideMark/>
          </w:tcPr>
          <w:p w14:paraId="34FD29E9" w14:textId="75E1A4D6"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double" w:sz="6" w:space="0" w:color="auto"/>
              <w:right w:val="nil"/>
            </w:tcBorders>
            <w:shd w:val="clear" w:color="000000" w:fill="FFFFFF"/>
            <w:vAlign w:val="bottom"/>
            <w:hideMark/>
          </w:tcPr>
          <w:p w14:paraId="6F3DA6B5" w14:textId="6C7DA15F"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73,793</w:t>
            </w:r>
          </w:p>
        </w:tc>
        <w:tc>
          <w:tcPr>
            <w:tcW w:w="0" w:type="auto"/>
            <w:tcBorders>
              <w:top w:val="nil"/>
              <w:left w:val="nil"/>
              <w:bottom w:val="double" w:sz="6" w:space="0" w:color="auto"/>
              <w:right w:val="nil"/>
            </w:tcBorders>
            <w:shd w:val="clear" w:color="000000" w:fill="FFFFFF"/>
            <w:noWrap/>
            <w:vAlign w:val="bottom"/>
            <w:hideMark/>
          </w:tcPr>
          <w:p w14:paraId="2B317081" w14:textId="2AA4AEA0"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c>
          <w:tcPr>
            <w:tcW w:w="0" w:type="auto"/>
            <w:gridSpan w:val="2"/>
            <w:tcBorders>
              <w:top w:val="nil"/>
              <w:left w:val="nil"/>
              <w:bottom w:val="double" w:sz="6" w:space="0" w:color="auto"/>
              <w:right w:val="nil"/>
            </w:tcBorders>
            <w:shd w:val="clear" w:color="000000" w:fill="FFFFFF"/>
            <w:vAlign w:val="bottom"/>
            <w:hideMark/>
          </w:tcPr>
          <w:p w14:paraId="22B5DD5B" w14:textId="0ACC065F" w:rsidR="00930A25" w:rsidRPr="00A329A3" w:rsidRDefault="00930A25" w:rsidP="00930A25">
            <w:pPr>
              <w:spacing w:after="0" w:line="240" w:lineRule="auto"/>
              <w:rPr>
                <w:rFonts w:ascii="Century Schoolbook" w:eastAsia="Times New Roman" w:hAnsi="Century Schoolbook" w:cs="Times New Roman"/>
                <w:color w:val="000000"/>
                <w:sz w:val="18"/>
                <w:szCs w:val="18"/>
              </w:rPr>
            </w:pPr>
            <w:r w:rsidRPr="00A329A3">
              <w:rPr>
                <w:rFonts w:ascii="Century Schoolbook" w:eastAsia="Times New Roman" w:hAnsi="Century Schoolbook" w:cs="Times New Roman"/>
                <w:color w:val="000000"/>
                <w:sz w:val="18"/>
                <w:szCs w:val="18"/>
              </w:rPr>
              <w:t>39,706</w:t>
            </w:r>
          </w:p>
        </w:tc>
        <w:tc>
          <w:tcPr>
            <w:tcW w:w="0" w:type="auto"/>
            <w:tcBorders>
              <w:top w:val="nil"/>
              <w:left w:val="nil"/>
              <w:bottom w:val="double" w:sz="6" w:space="0" w:color="auto"/>
              <w:right w:val="nil"/>
            </w:tcBorders>
            <w:shd w:val="clear" w:color="000000" w:fill="FFFFFF"/>
            <w:noWrap/>
            <w:vAlign w:val="bottom"/>
            <w:hideMark/>
          </w:tcPr>
          <w:p w14:paraId="35F9B364" w14:textId="501D209C" w:rsidR="00930A25" w:rsidRPr="00A329A3" w:rsidRDefault="00930A25" w:rsidP="00930A25">
            <w:pPr>
              <w:spacing w:after="0" w:line="240" w:lineRule="auto"/>
              <w:rPr>
                <w:rFonts w:ascii="Century Schoolbook" w:eastAsia="Times New Roman" w:hAnsi="Century Schoolbook" w:cs="Times New Roman"/>
                <w:color w:val="000000"/>
                <w:sz w:val="18"/>
                <w:szCs w:val="18"/>
              </w:rPr>
            </w:pPr>
          </w:p>
        </w:tc>
      </w:tr>
    </w:tbl>
    <w:p w14:paraId="5F9DF86F" w14:textId="560156AD" w:rsidR="00930A25" w:rsidRDefault="00930A25" w:rsidP="00F770FF">
      <w:pPr>
        <w:rPr>
          <w:sz w:val="16"/>
        </w:rPr>
      </w:pPr>
    </w:p>
    <w:p w14:paraId="0C6702E4" w14:textId="77777777" w:rsidR="00930A25" w:rsidRDefault="00930A25">
      <w:pPr>
        <w:rPr>
          <w:sz w:val="16"/>
        </w:rPr>
      </w:pPr>
      <w:r>
        <w:rPr>
          <w:sz w:val="16"/>
        </w:rPr>
        <w:br w:type="page"/>
      </w:r>
    </w:p>
    <w:p w14:paraId="139B1B0A" w14:textId="77777777" w:rsidR="00F770FF" w:rsidRPr="000F4D18" w:rsidRDefault="00F770FF" w:rsidP="00F770FF">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r w:rsidRPr="000F4D18">
        <w:rPr>
          <w:rFonts w:ascii="Century Schoolbook" w:eastAsia="Times New Roman" w:hAnsi="Century Schoolbook" w:cs="Times New Roman"/>
          <w:b/>
          <w:sz w:val="20"/>
          <w:szCs w:val="20"/>
          <w:lang w:eastAsia="fr-FR"/>
        </w:rPr>
        <w:lastRenderedPageBreak/>
        <w:t xml:space="preserve">Table </w:t>
      </w:r>
      <w:r>
        <w:rPr>
          <w:rFonts w:ascii="Century Schoolbook" w:eastAsia="Times New Roman" w:hAnsi="Century Schoolbook" w:cs="Times New Roman"/>
          <w:b/>
          <w:sz w:val="20"/>
          <w:szCs w:val="20"/>
          <w:lang w:eastAsia="fr-FR"/>
        </w:rPr>
        <w:t>4</w:t>
      </w:r>
    </w:p>
    <w:p w14:paraId="406915D1" w14:textId="76ED8BAC" w:rsidR="00F770FF" w:rsidRPr="000F4D18" w:rsidRDefault="0095227F" w:rsidP="00F770FF">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r>
        <w:rPr>
          <w:rFonts w:ascii="Century Schoolbook" w:eastAsia="Times New Roman" w:hAnsi="Century Schoolbook" w:cs="Times New Roman"/>
          <w:b/>
          <w:i/>
          <w:sz w:val="20"/>
          <w:szCs w:val="20"/>
          <w:lang w:eastAsia="fr-FR"/>
        </w:rPr>
        <w:t>Analyst characteristics and</w:t>
      </w:r>
      <w:r w:rsidR="00F770FF" w:rsidRPr="000F4D18">
        <w:rPr>
          <w:rFonts w:ascii="Century Schoolbook" w:eastAsia="Times New Roman" w:hAnsi="Century Schoolbook" w:cs="Times New Roman"/>
          <w:b/>
          <w:i/>
          <w:sz w:val="20"/>
          <w:szCs w:val="20"/>
          <w:lang w:eastAsia="fr-FR"/>
        </w:rPr>
        <w:t xml:space="preserve"> recommendation </w:t>
      </w:r>
      <w:r w:rsidR="00F770FF">
        <w:rPr>
          <w:rFonts w:ascii="Century Schoolbook" w:eastAsia="Times New Roman" w:hAnsi="Century Schoolbook" w:cs="Times New Roman"/>
          <w:b/>
          <w:i/>
          <w:sz w:val="20"/>
          <w:szCs w:val="20"/>
          <w:lang w:eastAsia="fr-FR"/>
        </w:rPr>
        <w:t>speed-style</w:t>
      </w:r>
    </w:p>
    <w:p w14:paraId="72DABBA9" w14:textId="77777777" w:rsidR="00AD785D" w:rsidRPr="00AD785D" w:rsidRDefault="00AD785D" w:rsidP="00F770FF">
      <w:pPr>
        <w:autoSpaceDE w:val="0"/>
        <w:autoSpaceDN w:val="0"/>
        <w:adjustRightInd w:val="0"/>
        <w:spacing w:after="0"/>
        <w:jc w:val="both"/>
        <w:rPr>
          <w:rFonts w:ascii="Century Schoolbook" w:eastAsia="Times New Roman" w:hAnsi="Century Schoolbook" w:cs="Times New Roman"/>
          <w:sz w:val="12"/>
          <w:szCs w:val="21"/>
          <w:lang w:eastAsia="fr-FR"/>
        </w:rPr>
      </w:pPr>
    </w:p>
    <w:p w14:paraId="5810AA1A" w14:textId="5E1F53B2" w:rsidR="00F770FF" w:rsidRPr="00F24E35" w:rsidRDefault="00F770FF" w:rsidP="00F770FF">
      <w:pPr>
        <w:autoSpaceDE w:val="0"/>
        <w:autoSpaceDN w:val="0"/>
        <w:adjustRightInd w:val="0"/>
        <w:spacing w:after="0"/>
        <w:jc w:val="both"/>
        <w:rPr>
          <w:rFonts w:ascii="Century Schoolbook" w:eastAsia="Times New Roman" w:hAnsi="Century Schoolbook" w:cs="Times New Roman"/>
          <w:sz w:val="21"/>
          <w:szCs w:val="21"/>
          <w:lang w:eastAsia="fr-FR"/>
        </w:rPr>
      </w:pPr>
      <w:r w:rsidRPr="00F24E35">
        <w:rPr>
          <w:rFonts w:ascii="Century Schoolbook" w:eastAsia="Times New Roman" w:hAnsi="Century Schoolbook" w:cs="Times New Roman"/>
          <w:sz w:val="21"/>
          <w:szCs w:val="21"/>
          <w:lang w:eastAsia="fr-FR"/>
        </w:rPr>
        <w:t xml:space="preserve">We report estimation results from a logistic </w:t>
      </w:r>
      <w:r w:rsidR="008E1113" w:rsidRPr="00F24E35">
        <w:rPr>
          <w:rFonts w:ascii="Century Schoolbook" w:eastAsia="Times New Roman" w:hAnsi="Century Schoolbook" w:cs="Times New Roman"/>
          <w:sz w:val="21"/>
          <w:szCs w:val="21"/>
          <w:lang w:eastAsia="fr-FR"/>
        </w:rPr>
        <w:t xml:space="preserve">model examining characteristics that are associated with an </w:t>
      </w:r>
      <w:r w:rsidRPr="00F24E35">
        <w:rPr>
          <w:rFonts w:ascii="Century Schoolbook" w:eastAsia="Times New Roman" w:hAnsi="Century Schoolbook" w:cs="Times New Roman"/>
          <w:sz w:val="21"/>
          <w:szCs w:val="21"/>
          <w:lang w:eastAsia="fr-FR"/>
        </w:rPr>
        <w:t xml:space="preserve">analyst being classified into each of the three speed-style groups (1) </w:t>
      </w:r>
      <w:r w:rsidRPr="00F24E35">
        <w:rPr>
          <w:rFonts w:ascii="Century Schoolbook" w:eastAsia="Times New Roman" w:hAnsi="Century Schoolbook" w:cs="Times New Roman"/>
          <w:i/>
          <w:sz w:val="21"/>
          <w:szCs w:val="21"/>
          <w:lang w:eastAsia="fr-FR"/>
        </w:rPr>
        <w:t xml:space="preserve">Slow </w:t>
      </w:r>
      <w:r w:rsidRPr="00F24E35">
        <w:rPr>
          <w:rFonts w:ascii="Century Schoolbook" w:eastAsia="Times New Roman" w:hAnsi="Century Schoolbook" w:cs="Times New Roman"/>
          <w:sz w:val="21"/>
          <w:szCs w:val="21"/>
          <w:lang w:eastAsia="fr-FR"/>
        </w:rPr>
        <w:t xml:space="preserve">to (2) </w:t>
      </w:r>
      <w:r w:rsidRPr="00F24E35">
        <w:rPr>
          <w:rFonts w:ascii="Century Schoolbook" w:eastAsia="Times New Roman" w:hAnsi="Century Schoolbook" w:cs="Times New Roman"/>
          <w:i/>
          <w:sz w:val="21"/>
          <w:szCs w:val="21"/>
          <w:lang w:eastAsia="fr-FR"/>
        </w:rPr>
        <w:t xml:space="preserve">Average </w:t>
      </w:r>
      <w:r w:rsidRPr="00F24E35">
        <w:rPr>
          <w:rFonts w:ascii="Century Schoolbook" w:eastAsia="Times New Roman" w:hAnsi="Century Schoolbook" w:cs="Times New Roman"/>
          <w:sz w:val="21"/>
          <w:szCs w:val="21"/>
          <w:lang w:eastAsia="fr-FR"/>
        </w:rPr>
        <w:t xml:space="preserve">to (3) </w:t>
      </w:r>
      <w:r w:rsidRPr="00F24E35">
        <w:rPr>
          <w:rFonts w:ascii="Century Schoolbook" w:eastAsia="Times New Roman" w:hAnsi="Century Schoolbook" w:cs="Times New Roman"/>
          <w:i/>
          <w:sz w:val="21"/>
          <w:szCs w:val="21"/>
          <w:lang w:eastAsia="fr-FR"/>
        </w:rPr>
        <w:t>Fast</w:t>
      </w:r>
      <w:r w:rsidRPr="00F24E35">
        <w:rPr>
          <w:rFonts w:ascii="Century Schoolbook" w:eastAsia="Times New Roman" w:hAnsi="Century Schoolbook" w:cs="Times New Roman"/>
          <w:sz w:val="21"/>
          <w:szCs w:val="21"/>
          <w:lang w:eastAsia="fr-FR"/>
        </w:rPr>
        <w:t>. The logit model is estimated at the analyst-year level. For each year from 1996 through 2013, we assign analysts into three groups: (1) Slow-turnover analyst, (2) Average</w:t>
      </w:r>
      <w:r w:rsidRPr="00F24E35">
        <w:rPr>
          <w:rFonts w:ascii="Times New Roman" w:eastAsia="Times New Roman" w:hAnsi="Times New Roman" w:cs="Times New Roman"/>
          <w:sz w:val="21"/>
          <w:szCs w:val="21"/>
          <w:lang w:eastAsia="fr-FR"/>
        </w:rPr>
        <w:t>-</w:t>
      </w:r>
      <w:r w:rsidRPr="00F24E35">
        <w:rPr>
          <w:rFonts w:ascii="Century Schoolbook" w:eastAsia="Times New Roman" w:hAnsi="Century Schoolbook" w:cs="Times New Roman"/>
          <w:sz w:val="21"/>
          <w:szCs w:val="21"/>
          <w:lang w:eastAsia="fr-FR"/>
        </w:rPr>
        <w:t>turnover analyst, and (3) Fast-turnover analyst. The dependent indicator variables in Columns (1), (2</w:t>
      </w:r>
      <w:r w:rsidR="004E33BA" w:rsidRPr="00F24E35">
        <w:rPr>
          <w:rFonts w:ascii="Century Schoolbook" w:eastAsia="Times New Roman" w:hAnsi="Century Schoolbook" w:cs="Times New Roman"/>
          <w:sz w:val="21"/>
          <w:szCs w:val="21"/>
          <w:lang w:eastAsia="fr-FR"/>
        </w:rPr>
        <w:t>), and</w:t>
      </w:r>
      <w:r w:rsidRPr="00F24E35">
        <w:rPr>
          <w:rFonts w:ascii="Century Schoolbook" w:eastAsia="Times New Roman" w:hAnsi="Century Schoolbook" w:cs="Times New Roman"/>
          <w:sz w:val="21"/>
          <w:szCs w:val="21"/>
          <w:lang w:eastAsia="fr-FR"/>
        </w:rPr>
        <w:t xml:space="preserve"> (3) are equal to 1 if the analyst is identified with the slow-, average-, and fast-turnover group, respectively, in that year. All analyst characteristics are calculated yearly for each analyst; see Appendix A for definitions. Year fixed effects are included in the estimation. Robust standard error clustered at the brokerage-year level is reported in parenthesis below each estimate. Each regression model contains 25,678 analyst-year observations.  </w:t>
      </w:r>
      <w:r w:rsidRPr="00F24E35">
        <w:rPr>
          <w:rFonts w:ascii="Cambria Math" w:eastAsia="Times New Roman" w:hAnsi="Cambria Math" w:cs="Cambria Math"/>
          <w:sz w:val="21"/>
          <w:szCs w:val="21"/>
          <w:lang w:eastAsia="fr-FR"/>
        </w:rPr>
        <w:t>∗</w:t>
      </w:r>
      <w:r w:rsidRPr="00F24E35">
        <w:rPr>
          <w:rFonts w:ascii="Century Schoolbook" w:eastAsia="Times New Roman" w:hAnsi="Century Schoolbook" w:cs="Times New Roman"/>
          <w:sz w:val="21"/>
          <w:szCs w:val="21"/>
          <w:lang w:eastAsia="fr-FR"/>
        </w:rPr>
        <w:t xml:space="preserve">, </w:t>
      </w:r>
      <w:r w:rsidRPr="00F24E35">
        <w:rPr>
          <w:rFonts w:ascii="Cambria Math" w:eastAsia="Times New Roman" w:hAnsi="Cambria Math" w:cs="Cambria Math"/>
          <w:sz w:val="21"/>
          <w:szCs w:val="21"/>
          <w:lang w:eastAsia="fr-FR"/>
        </w:rPr>
        <w:t>∗∗</w:t>
      </w:r>
      <w:r w:rsidRPr="00F24E35">
        <w:rPr>
          <w:rFonts w:ascii="Century Schoolbook" w:eastAsia="Times New Roman" w:hAnsi="Century Schoolbook" w:cs="Times New Roman"/>
          <w:sz w:val="21"/>
          <w:szCs w:val="21"/>
          <w:lang w:eastAsia="fr-FR"/>
        </w:rPr>
        <w:t xml:space="preserve">, </w:t>
      </w:r>
      <w:r w:rsidRPr="00F24E35">
        <w:rPr>
          <w:rFonts w:ascii="Cambria Math" w:eastAsia="Times New Roman" w:hAnsi="Cambria Math" w:cs="Cambria Math"/>
          <w:sz w:val="21"/>
          <w:szCs w:val="21"/>
          <w:lang w:eastAsia="fr-FR"/>
        </w:rPr>
        <w:t>∗∗∗</w:t>
      </w:r>
      <w:r w:rsidRPr="00F24E35">
        <w:rPr>
          <w:rFonts w:ascii="Century Schoolbook" w:eastAsia="Times New Roman" w:hAnsi="Century Schoolbook" w:cs="Times New Roman"/>
          <w:sz w:val="21"/>
          <w:szCs w:val="21"/>
          <w:lang w:eastAsia="fr-FR"/>
        </w:rPr>
        <w:t xml:space="preserve"> indicate significance at the 10%, 5%, and 1% level, respectively.</w:t>
      </w:r>
    </w:p>
    <w:p w14:paraId="125A8B7A" w14:textId="77777777" w:rsidR="00F770FF" w:rsidRDefault="00F770FF" w:rsidP="00F770FF">
      <w:pPr>
        <w:rPr>
          <w:sz w:val="16"/>
        </w:rPr>
      </w:pPr>
    </w:p>
    <w:tbl>
      <w:tblPr>
        <w:tblW w:w="5000" w:type="pct"/>
        <w:tblLook w:val="04A0" w:firstRow="1" w:lastRow="0" w:firstColumn="1" w:lastColumn="0" w:noHBand="0" w:noVBand="1"/>
      </w:tblPr>
      <w:tblGrid>
        <w:gridCol w:w="2945"/>
        <w:gridCol w:w="2157"/>
        <w:gridCol w:w="2157"/>
        <w:gridCol w:w="2159"/>
      </w:tblGrid>
      <w:tr w:rsidR="00F770FF" w:rsidRPr="008E1113" w14:paraId="22A8659B" w14:textId="77777777" w:rsidTr="009704E4">
        <w:trPr>
          <w:trHeight w:val="288"/>
        </w:trPr>
        <w:tc>
          <w:tcPr>
            <w:tcW w:w="1510" w:type="pct"/>
            <w:tcBorders>
              <w:top w:val="single" w:sz="4" w:space="0" w:color="auto"/>
              <w:left w:val="nil"/>
              <w:bottom w:val="nil"/>
              <w:right w:val="nil"/>
            </w:tcBorders>
            <w:shd w:val="clear" w:color="auto" w:fill="auto"/>
            <w:noWrap/>
            <w:vAlign w:val="center"/>
            <w:hideMark/>
          </w:tcPr>
          <w:p w14:paraId="36A58D9B" w14:textId="77777777" w:rsidR="00F770FF" w:rsidRPr="008E1113" w:rsidRDefault="00F770FF" w:rsidP="009704E4">
            <w:pPr>
              <w:spacing w:after="0" w:line="240" w:lineRule="auto"/>
              <w:rPr>
                <w:rFonts w:ascii="Times New Roman" w:eastAsia="Times New Roman" w:hAnsi="Times New Roman" w:cs="Times New Roman"/>
                <w:sz w:val="20"/>
                <w:szCs w:val="20"/>
              </w:rPr>
            </w:pPr>
          </w:p>
        </w:tc>
        <w:tc>
          <w:tcPr>
            <w:tcW w:w="3490" w:type="pct"/>
            <w:gridSpan w:val="3"/>
            <w:tcBorders>
              <w:top w:val="single" w:sz="4" w:space="0" w:color="auto"/>
              <w:left w:val="nil"/>
              <w:bottom w:val="single" w:sz="4" w:space="0" w:color="auto"/>
              <w:right w:val="nil"/>
            </w:tcBorders>
            <w:shd w:val="clear" w:color="auto" w:fill="auto"/>
            <w:vAlign w:val="center"/>
            <w:hideMark/>
          </w:tcPr>
          <w:p w14:paraId="08363553" w14:textId="46E100ED" w:rsidR="00F770FF" w:rsidRPr="008E1113" w:rsidRDefault="00F770FF" w:rsidP="008E1113">
            <w:pPr>
              <w:spacing w:after="0" w:line="240" w:lineRule="auto"/>
              <w:jc w:val="center"/>
              <w:rPr>
                <w:rFonts w:ascii="Century Schoolbook" w:eastAsia="Times New Roman" w:hAnsi="Century Schoolbook" w:cs="Times New Roman"/>
                <w:i/>
                <w:iCs/>
                <w:color w:val="000000"/>
                <w:sz w:val="20"/>
                <w:szCs w:val="20"/>
              </w:rPr>
            </w:pPr>
            <w:r w:rsidRPr="008E1113">
              <w:rPr>
                <w:rFonts w:ascii="Century Schoolbook" w:eastAsia="Times New Roman" w:hAnsi="Century Schoolbook" w:cs="Times New Roman"/>
                <w:i/>
                <w:iCs/>
                <w:color w:val="000000"/>
                <w:sz w:val="20"/>
                <w:szCs w:val="20"/>
              </w:rPr>
              <w:t xml:space="preserve">Logit model for </w:t>
            </w:r>
            <w:r w:rsidR="008E1113" w:rsidRPr="008E1113">
              <w:rPr>
                <w:rFonts w:ascii="Century Schoolbook" w:eastAsia="Times New Roman" w:hAnsi="Century Schoolbook" w:cs="Times New Roman"/>
                <w:i/>
                <w:iCs/>
                <w:color w:val="000000"/>
                <w:sz w:val="20"/>
                <w:szCs w:val="20"/>
              </w:rPr>
              <w:t>the likelihood that the analyst is related with the following recommendation speed-style</w:t>
            </w:r>
          </w:p>
        </w:tc>
      </w:tr>
      <w:tr w:rsidR="00F770FF" w:rsidRPr="008E1113" w14:paraId="10C6BFD8" w14:textId="77777777" w:rsidTr="009704E4">
        <w:trPr>
          <w:trHeight w:val="456"/>
        </w:trPr>
        <w:tc>
          <w:tcPr>
            <w:tcW w:w="1510" w:type="pct"/>
            <w:tcBorders>
              <w:top w:val="nil"/>
              <w:left w:val="nil"/>
              <w:bottom w:val="single" w:sz="4" w:space="0" w:color="auto"/>
              <w:right w:val="nil"/>
            </w:tcBorders>
            <w:shd w:val="clear" w:color="auto" w:fill="auto"/>
            <w:vAlign w:val="center"/>
            <w:hideMark/>
          </w:tcPr>
          <w:p w14:paraId="314EA47B" w14:textId="77777777" w:rsidR="00F770FF" w:rsidRPr="008E1113" w:rsidRDefault="00F770FF" w:rsidP="009704E4">
            <w:pPr>
              <w:spacing w:after="0" w:line="240" w:lineRule="auto"/>
              <w:rPr>
                <w:rFonts w:ascii="Century Schoolbook" w:eastAsia="Times New Roman" w:hAnsi="Century Schoolbook" w:cs="Times New Roman"/>
                <w:i/>
                <w:iCs/>
                <w:color w:val="000000"/>
                <w:sz w:val="20"/>
                <w:szCs w:val="20"/>
              </w:rPr>
            </w:pPr>
            <w:r w:rsidRPr="008E1113">
              <w:rPr>
                <w:rFonts w:ascii="Century Schoolbook" w:eastAsia="Times New Roman" w:hAnsi="Century Schoolbook" w:cs="Times New Roman"/>
                <w:i/>
                <w:iCs/>
                <w:color w:val="000000"/>
                <w:sz w:val="20"/>
                <w:szCs w:val="20"/>
              </w:rPr>
              <w:t> </w:t>
            </w:r>
          </w:p>
        </w:tc>
        <w:tc>
          <w:tcPr>
            <w:tcW w:w="1163" w:type="pct"/>
            <w:tcBorders>
              <w:top w:val="single" w:sz="4" w:space="0" w:color="auto"/>
              <w:left w:val="nil"/>
              <w:bottom w:val="single" w:sz="4" w:space="0" w:color="auto"/>
              <w:right w:val="nil"/>
            </w:tcBorders>
            <w:shd w:val="clear" w:color="auto" w:fill="auto"/>
            <w:vAlign w:val="center"/>
            <w:hideMark/>
          </w:tcPr>
          <w:p w14:paraId="3108CCDD" w14:textId="77777777" w:rsidR="00F770FF" w:rsidRPr="008E1113" w:rsidRDefault="00F770FF" w:rsidP="009704E4">
            <w:pPr>
              <w:spacing w:after="0" w:line="240" w:lineRule="auto"/>
              <w:jc w:val="center"/>
              <w:rPr>
                <w:rFonts w:ascii="Century Schoolbook" w:eastAsia="Times New Roman" w:hAnsi="Century Schoolbook" w:cs="Times New Roman"/>
                <w:iCs/>
                <w:color w:val="000000"/>
                <w:sz w:val="20"/>
                <w:szCs w:val="20"/>
              </w:rPr>
            </w:pPr>
            <w:r w:rsidRPr="008E1113">
              <w:rPr>
                <w:rFonts w:ascii="Century Schoolbook" w:eastAsia="Times New Roman" w:hAnsi="Century Schoolbook" w:cs="Times New Roman"/>
                <w:iCs/>
                <w:color w:val="000000"/>
                <w:sz w:val="20"/>
                <w:szCs w:val="20"/>
              </w:rPr>
              <w:t xml:space="preserve">(1) </w:t>
            </w:r>
            <w:r w:rsidRPr="008E1113">
              <w:rPr>
                <w:rFonts w:ascii="Century Schoolbook" w:eastAsia="Times New Roman" w:hAnsi="Century Schoolbook" w:cs="Times New Roman"/>
                <w:iCs/>
                <w:color w:val="000000"/>
                <w:sz w:val="20"/>
                <w:szCs w:val="20"/>
              </w:rPr>
              <w:br/>
              <w:t>Slow</w:t>
            </w:r>
          </w:p>
        </w:tc>
        <w:tc>
          <w:tcPr>
            <w:tcW w:w="1163" w:type="pct"/>
            <w:tcBorders>
              <w:top w:val="single" w:sz="4" w:space="0" w:color="auto"/>
              <w:left w:val="nil"/>
              <w:bottom w:val="single" w:sz="4" w:space="0" w:color="auto"/>
              <w:right w:val="nil"/>
            </w:tcBorders>
            <w:shd w:val="clear" w:color="auto" w:fill="auto"/>
            <w:vAlign w:val="center"/>
            <w:hideMark/>
          </w:tcPr>
          <w:p w14:paraId="39A80D62" w14:textId="77777777" w:rsidR="00F770FF" w:rsidRPr="008E1113" w:rsidRDefault="00F770FF" w:rsidP="009704E4">
            <w:pPr>
              <w:spacing w:after="0" w:line="240" w:lineRule="auto"/>
              <w:jc w:val="center"/>
              <w:rPr>
                <w:rFonts w:ascii="Century Schoolbook" w:eastAsia="Times New Roman" w:hAnsi="Century Schoolbook" w:cs="Times New Roman"/>
                <w:iCs/>
                <w:color w:val="000000"/>
                <w:sz w:val="20"/>
                <w:szCs w:val="20"/>
              </w:rPr>
            </w:pPr>
            <w:r w:rsidRPr="008E1113">
              <w:rPr>
                <w:rFonts w:ascii="Century Schoolbook" w:eastAsia="Times New Roman" w:hAnsi="Century Schoolbook" w:cs="Times New Roman"/>
                <w:iCs/>
                <w:color w:val="000000"/>
                <w:sz w:val="20"/>
                <w:szCs w:val="20"/>
              </w:rPr>
              <w:t xml:space="preserve">(2) </w:t>
            </w:r>
            <w:r w:rsidRPr="008E1113">
              <w:rPr>
                <w:rFonts w:ascii="Century Schoolbook" w:eastAsia="Times New Roman" w:hAnsi="Century Schoolbook" w:cs="Times New Roman"/>
                <w:iCs/>
                <w:color w:val="000000"/>
                <w:sz w:val="20"/>
                <w:szCs w:val="20"/>
              </w:rPr>
              <w:br/>
              <w:t>Average</w:t>
            </w:r>
          </w:p>
        </w:tc>
        <w:tc>
          <w:tcPr>
            <w:tcW w:w="1163" w:type="pct"/>
            <w:tcBorders>
              <w:top w:val="single" w:sz="4" w:space="0" w:color="auto"/>
              <w:left w:val="nil"/>
              <w:bottom w:val="single" w:sz="4" w:space="0" w:color="auto"/>
              <w:right w:val="nil"/>
            </w:tcBorders>
            <w:shd w:val="clear" w:color="auto" w:fill="auto"/>
            <w:vAlign w:val="center"/>
            <w:hideMark/>
          </w:tcPr>
          <w:p w14:paraId="7F162CEF" w14:textId="77777777" w:rsidR="00F770FF" w:rsidRPr="008E1113" w:rsidRDefault="00F770FF" w:rsidP="009704E4">
            <w:pPr>
              <w:spacing w:after="0" w:line="240" w:lineRule="auto"/>
              <w:jc w:val="center"/>
              <w:rPr>
                <w:rFonts w:ascii="Century Schoolbook" w:eastAsia="Times New Roman" w:hAnsi="Century Schoolbook" w:cs="Times New Roman"/>
                <w:iCs/>
                <w:color w:val="000000"/>
                <w:sz w:val="20"/>
                <w:szCs w:val="20"/>
              </w:rPr>
            </w:pPr>
            <w:r w:rsidRPr="008E1113">
              <w:rPr>
                <w:rFonts w:ascii="Century Schoolbook" w:eastAsia="Times New Roman" w:hAnsi="Century Schoolbook" w:cs="Times New Roman"/>
                <w:iCs/>
                <w:color w:val="000000"/>
                <w:sz w:val="20"/>
                <w:szCs w:val="20"/>
              </w:rPr>
              <w:t xml:space="preserve">(3) </w:t>
            </w:r>
            <w:r w:rsidRPr="008E1113">
              <w:rPr>
                <w:rFonts w:ascii="Century Schoolbook" w:eastAsia="Times New Roman" w:hAnsi="Century Schoolbook" w:cs="Times New Roman"/>
                <w:iCs/>
                <w:color w:val="000000"/>
                <w:sz w:val="20"/>
                <w:szCs w:val="20"/>
              </w:rPr>
              <w:br/>
              <w:t>Fast</w:t>
            </w:r>
          </w:p>
        </w:tc>
      </w:tr>
      <w:tr w:rsidR="00F770FF" w:rsidRPr="008E1113" w14:paraId="460DC052" w14:textId="77777777" w:rsidTr="009704E4">
        <w:trPr>
          <w:trHeight w:val="276"/>
        </w:trPr>
        <w:tc>
          <w:tcPr>
            <w:tcW w:w="1510" w:type="pct"/>
            <w:tcBorders>
              <w:top w:val="nil"/>
              <w:left w:val="nil"/>
              <w:bottom w:val="nil"/>
              <w:right w:val="nil"/>
            </w:tcBorders>
            <w:shd w:val="clear" w:color="auto" w:fill="auto"/>
            <w:noWrap/>
            <w:vAlign w:val="bottom"/>
            <w:hideMark/>
          </w:tcPr>
          <w:p w14:paraId="33BA6E0D"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General experience</w:t>
            </w:r>
          </w:p>
        </w:tc>
        <w:tc>
          <w:tcPr>
            <w:tcW w:w="1163" w:type="pct"/>
            <w:tcBorders>
              <w:top w:val="nil"/>
              <w:left w:val="nil"/>
              <w:bottom w:val="nil"/>
              <w:right w:val="nil"/>
            </w:tcBorders>
            <w:shd w:val="clear" w:color="000000" w:fill="FFFFFF"/>
            <w:noWrap/>
            <w:vAlign w:val="bottom"/>
            <w:hideMark/>
          </w:tcPr>
          <w:p w14:paraId="121CC57D"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0.188***</w:t>
            </w:r>
          </w:p>
        </w:tc>
        <w:tc>
          <w:tcPr>
            <w:tcW w:w="1163" w:type="pct"/>
            <w:tcBorders>
              <w:top w:val="nil"/>
              <w:left w:val="nil"/>
              <w:bottom w:val="nil"/>
              <w:right w:val="nil"/>
            </w:tcBorders>
            <w:shd w:val="clear" w:color="000000" w:fill="FFFFFF"/>
            <w:noWrap/>
            <w:vAlign w:val="bottom"/>
            <w:hideMark/>
          </w:tcPr>
          <w:p w14:paraId="74D0FAF0"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−0.035***</w:t>
            </w:r>
          </w:p>
        </w:tc>
        <w:tc>
          <w:tcPr>
            <w:tcW w:w="1163" w:type="pct"/>
            <w:tcBorders>
              <w:top w:val="nil"/>
              <w:left w:val="nil"/>
              <w:bottom w:val="nil"/>
              <w:right w:val="nil"/>
            </w:tcBorders>
            <w:shd w:val="clear" w:color="000000" w:fill="FFFFFF"/>
            <w:noWrap/>
            <w:vAlign w:val="bottom"/>
            <w:hideMark/>
          </w:tcPr>
          <w:p w14:paraId="1037C1AD"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−0.304***</w:t>
            </w:r>
          </w:p>
        </w:tc>
      </w:tr>
      <w:tr w:rsidR="00F770FF" w:rsidRPr="008E1113" w14:paraId="6081A31A" w14:textId="77777777" w:rsidTr="009704E4">
        <w:trPr>
          <w:trHeight w:val="276"/>
        </w:trPr>
        <w:tc>
          <w:tcPr>
            <w:tcW w:w="1510" w:type="pct"/>
            <w:tcBorders>
              <w:top w:val="nil"/>
              <w:left w:val="nil"/>
              <w:bottom w:val="nil"/>
              <w:right w:val="nil"/>
            </w:tcBorders>
            <w:shd w:val="clear" w:color="auto" w:fill="auto"/>
            <w:noWrap/>
            <w:hideMark/>
          </w:tcPr>
          <w:p w14:paraId="1897E5A7"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165205AC"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(0.007)</w:t>
            </w:r>
          </w:p>
        </w:tc>
        <w:tc>
          <w:tcPr>
            <w:tcW w:w="1163" w:type="pct"/>
            <w:tcBorders>
              <w:top w:val="nil"/>
              <w:left w:val="nil"/>
              <w:bottom w:val="nil"/>
              <w:right w:val="nil"/>
            </w:tcBorders>
            <w:shd w:val="clear" w:color="000000" w:fill="FFFFFF"/>
            <w:noWrap/>
            <w:hideMark/>
          </w:tcPr>
          <w:p w14:paraId="63B04E54"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(0.006)</w:t>
            </w:r>
          </w:p>
        </w:tc>
        <w:tc>
          <w:tcPr>
            <w:tcW w:w="1163" w:type="pct"/>
            <w:tcBorders>
              <w:top w:val="nil"/>
              <w:left w:val="nil"/>
              <w:bottom w:val="nil"/>
              <w:right w:val="nil"/>
            </w:tcBorders>
            <w:shd w:val="clear" w:color="000000" w:fill="FFFFFF"/>
            <w:noWrap/>
            <w:hideMark/>
          </w:tcPr>
          <w:p w14:paraId="7DB9EB37"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(0.013)</w:t>
            </w:r>
          </w:p>
        </w:tc>
      </w:tr>
      <w:tr w:rsidR="00F770FF" w:rsidRPr="008E1113" w14:paraId="0E8B51DE" w14:textId="77777777" w:rsidTr="009704E4">
        <w:trPr>
          <w:trHeight w:val="276"/>
        </w:trPr>
        <w:tc>
          <w:tcPr>
            <w:tcW w:w="1510" w:type="pct"/>
            <w:tcBorders>
              <w:top w:val="nil"/>
              <w:left w:val="nil"/>
              <w:bottom w:val="nil"/>
              <w:right w:val="nil"/>
            </w:tcBorders>
            <w:shd w:val="clear" w:color="auto" w:fill="auto"/>
            <w:noWrap/>
            <w:vAlign w:val="bottom"/>
            <w:hideMark/>
          </w:tcPr>
          <w:p w14:paraId="685AFBAD"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 xml:space="preserve">All-star </w:t>
            </w:r>
          </w:p>
        </w:tc>
        <w:tc>
          <w:tcPr>
            <w:tcW w:w="1163" w:type="pct"/>
            <w:tcBorders>
              <w:top w:val="nil"/>
              <w:left w:val="nil"/>
              <w:bottom w:val="nil"/>
              <w:right w:val="nil"/>
            </w:tcBorders>
            <w:shd w:val="clear" w:color="000000" w:fill="FFFFFF"/>
            <w:noWrap/>
            <w:vAlign w:val="bottom"/>
            <w:hideMark/>
          </w:tcPr>
          <w:p w14:paraId="057616E2"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0.506***</w:t>
            </w:r>
          </w:p>
        </w:tc>
        <w:tc>
          <w:tcPr>
            <w:tcW w:w="1163" w:type="pct"/>
            <w:tcBorders>
              <w:top w:val="nil"/>
              <w:left w:val="nil"/>
              <w:bottom w:val="nil"/>
              <w:right w:val="nil"/>
            </w:tcBorders>
            <w:shd w:val="clear" w:color="000000" w:fill="FFFFFF"/>
            <w:noWrap/>
            <w:vAlign w:val="bottom"/>
            <w:hideMark/>
          </w:tcPr>
          <w:p w14:paraId="1E589952"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−0.204***</w:t>
            </w:r>
          </w:p>
        </w:tc>
        <w:tc>
          <w:tcPr>
            <w:tcW w:w="1163" w:type="pct"/>
            <w:tcBorders>
              <w:top w:val="nil"/>
              <w:left w:val="nil"/>
              <w:bottom w:val="nil"/>
              <w:right w:val="nil"/>
            </w:tcBorders>
            <w:shd w:val="clear" w:color="000000" w:fill="FFFFFF"/>
            <w:noWrap/>
            <w:vAlign w:val="bottom"/>
            <w:hideMark/>
          </w:tcPr>
          <w:p w14:paraId="47FEA1A0"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−0.858***</w:t>
            </w:r>
          </w:p>
        </w:tc>
      </w:tr>
      <w:tr w:rsidR="00F770FF" w:rsidRPr="008E1113" w14:paraId="4778878E" w14:textId="77777777" w:rsidTr="009704E4">
        <w:trPr>
          <w:trHeight w:val="276"/>
        </w:trPr>
        <w:tc>
          <w:tcPr>
            <w:tcW w:w="1510" w:type="pct"/>
            <w:tcBorders>
              <w:top w:val="nil"/>
              <w:left w:val="nil"/>
              <w:bottom w:val="nil"/>
              <w:right w:val="nil"/>
            </w:tcBorders>
            <w:shd w:val="clear" w:color="auto" w:fill="auto"/>
            <w:noWrap/>
            <w:hideMark/>
          </w:tcPr>
          <w:p w14:paraId="11D063DB"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02937080"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(0.056)</w:t>
            </w:r>
          </w:p>
        </w:tc>
        <w:tc>
          <w:tcPr>
            <w:tcW w:w="1163" w:type="pct"/>
            <w:tcBorders>
              <w:top w:val="nil"/>
              <w:left w:val="nil"/>
              <w:bottom w:val="nil"/>
              <w:right w:val="nil"/>
            </w:tcBorders>
            <w:shd w:val="clear" w:color="000000" w:fill="FFFFFF"/>
            <w:noWrap/>
            <w:hideMark/>
          </w:tcPr>
          <w:p w14:paraId="6D4F8ADB"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(0.050)</w:t>
            </w:r>
          </w:p>
        </w:tc>
        <w:tc>
          <w:tcPr>
            <w:tcW w:w="1163" w:type="pct"/>
            <w:tcBorders>
              <w:top w:val="nil"/>
              <w:left w:val="nil"/>
              <w:bottom w:val="nil"/>
              <w:right w:val="nil"/>
            </w:tcBorders>
            <w:shd w:val="clear" w:color="000000" w:fill="FFFFFF"/>
            <w:noWrap/>
            <w:hideMark/>
          </w:tcPr>
          <w:p w14:paraId="1F8EE1C8"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(0.107)</w:t>
            </w:r>
          </w:p>
        </w:tc>
      </w:tr>
      <w:tr w:rsidR="00F770FF" w:rsidRPr="008E1113" w14:paraId="4C9AC763" w14:textId="77777777" w:rsidTr="009704E4">
        <w:trPr>
          <w:trHeight w:val="276"/>
        </w:trPr>
        <w:tc>
          <w:tcPr>
            <w:tcW w:w="1510" w:type="pct"/>
            <w:tcBorders>
              <w:top w:val="nil"/>
              <w:left w:val="nil"/>
              <w:bottom w:val="nil"/>
              <w:right w:val="nil"/>
            </w:tcBorders>
            <w:shd w:val="clear" w:color="auto" w:fill="auto"/>
            <w:noWrap/>
            <w:vAlign w:val="bottom"/>
            <w:hideMark/>
          </w:tcPr>
          <w:p w14:paraId="75F51A84"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Top broker</w:t>
            </w:r>
          </w:p>
        </w:tc>
        <w:tc>
          <w:tcPr>
            <w:tcW w:w="1163" w:type="pct"/>
            <w:tcBorders>
              <w:top w:val="nil"/>
              <w:left w:val="nil"/>
              <w:bottom w:val="nil"/>
              <w:right w:val="nil"/>
            </w:tcBorders>
            <w:shd w:val="clear" w:color="000000" w:fill="FFFFFF"/>
            <w:noWrap/>
            <w:vAlign w:val="bottom"/>
            <w:hideMark/>
          </w:tcPr>
          <w:p w14:paraId="5707222D"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0.265***</w:t>
            </w:r>
          </w:p>
        </w:tc>
        <w:tc>
          <w:tcPr>
            <w:tcW w:w="1163" w:type="pct"/>
            <w:tcBorders>
              <w:top w:val="nil"/>
              <w:left w:val="nil"/>
              <w:bottom w:val="nil"/>
              <w:right w:val="nil"/>
            </w:tcBorders>
            <w:shd w:val="clear" w:color="000000" w:fill="FFFFFF"/>
            <w:noWrap/>
            <w:vAlign w:val="bottom"/>
            <w:hideMark/>
          </w:tcPr>
          <w:p w14:paraId="47B70BAA"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−0.017</w:t>
            </w:r>
          </w:p>
        </w:tc>
        <w:tc>
          <w:tcPr>
            <w:tcW w:w="1163" w:type="pct"/>
            <w:tcBorders>
              <w:top w:val="nil"/>
              <w:left w:val="nil"/>
              <w:bottom w:val="nil"/>
              <w:right w:val="nil"/>
            </w:tcBorders>
            <w:shd w:val="clear" w:color="000000" w:fill="FFFFFF"/>
            <w:noWrap/>
            <w:vAlign w:val="bottom"/>
            <w:hideMark/>
          </w:tcPr>
          <w:p w14:paraId="54474123"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−0.388***</w:t>
            </w:r>
          </w:p>
        </w:tc>
      </w:tr>
      <w:tr w:rsidR="00F770FF" w:rsidRPr="008E1113" w14:paraId="298644F1" w14:textId="77777777" w:rsidTr="009704E4">
        <w:trPr>
          <w:trHeight w:val="276"/>
        </w:trPr>
        <w:tc>
          <w:tcPr>
            <w:tcW w:w="1510" w:type="pct"/>
            <w:tcBorders>
              <w:top w:val="nil"/>
              <w:left w:val="nil"/>
              <w:bottom w:val="nil"/>
              <w:right w:val="nil"/>
            </w:tcBorders>
            <w:shd w:val="clear" w:color="auto" w:fill="auto"/>
            <w:noWrap/>
            <w:hideMark/>
          </w:tcPr>
          <w:p w14:paraId="68DFFB7A"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73BF6157"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(0.052)</w:t>
            </w:r>
          </w:p>
        </w:tc>
        <w:tc>
          <w:tcPr>
            <w:tcW w:w="1163" w:type="pct"/>
            <w:tcBorders>
              <w:top w:val="nil"/>
              <w:left w:val="nil"/>
              <w:bottom w:val="nil"/>
              <w:right w:val="nil"/>
            </w:tcBorders>
            <w:shd w:val="clear" w:color="000000" w:fill="FFFFFF"/>
            <w:noWrap/>
            <w:hideMark/>
          </w:tcPr>
          <w:p w14:paraId="100647A3"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(0.038)</w:t>
            </w:r>
          </w:p>
        </w:tc>
        <w:tc>
          <w:tcPr>
            <w:tcW w:w="1163" w:type="pct"/>
            <w:tcBorders>
              <w:top w:val="nil"/>
              <w:left w:val="nil"/>
              <w:bottom w:val="nil"/>
              <w:right w:val="nil"/>
            </w:tcBorders>
            <w:shd w:val="clear" w:color="000000" w:fill="FFFFFF"/>
            <w:noWrap/>
            <w:hideMark/>
          </w:tcPr>
          <w:p w14:paraId="5BF6E39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(0.058)</w:t>
            </w:r>
          </w:p>
        </w:tc>
      </w:tr>
      <w:tr w:rsidR="00F770FF" w:rsidRPr="008E1113" w14:paraId="58A3CBD9" w14:textId="77777777" w:rsidTr="009704E4">
        <w:trPr>
          <w:trHeight w:val="276"/>
        </w:trPr>
        <w:tc>
          <w:tcPr>
            <w:tcW w:w="1510" w:type="pct"/>
            <w:tcBorders>
              <w:top w:val="nil"/>
              <w:left w:val="nil"/>
              <w:bottom w:val="nil"/>
              <w:right w:val="nil"/>
            </w:tcBorders>
            <w:shd w:val="clear" w:color="auto" w:fill="auto"/>
            <w:noWrap/>
            <w:vAlign w:val="bottom"/>
            <w:hideMark/>
          </w:tcPr>
          <w:p w14:paraId="1F0F9BA8"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Breadth</w:t>
            </w:r>
          </w:p>
        </w:tc>
        <w:tc>
          <w:tcPr>
            <w:tcW w:w="1163" w:type="pct"/>
            <w:tcBorders>
              <w:top w:val="nil"/>
              <w:left w:val="nil"/>
              <w:bottom w:val="nil"/>
              <w:right w:val="nil"/>
            </w:tcBorders>
            <w:shd w:val="clear" w:color="000000" w:fill="FFFFFF"/>
            <w:noWrap/>
            <w:vAlign w:val="bottom"/>
            <w:hideMark/>
          </w:tcPr>
          <w:p w14:paraId="34D3482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−0.031***</w:t>
            </w:r>
          </w:p>
        </w:tc>
        <w:tc>
          <w:tcPr>
            <w:tcW w:w="1163" w:type="pct"/>
            <w:tcBorders>
              <w:top w:val="nil"/>
              <w:left w:val="nil"/>
              <w:bottom w:val="nil"/>
              <w:right w:val="nil"/>
            </w:tcBorders>
            <w:shd w:val="clear" w:color="000000" w:fill="FFFFFF"/>
            <w:noWrap/>
            <w:vAlign w:val="bottom"/>
            <w:hideMark/>
          </w:tcPr>
          <w:p w14:paraId="2884155A"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0.007</w:t>
            </w:r>
          </w:p>
        </w:tc>
        <w:tc>
          <w:tcPr>
            <w:tcW w:w="1163" w:type="pct"/>
            <w:tcBorders>
              <w:top w:val="nil"/>
              <w:left w:val="nil"/>
              <w:bottom w:val="nil"/>
              <w:right w:val="nil"/>
            </w:tcBorders>
            <w:shd w:val="clear" w:color="000000" w:fill="FFFFFF"/>
            <w:noWrap/>
            <w:vAlign w:val="bottom"/>
            <w:hideMark/>
          </w:tcPr>
          <w:p w14:paraId="6E33E9F8"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0.060***</w:t>
            </w:r>
          </w:p>
        </w:tc>
      </w:tr>
      <w:tr w:rsidR="00F770FF" w:rsidRPr="008E1113" w14:paraId="6F278009" w14:textId="77777777" w:rsidTr="009704E4">
        <w:trPr>
          <w:trHeight w:val="276"/>
        </w:trPr>
        <w:tc>
          <w:tcPr>
            <w:tcW w:w="1510" w:type="pct"/>
            <w:tcBorders>
              <w:top w:val="nil"/>
              <w:left w:val="nil"/>
              <w:bottom w:val="nil"/>
              <w:right w:val="nil"/>
            </w:tcBorders>
            <w:shd w:val="clear" w:color="auto" w:fill="auto"/>
            <w:noWrap/>
            <w:vAlign w:val="bottom"/>
            <w:hideMark/>
          </w:tcPr>
          <w:p w14:paraId="1ED02E4F"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vAlign w:val="bottom"/>
            <w:hideMark/>
          </w:tcPr>
          <w:p w14:paraId="338D4472"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(0.005)</w:t>
            </w:r>
          </w:p>
        </w:tc>
        <w:tc>
          <w:tcPr>
            <w:tcW w:w="1163" w:type="pct"/>
            <w:tcBorders>
              <w:top w:val="nil"/>
              <w:left w:val="nil"/>
              <w:bottom w:val="nil"/>
              <w:right w:val="nil"/>
            </w:tcBorders>
            <w:shd w:val="clear" w:color="000000" w:fill="FFFFFF"/>
            <w:noWrap/>
            <w:vAlign w:val="bottom"/>
            <w:hideMark/>
          </w:tcPr>
          <w:p w14:paraId="4D87A8A6"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(0.005)</w:t>
            </w:r>
          </w:p>
        </w:tc>
        <w:tc>
          <w:tcPr>
            <w:tcW w:w="1163" w:type="pct"/>
            <w:tcBorders>
              <w:top w:val="nil"/>
              <w:left w:val="nil"/>
              <w:bottom w:val="nil"/>
              <w:right w:val="nil"/>
            </w:tcBorders>
            <w:shd w:val="clear" w:color="000000" w:fill="FFFFFF"/>
            <w:noWrap/>
            <w:vAlign w:val="bottom"/>
            <w:hideMark/>
          </w:tcPr>
          <w:p w14:paraId="685DBCF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(0.007)</w:t>
            </w:r>
          </w:p>
        </w:tc>
      </w:tr>
      <w:tr w:rsidR="00F770FF" w:rsidRPr="008E1113" w14:paraId="376002F2" w14:textId="77777777" w:rsidTr="009704E4">
        <w:trPr>
          <w:trHeight w:val="276"/>
        </w:trPr>
        <w:tc>
          <w:tcPr>
            <w:tcW w:w="1510" w:type="pct"/>
            <w:tcBorders>
              <w:top w:val="nil"/>
              <w:left w:val="nil"/>
              <w:bottom w:val="nil"/>
              <w:right w:val="nil"/>
            </w:tcBorders>
            <w:shd w:val="clear" w:color="auto" w:fill="auto"/>
            <w:noWrap/>
            <w:vAlign w:val="bottom"/>
            <w:hideMark/>
          </w:tcPr>
          <w:p w14:paraId="5967C278"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proofErr w:type="spellStart"/>
            <w:r w:rsidRPr="008E1113">
              <w:rPr>
                <w:rFonts w:ascii="Century Schoolbook" w:eastAsia="Times New Roman" w:hAnsi="Century Schoolbook" w:cs="Times New Roman"/>
                <w:color w:val="000000"/>
                <w:sz w:val="20"/>
                <w:szCs w:val="20"/>
              </w:rPr>
              <w:t>Recomm</w:t>
            </w:r>
            <w:proofErr w:type="spellEnd"/>
            <w:r w:rsidRPr="008E1113">
              <w:rPr>
                <w:rFonts w:ascii="Century Schoolbook" w:eastAsia="Times New Roman" w:hAnsi="Century Schoolbook" w:cs="Times New Roman"/>
                <w:color w:val="000000"/>
                <w:sz w:val="20"/>
                <w:szCs w:val="20"/>
              </w:rPr>
              <w:t xml:space="preserve"> optimism</w:t>
            </w:r>
          </w:p>
        </w:tc>
        <w:tc>
          <w:tcPr>
            <w:tcW w:w="1163" w:type="pct"/>
            <w:tcBorders>
              <w:top w:val="nil"/>
              <w:left w:val="nil"/>
              <w:bottom w:val="nil"/>
              <w:right w:val="nil"/>
            </w:tcBorders>
            <w:shd w:val="clear" w:color="000000" w:fill="FFFFFF"/>
            <w:noWrap/>
            <w:vAlign w:val="bottom"/>
            <w:hideMark/>
          </w:tcPr>
          <w:p w14:paraId="7C9C5054"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−0.154*</w:t>
            </w:r>
          </w:p>
        </w:tc>
        <w:tc>
          <w:tcPr>
            <w:tcW w:w="1163" w:type="pct"/>
            <w:tcBorders>
              <w:top w:val="nil"/>
              <w:left w:val="nil"/>
              <w:bottom w:val="nil"/>
              <w:right w:val="nil"/>
            </w:tcBorders>
            <w:shd w:val="clear" w:color="000000" w:fill="FFFFFF"/>
            <w:noWrap/>
            <w:vAlign w:val="bottom"/>
            <w:hideMark/>
          </w:tcPr>
          <w:p w14:paraId="13C2A572"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0.044</w:t>
            </w:r>
          </w:p>
        </w:tc>
        <w:tc>
          <w:tcPr>
            <w:tcW w:w="1163" w:type="pct"/>
            <w:tcBorders>
              <w:top w:val="nil"/>
              <w:left w:val="nil"/>
              <w:bottom w:val="nil"/>
              <w:right w:val="nil"/>
            </w:tcBorders>
            <w:shd w:val="clear" w:color="000000" w:fill="FFFFFF"/>
            <w:noWrap/>
            <w:vAlign w:val="bottom"/>
            <w:hideMark/>
          </w:tcPr>
          <w:p w14:paraId="2D51D4DE"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0.243**</w:t>
            </w:r>
          </w:p>
        </w:tc>
      </w:tr>
      <w:tr w:rsidR="00F770FF" w:rsidRPr="008E1113" w14:paraId="5879A71D" w14:textId="77777777" w:rsidTr="009704E4">
        <w:trPr>
          <w:trHeight w:val="276"/>
        </w:trPr>
        <w:tc>
          <w:tcPr>
            <w:tcW w:w="1510" w:type="pct"/>
            <w:tcBorders>
              <w:top w:val="nil"/>
              <w:left w:val="nil"/>
              <w:bottom w:val="nil"/>
              <w:right w:val="nil"/>
            </w:tcBorders>
            <w:shd w:val="clear" w:color="auto" w:fill="auto"/>
            <w:noWrap/>
            <w:hideMark/>
          </w:tcPr>
          <w:p w14:paraId="795DBD86"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1C3CC60D"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(0.093)</w:t>
            </w:r>
          </w:p>
        </w:tc>
        <w:tc>
          <w:tcPr>
            <w:tcW w:w="1163" w:type="pct"/>
            <w:tcBorders>
              <w:top w:val="nil"/>
              <w:left w:val="nil"/>
              <w:bottom w:val="nil"/>
              <w:right w:val="nil"/>
            </w:tcBorders>
            <w:shd w:val="clear" w:color="000000" w:fill="FFFFFF"/>
            <w:noWrap/>
            <w:hideMark/>
          </w:tcPr>
          <w:p w14:paraId="6286AAAD"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(0.073)</w:t>
            </w:r>
          </w:p>
        </w:tc>
        <w:tc>
          <w:tcPr>
            <w:tcW w:w="1163" w:type="pct"/>
            <w:tcBorders>
              <w:top w:val="nil"/>
              <w:left w:val="nil"/>
              <w:bottom w:val="nil"/>
              <w:right w:val="nil"/>
            </w:tcBorders>
            <w:shd w:val="clear" w:color="000000" w:fill="FFFFFF"/>
            <w:noWrap/>
            <w:hideMark/>
          </w:tcPr>
          <w:p w14:paraId="634E9366"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(0.104)</w:t>
            </w:r>
          </w:p>
        </w:tc>
      </w:tr>
      <w:tr w:rsidR="00F770FF" w:rsidRPr="008E1113" w14:paraId="3194B799" w14:textId="77777777" w:rsidTr="009704E4">
        <w:trPr>
          <w:trHeight w:val="276"/>
        </w:trPr>
        <w:tc>
          <w:tcPr>
            <w:tcW w:w="1510" w:type="pct"/>
            <w:tcBorders>
              <w:top w:val="nil"/>
              <w:left w:val="nil"/>
              <w:bottom w:val="nil"/>
              <w:right w:val="nil"/>
            </w:tcBorders>
            <w:shd w:val="clear" w:color="auto" w:fill="auto"/>
            <w:noWrap/>
            <w:vAlign w:val="bottom"/>
            <w:hideMark/>
          </w:tcPr>
          <w:p w14:paraId="4E0CF56D"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proofErr w:type="spellStart"/>
            <w:r w:rsidRPr="008E1113">
              <w:rPr>
                <w:rFonts w:ascii="Century Schoolbook" w:eastAsia="Times New Roman" w:hAnsi="Century Schoolbook" w:cs="Times New Roman"/>
                <w:color w:val="000000"/>
                <w:sz w:val="20"/>
                <w:szCs w:val="20"/>
              </w:rPr>
              <w:t>Recomm</w:t>
            </w:r>
            <w:proofErr w:type="spellEnd"/>
            <w:r w:rsidRPr="008E1113">
              <w:rPr>
                <w:rFonts w:ascii="Century Schoolbook" w:eastAsia="Times New Roman" w:hAnsi="Century Schoolbook" w:cs="Times New Roman"/>
                <w:color w:val="000000"/>
                <w:sz w:val="20"/>
                <w:szCs w:val="20"/>
              </w:rPr>
              <w:t xml:space="preserve"> boldness</w:t>
            </w:r>
          </w:p>
        </w:tc>
        <w:tc>
          <w:tcPr>
            <w:tcW w:w="1163" w:type="pct"/>
            <w:tcBorders>
              <w:top w:val="nil"/>
              <w:left w:val="nil"/>
              <w:bottom w:val="nil"/>
              <w:right w:val="nil"/>
            </w:tcBorders>
            <w:shd w:val="clear" w:color="000000" w:fill="FFFFFF"/>
            <w:noWrap/>
            <w:vAlign w:val="bottom"/>
            <w:hideMark/>
          </w:tcPr>
          <w:p w14:paraId="62303408"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0.002</w:t>
            </w:r>
          </w:p>
        </w:tc>
        <w:tc>
          <w:tcPr>
            <w:tcW w:w="1163" w:type="pct"/>
            <w:tcBorders>
              <w:top w:val="nil"/>
              <w:left w:val="nil"/>
              <w:bottom w:val="nil"/>
              <w:right w:val="nil"/>
            </w:tcBorders>
            <w:shd w:val="clear" w:color="000000" w:fill="FFFFFF"/>
            <w:noWrap/>
            <w:vAlign w:val="bottom"/>
            <w:hideMark/>
          </w:tcPr>
          <w:p w14:paraId="6E490426"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0.130</w:t>
            </w:r>
          </w:p>
        </w:tc>
        <w:tc>
          <w:tcPr>
            <w:tcW w:w="1163" w:type="pct"/>
            <w:tcBorders>
              <w:top w:val="nil"/>
              <w:left w:val="nil"/>
              <w:bottom w:val="nil"/>
              <w:right w:val="nil"/>
            </w:tcBorders>
            <w:shd w:val="clear" w:color="000000" w:fill="FFFFFF"/>
            <w:noWrap/>
            <w:vAlign w:val="bottom"/>
            <w:hideMark/>
          </w:tcPr>
          <w:p w14:paraId="02311F91"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−0.417***</w:t>
            </w:r>
          </w:p>
        </w:tc>
      </w:tr>
      <w:tr w:rsidR="00F770FF" w:rsidRPr="008E1113" w14:paraId="0C7D4251" w14:textId="77777777" w:rsidTr="009704E4">
        <w:trPr>
          <w:trHeight w:val="276"/>
        </w:trPr>
        <w:tc>
          <w:tcPr>
            <w:tcW w:w="1510" w:type="pct"/>
            <w:tcBorders>
              <w:top w:val="nil"/>
              <w:left w:val="nil"/>
              <w:bottom w:val="nil"/>
              <w:right w:val="nil"/>
            </w:tcBorders>
            <w:shd w:val="clear" w:color="auto" w:fill="auto"/>
            <w:noWrap/>
            <w:hideMark/>
          </w:tcPr>
          <w:p w14:paraId="31542BB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051E191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(0.108)</w:t>
            </w:r>
          </w:p>
        </w:tc>
        <w:tc>
          <w:tcPr>
            <w:tcW w:w="1163" w:type="pct"/>
            <w:tcBorders>
              <w:top w:val="nil"/>
              <w:left w:val="nil"/>
              <w:bottom w:val="nil"/>
              <w:right w:val="nil"/>
            </w:tcBorders>
            <w:shd w:val="clear" w:color="000000" w:fill="FFFFFF"/>
            <w:noWrap/>
            <w:hideMark/>
          </w:tcPr>
          <w:p w14:paraId="6EB59318"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(0.084)</w:t>
            </w:r>
          </w:p>
        </w:tc>
        <w:tc>
          <w:tcPr>
            <w:tcW w:w="1163" w:type="pct"/>
            <w:tcBorders>
              <w:top w:val="nil"/>
              <w:left w:val="nil"/>
              <w:bottom w:val="nil"/>
              <w:right w:val="nil"/>
            </w:tcBorders>
            <w:shd w:val="clear" w:color="000000" w:fill="FFFFFF"/>
            <w:noWrap/>
            <w:hideMark/>
          </w:tcPr>
          <w:p w14:paraId="46D8F6B4"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(0.108)</w:t>
            </w:r>
          </w:p>
        </w:tc>
      </w:tr>
      <w:tr w:rsidR="00F770FF" w:rsidRPr="008E1113" w14:paraId="4997734B" w14:textId="77777777" w:rsidTr="009704E4">
        <w:trPr>
          <w:trHeight w:val="276"/>
        </w:trPr>
        <w:tc>
          <w:tcPr>
            <w:tcW w:w="1510" w:type="pct"/>
            <w:tcBorders>
              <w:top w:val="nil"/>
              <w:left w:val="nil"/>
              <w:bottom w:val="nil"/>
              <w:right w:val="nil"/>
            </w:tcBorders>
            <w:shd w:val="clear" w:color="auto" w:fill="auto"/>
            <w:noWrap/>
            <w:vAlign w:val="bottom"/>
            <w:hideMark/>
          </w:tcPr>
          <w:p w14:paraId="3C65D89F"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EPS optimism</w:t>
            </w:r>
          </w:p>
        </w:tc>
        <w:tc>
          <w:tcPr>
            <w:tcW w:w="1163" w:type="pct"/>
            <w:tcBorders>
              <w:top w:val="nil"/>
              <w:left w:val="nil"/>
              <w:bottom w:val="nil"/>
              <w:right w:val="nil"/>
            </w:tcBorders>
            <w:shd w:val="clear" w:color="000000" w:fill="FFFFFF"/>
            <w:noWrap/>
            <w:vAlign w:val="bottom"/>
            <w:hideMark/>
          </w:tcPr>
          <w:p w14:paraId="2A341245"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0.012</w:t>
            </w:r>
          </w:p>
        </w:tc>
        <w:tc>
          <w:tcPr>
            <w:tcW w:w="1163" w:type="pct"/>
            <w:tcBorders>
              <w:top w:val="nil"/>
              <w:left w:val="nil"/>
              <w:bottom w:val="nil"/>
              <w:right w:val="nil"/>
            </w:tcBorders>
            <w:shd w:val="clear" w:color="000000" w:fill="FFFFFF"/>
            <w:noWrap/>
            <w:vAlign w:val="bottom"/>
            <w:hideMark/>
          </w:tcPr>
          <w:p w14:paraId="2AADB7FC"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0.015</w:t>
            </w:r>
          </w:p>
        </w:tc>
        <w:tc>
          <w:tcPr>
            <w:tcW w:w="1163" w:type="pct"/>
            <w:tcBorders>
              <w:top w:val="nil"/>
              <w:left w:val="nil"/>
              <w:bottom w:val="nil"/>
              <w:right w:val="nil"/>
            </w:tcBorders>
            <w:shd w:val="clear" w:color="000000" w:fill="FFFFFF"/>
            <w:noWrap/>
            <w:vAlign w:val="bottom"/>
            <w:hideMark/>
          </w:tcPr>
          <w:p w14:paraId="65780CFF"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−0.068</w:t>
            </w:r>
          </w:p>
        </w:tc>
      </w:tr>
      <w:tr w:rsidR="00F770FF" w:rsidRPr="008E1113" w14:paraId="237DA24F" w14:textId="77777777" w:rsidTr="009704E4">
        <w:trPr>
          <w:trHeight w:val="276"/>
        </w:trPr>
        <w:tc>
          <w:tcPr>
            <w:tcW w:w="1510" w:type="pct"/>
            <w:tcBorders>
              <w:top w:val="nil"/>
              <w:left w:val="nil"/>
              <w:bottom w:val="nil"/>
              <w:right w:val="nil"/>
            </w:tcBorders>
            <w:shd w:val="clear" w:color="auto" w:fill="auto"/>
            <w:noWrap/>
            <w:vAlign w:val="center"/>
            <w:hideMark/>
          </w:tcPr>
          <w:p w14:paraId="522EEA3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vAlign w:val="center"/>
            <w:hideMark/>
          </w:tcPr>
          <w:p w14:paraId="6CDC6EB6"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(0.123)</w:t>
            </w:r>
          </w:p>
        </w:tc>
        <w:tc>
          <w:tcPr>
            <w:tcW w:w="1163" w:type="pct"/>
            <w:tcBorders>
              <w:top w:val="nil"/>
              <w:left w:val="nil"/>
              <w:bottom w:val="nil"/>
              <w:right w:val="nil"/>
            </w:tcBorders>
            <w:shd w:val="clear" w:color="000000" w:fill="FFFFFF"/>
            <w:noWrap/>
            <w:vAlign w:val="center"/>
            <w:hideMark/>
          </w:tcPr>
          <w:p w14:paraId="5F902C6F"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(0.102)</w:t>
            </w:r>
          </w:p>
        </w:tc>
        <w:tc>
          <w:tcPr>
            <w:tcW w:w="1163" w:type="pct"/>
            <w:tcBorders>
              <w:top w:val="nil"/>
              <w:left w:val="nil"/>
              <w:bottom w:val="nil"/>
              <w:right w:val="nil"/>
            </w:tcBorders>
            <w:shd w:val="clear" w:color="000000" w:fill="FFFFFF"/>
            <w:noWrap/>
            <w:vAlign w:val="center"/>
            <w:hideMark/>
          </w:tcPr>
          <w:p w14:paraId="390582F4"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(0.146)</w:t>
            </w:r>
          </w:p>
        </w:tc>
      </w:tr>
      <w:tr w:rsidR="00F770FF" w:rsidRPr="008E1113" w14:paraId="507BFA97" w14:textId="77777777" w:rsidTr="009704E4">
        <w:trPr>
          <w:trHeight w:val="276"/>
        </w:trPr>
        <w:tc>
          <w:tcPr>
            <w:tcW w:w="1510" w:type="pct"/>
            <w:tcBorders>
              <w:top w:val="nil"/>
              <w:left w:val="nil"/>
              <w:bottom w:val="nil"/>
              <w:right w:val="nil"/>
            </w:tcBorders>
            <w:shd w:val="clear" w:color="auto" w:fill="auto"/>
            <w:noWrap/>
            <w:vAlign w:val="bottom"/>
            <w:hideMark/>
          </w:tcPr>
          <w:p w14:paraId="25C8781C"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EPS precision</w:t>
            </w:r>
          </w:p>
        </w:tc>
        <w:tc>
          <w:tcPr>
            <w:tcW w:w="1163" w:type="pct"/>
            <w:tcBorders>
              <w:top w:val="nil"/>
              <w:left w:val="nil"/>
              <w:bottom w:val="nil"/>
              <w:right w:val="nil"/>
            </w:tcBorders>
            <w:shd w:val="clear" w:color="000000" w:fill="FFFFFF"/>
            <w:noWrap/>
            <w:vAlign w:val="bottom"/>
            <w:hideMark/>
          </w:tcPr>
          <w:p w14:paraId="16B4819F"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0.045</w:t>
            </w:r>
          </w:p>
        </w:tc>
        <w:tc>
          <w:tcPr>
            <w:tcW w:w="1163" w:type="pct"/>
            <w:tcBorders>
              <w:top w:val="nil"/>
              <w:left w:val="nil"/>
              <w:bottom w:val="nil"/>
              <w:right w:val="nil"/>
            </w:tcBorders>
            <w:shd w:val="clear" w:color="000000" w:fill="FFFFFF"/>
            <w:noWrap/>
            <w:vAlign w:val="bottom"/>
            <w:hideMark/>
          </w:tcPr>
          <w:p w14:paraId="25DD7420"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0.046</w:t>
            </w:r>
          </w:p>
        </w:tc>
        <w:tc>
          <w:tcPr>
            <w:tcW w:w="1163" w:type="pct"/>
            <w:tcBorders>
              <w:top w:val="nil"/>
              <w:left w:val="nil"/>
              <w:bottom w:val="nil"/>
              <w:right w:val="nil"/>
            </w:tcBorders>
            <w:shd w:val="clear" w:color="000000" w:fill="FFFFFF"/>
            <w:noWrap/>
            <w:vAlign w:val="bottom"/>
            <w:hideMark/>
          </w:tcPr>
          <w:p w14:paraId="3BBCAE6A"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−0.178**</w:t>
            </w:r>
          </w:p>
        </w:tc>
      </w:tr>
      <w:tr w:rsidR="00F770FF" w:rsidRPr="008E1113" w14:paraId="53892CD9" w14:textId="77777777" w:rsidTr="009704E4">
        <w:trPr>
          <w:trHeight w:val="276"/>
        </w:trPr>
        <w:tc>
          <w:tcPr>
            <w:tcW w:w="1510" w:type="pct"/>
            <w:tcBorders>
              <w:top w:val="nil"/>
              <w:left w:val="nil"/>
              <w:bottom w:val="nil"/>
              <w:right w:val="nil"/>
            </w:tcBorders>
            <w:shd w:val="clear" w:color="auto" w:fill="auto"/>
            <w:noWrap/>
            <w:hideMark/>
          </w:tcPr>
          <w:p w14:paraId="3F4943C7"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78BA09B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(0.077)</w:t>
            </w:r>
          </w:p>
        </w:tc>
        <w:tc>
          <w:tcPr>
            <w:tcW w:w="1163" w:type="pct"/>
            <w:tcBorders>
              <w:top w:val="nil"/>
              <w:left w:val="nil"/>
              <w:bottom w:val="nil"/>
              <w:right w:val="nil"/>
            </w:tcBorders>
            <w:shd w:val="clear" w:color="000000" w:fill="FFFFFF"/>
            <w:noWrap/>
            <w:hideMark/>
          </w:tcPr>
          <w:p w14:paraId="1413F5A5"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(0.056)</w:t>
            </w:r>
          </w:p>
        </w:tc>
        <w:tc>
          <w:tcPr>
            <w:tcW w:w="1163" w:type="pct"/>
            <w:tcBorders>
              <w:top w:val="nil"/>
              <w:left w:val="nil"/>
              <w:bottom w:val="nil"/>
              <w:right w:val="nil"/>
            </w:tcBorders>
            <w:shd w:val="clear" w:color="000000" w:fill="FFFFFF"/>
            <w:noWrap/>
            <w:hideMark/>
          </w:tcPr>
          <w:p w14:paraId="5CC3831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(0.074)</w:t>
            </w:r>
          </w:p>
        </w:tc>
      </w:tr>
      <w:tr w:rsidR="00F770FF" w:rsidRPr="008E1113" w14:paraId="5895EB53" w14:textId="77777777" w:rsidTr="009704E4">
        <w:trPr>
          <w:trHeight w:val="276"/>
        </w:trPr>
        <w:tc>
          <w:tcPr>
            <w:tcW w:w="1510" w:type="pct"/>
            <w:tcBorders>
              <w:top w:val="nil"/>
              <w:left w:val="nil"/>
              <w:bottom w:val="nil"/>
              <w:right w:val="nil"/>
            </w:tcBorders>
            <w:shd w:val="clear" w:color="000000" w:fill="FFFFFF"/>
            <w:noWrap/>
            <w:vAlign w:val="center"/>
            <w:hideMark/>
          </w:tcPr>
          <w:p w14:paraId="508A67B5"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Lead/follow ratio (LFR)</w:t>
            </w:r>
          </w:p>
        </w:tc>
        <w:tc>
          <w:tcPr>
            <w:tcW w:w="1163" w:type="pct"/>
            <w:tcBorders>
              <w:top w:val="nil"/>
              <w:left w:val="nil"/>
              <w:bottom w:val="nil"/>
              <w:right w:val="nil"/>
            </w:tcBorders>
            <w:shd w:val="clear" w:color="000000" w:fill="FFFFFF"/>
            <w:noWrap/>
            <w:vAlign w:val="bottom"/>
            <w:hideMark/>
          </w:tcPr>
          <w:p w14:paraId="68B973A7"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0.026***</w:t>
            </w:r>
          </w:p>
        </w:tc>
        <w:tc>
          <w:tcPr>
            <w:tcW w:w="1163" w:type="pct"/>
            <w:tcBorders>
              <w:top w:val="nil"/>
              <w:left w:val="nil"/>
              <w:bottom w:val="nil"/>
              <w:right w:val="nil"/>
            </w:tcBorders>
            <w:shd w:val="clear" w:color="000000" w:fill="FFFFFF"/>
            <w:noWrap/>
            <w:vAlign w:val="bottom"/>
            <w:hideMark/>
          </w:tcPr>
          <w:p w14:paraId="2D96B2E6"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0.006</w:t>
            </w:r>
          </w:p>
        </w:tc>
        <w:tc>
          <w:tcPr>
            <w:tcW w:w="1163" w:type="pct"/>
            <w:tcBorders>
              <w:top w:val="nil"/>
              <w:left w:val="nil"/>
              <w:bottom w:val="nil"/>
              <w:right w:val="nil"/>
            </w:tcBorders>
            <w:shd w:val="clear" w:color="000000" w:fill="FFFFFF"/>
            <w:noWrap/>
            <w:vAlign w:val="bottom"/>
            <w:hideMark/>
          </w:tcPr>
          <w:p w14:paraId="0959E43F"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−0.064***</w:t>
            </w:r>
          </w:p>
        </w:tc>
      </w:tr>
      <w:tr w:rsidR="00F770FF" w:rsidRPr="008E1113" w14:paraId="394BB562" w14:textId="77777777" w:rsidTr="009704E4">
        <w:trPr>
          <w:trHeight w:val="276"/>
        </w:trPr>
        <w:tc>
          <w:tcPr>
            <w:tcW w:w="1510" w:type="pct"/>
            <w:tcBorders>
              <w:top w:val="nil"/>
              <w:left w:val="nil"/>
              <w:bottom w:val="nil"/>
              <w:right w:val="nil"/>
            </w:tcBorders>
            <w:shd w:val="clear" w:color="auto" w:fill="auto"/>
            <w:noWrap/>
            <w:hideMark/>
          </w:tcPr>
          <w:p w14:paraId="0A71AFF7"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46783DEB"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(0.007)</w:t>
            </w:r>
          </w:p>
        </w:tc>
        <w:tc>
          <w:tcPr>
            <w:tcW w:w="1163" w:type="pct"/>
            <w:tcBorders>
              <w:top w:val="nil"/>
              <w:left w:val="nil"/>
              <w:bottom w:val="nil"/>
              <w:right w:val="nil"/>
            </w:tcBorders>
            <w:shd w:val="clear" w:color="000000" w:fill="FFFFFF"/>
            <w:noWrap/>
            <w:hideMark/>
          </w:tcPr>
          <w:p w14:paraId="0DEC3A23"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(0.006)</w:t>
            </w:r>
          </w:p>
        </w:tc>
        <w:tc>
          <w:tcPr>
            <w:tcW w:w="1163" w:type="pct"/>
            <w:tcBorders>
              <w:top w:val="nil"/>
              <w:left w:val="nil"/>
              <w:bottom w:val="nil"/>
              <w:right w:val="nil"/>
            </w:tcBorders>
            <w:shd w:val="clear" w:color="000000" w:fill="FFFFFF"/>
            <w:noWrap/>
            <w:hideMark/>
          </w:tcPr>
          <w:p w14:paraId="3A7F1B6B"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(0.011)</w:t>
            </w:r>
          </w:p>
        </w:tc>
      </w:tr>
      <w:tr w:rsidR="00F770FF" w:rsidRPr="008E1113" w14:paraId="5A3AD0C8" w14:textId="77777777" w:rsidTr="009704E4">
        <w:trPr>
          <w:trHeight w:val="276"/>
        </w:trPr>
        <w:tc>
          <w:tcPr>
            <w:tcW w:w="1510" w:type="pct"/>
            <w:tcBorders>
              <w:top w:val="nil"/>
              <w:left w:val="nil"/>
              <w:bottom w:val="nil"/>
              <w:right w:val="nil"/>
            </w:tcBorders>
            <w:shd w:val="clear" w:color="auto" w:fill="auto"/>
            <w:noWrap/>
            <w:vAlign w:val="bottom"/>
            <w:hideMark/>
          </w:tcPr>
          <w:p w14:paraId="287A3E74"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Forecast frequency</w:t>
            </w:r>
          </w:p>
        </w:tc>
        <w:tc>
          <w:tcPr>
            <w:tcW w:w="1163" w:type="pct"/>
            <w:tcBorders>
              <w:top w:val="nil"/>
              <w:left w:val="nil"/>
              <w:bottom w:val="nil"/>
              <w:right w:val="nil"/>
            </w:tcBorders>
            <w:shd w:val="clear" w:color="000000" w:fill="FFFFFF"/>
            <w:noWrap/>
            <w:vAlign w:val="bottom"/>
            <w:hideMark/>
          </w:tcPr>
          <w:p w14:paraId="74BAB76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0.102</w:t>
            </w:r>
          </w:p>
        </w:tc>
        <w:tc>
          <w:tcPr>
            <w:tcW w:w="1163" w:type="pct"/>
            <w:tcBorders>
              <w:top w:val="nil"/>
              <w:left w:val="nil"/>
              <w:bottom w:val="nil"/>
              <w:right w:val="nil"/>
            </w:tcBorders>
            <w:shd w:val="clear" w:color="000000" w:fill="FFFFFF"/>
            <w:noWrap/>
            <w:vAlign w:val="bottom"/>
            <w:hideMark/>
          </w:tcPr>
          <w:p w14:paraId="3A1B3E17"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0.086</w:t>
            </w:r>
          </w:p>
        </w:tc>
        <w:tc>
          <w:tcPr>
            <w:tcW w:w="1163" w:type="pct"/>
            <w:tcBorders>
              <w:top w:val="nil"/>
              <w:left w:val="nil"/>
              <w:bottom w:val="nil"/>
              <w:right w:val="nil"/>
            </w:tcBorders>
            <w:shd w:val="clear" w:color="000000" w:fill="FFFFFF"/>
            <w:noWrap/>
            <w:vAlign w:val="bottom"/>
            <w:hideMark/>
          </w:tcPr>
          <w:p w14:paraId="4229D771"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−0.383***</w:t>
            </w:r>
          </w:p>
        </w:tc>
      </w:tr>
      <w:tr w:rsidR="00F770FF" w:rsidRPr="008E1113" w14:paraId="5057B9F1" w14:textId="77777777" w:rsidTr="009704E4">
        <w:trPr>
          <w:trHeight w:val="276"/>
        </w:trPr>
        <w:tc>
          <w:tcPr>
            <w:tcW w:w="1510" w:type="pct"/>
            <w:tcBorders>
              <w:top w:val="nil"/>
              <w:left w:val="nil"/>
              <w:bottom w:val="nil"/>
              <w:right w:val="nil"/>
            </w:tcBorders>
            <w:shd w:val="clear" w:color="auto" w:fill="auto"/>
            <w:noWrap/>
            <w:hideMark/>
          </w:tcPr>
          <w:p w14:paraId="1D68747B"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4B4954C5"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(0.067)</w:t>
            </w:r>
          </w:p>
        </w:tc>
        <w:tc>
          <w:tcPr>
            <w:tcW w:w="1163" w:type="pct"/>
            <w:tcBorders>
              <w:top w:val="nil"/>
              <w:left w:val="nil"/>
              <w:bottom w:val="nil"/>
              <w:right w:val="nil"/>
            </w:tcBorders>
            <w:shd w:val="clear" w:color="000000" w:fill="FFFFFF"/>
            <w:noWrap/>
            <w:hideMark/>
          </w:tcPr>
          <w:p w14:paraId="5745EB5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(0.056)</w:t>
            </w:r>
          </w:p>
        </w:tc>
        <w:tc>
          <w:tcPr>
            <w:tcW w:w="1163" w:type="pct"/>
            <w:tcBorders>
              <w:top w:val="nil"/>
              <w:left w:val="nil"/>
              <w:bottom w:val="nil"/>
              <w:right w:val="nil"/>
            </w:tcBorders>
            <w:shd w:val="clear" w:color="000000" w:fill="FFFFFF"/>
            <w:noWrap/>
            <w:hideMark/>
          </w:tcPr>
          <w:p w14:paraId="306290BF"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(0.086)</w:t>
            </w:r>
          </w:p>
        </w:tc>
      </w:tr>
      <w:tr w:rsidR="00F770FF" w:rsidRPr="008E1113" w14:paraId="045686DD" w14:textId="77777777" w:rsidTr="009704E4">
        <w:trPr>
          <w:trHeight w:val="276"/>
        </w:trPr>
        <w:tc>
          <w:tcPr>
            <w:tcW w:w="1510" w:type="pct"/>
            <w:tcBorders>
              <w:top w:val="nil"/>
              <w:left w:val="nil"/>
              <w:bottom w:val="nil"/>
              <w:right w:val="nil"/>
            </w:tcBorders>
            <w:shd w:val="clear" w:color="auto" w:fill="auto"/>
            <w:noWrap/>
            <w:vAlign w:val="bottom"/>
            <w:hideMark/>
          </w:tcPr>
          <w:p w14:paraId="50852220"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Male</w:t>
            </w:r>
          </w:p>
        </w:tc>
        <w:tc>
          <w:tcPr>
            <w:tcW w:w="1163" w:type="pct"/>
            <w:tcBorders>
              <w:top w:val="nil"/>
              <w:left w:val="nil"/>
              <w:bottom w:val="nil"/>
              <w:right w:val="nil"/>
            </w:tcBorders>
            <w:shd w:val="clear" w:color="000000" w:fill="FFFFFF"/>
            <w:noWrap/>
            <w:vAlign w:val="bottom"/>
            <w:hideMark/>
          </w:tcPr>
          <w:p w14:paraId="1E7AFBB8"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0.023</w:t>
            </w:r>
          </w:p>
        </w:tc>
        <w:tc>
          <w:tcPr>
            <w:tcW w:w="1163" w:type="pct"/>
            <w:tcBorders>
              <w:top w:val="nil"/>
              <w:left w:val="nil"/>
              <w:bottom w:val="nil"/>
              <w:right w:val="nil"/>
            </w:tcBorders>
            <w:shd w:val="clear" w:color="000000" w:fill="FFFFFF"/>
            <w:noWrap/>
            <w:vAlign w:val="bottom"/>
            <w:hideMark/>
          </w:tcPr>
          <w:p w14:paraId="6F17905E"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−0.019</w:t>
            </w:r>
          </w:p>
        </w:tc>
        <w:tc>
          <w:tcPr>
            <w:tcW w:w="1163" w:type="pct"/>
            <w:tcBorders>
              <w:top w:val="nil"/>
              <w:left w:val="nil"/>
              <w:bottom w:val="nil"/>
              <w:right w:val="nil"/>
            </w:tcBorders>
            <w:shd w:val="clear" w:color="000000" w:fill="FFFFFF"/>
            <w:noWrap/>
            <w:vAlign w:val="bottom"/>
            <w:hideMark/>
          </w:tcPr>
          <w:p w14:paraId="760A4DC5"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0.009</w:t>
            </w:r>
          </w:p>
        </w:tc>
      </w:tr>
      <w:tr w:rsidR="00F770FF" w:rsidRPr="008E1113" w14:paraId="27330EA6" w14:textId="77777777" w:rsidTr="009704E4">
        <w:trPr>
          <w:trHeight w:val="300"/>
        </w:trPr>
        <w:tc>
          <w:tcPr>
            <w:tcW w:w="1510" w:type="pct"/>
            <w:tcBorders>
              <w:top w:val="nil"/>
              <w:left w:val="nil"/>
              <w:bottom w:val="nil"/>
              <w:right w:val="nil"/>
            </w:tcBorders>
            <w:shd w:val="clear" w:color="auto" w:fill="auto"/>
            <w:noWrap/>
            <w:hideMark/>
          </w:tcPr>
          <w:p w14:paraId="06808F5A"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0D08129E"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(0.055)</w:t>
            </w:r>
          </w:p>
        </w:tc>
        <w:tc>
          <w:tcPr>
            <w:tcW w:w="1163" w:type="pct"/>
            <w:tcBorders>
              <w:top w:val="nil"/>
              <w:left w:val="nil"/>
              <w:bottom w:val="nil"/>
              <w:right w:val="nil"/>
            </w:tcBorders>
            <w:shd w:val="clear" w:color="000000" w:fill="FFFFFF"/>
            <w:noWrap/>
            <w:hideMark/>
          </w:tcPr>
          <w:p w14:paraId="09BEDD3E"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(0.046)</w:t>
            </w:r>
          </w:p>
        </w:tc>
        <w:tc>
          <w:tcPr>
            <w:tcW w:w="1163" w:type="pct"/>
            <w:tcBorders>
              <w:top w:val="nil"/>
              <w:left w:val="nil"/>
              <w:bottom w:val="nil"/>
              <w:right w:val="nil"/>
            </w:tcBorders>
            <w:shd w:val="clear" w:color="000000" w:fill="FFFFFF"/>
            <w:noWrap/>
            <w:hideMark/>
          </w:tcPr>
          <w:p w14:paraId="7A3A3C95"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(0.072)</w:t>
            </w:r>
          </w:p>
        </w:tc>
      </w:tr>
      <w:tr w:rsidR="00F770FF" w:rsidRPr="008E1113" w14:paraId="67202CCC" w14:textId="77777777" w:rsidTr="009704E4">
        <w:trPr>
          <w:trHeight w:val="276"/>
        </w:trPr>
        <w:tc>
          <w:tcPr>
            <w:tcW w:w="1510" w:type="pct"/>
            <w:tcBorders>
              <w:top w:val="nil"/>
              <w:left w:val="nil"/>
              <w:bottom w:val="nil"/>
              <w:right w:val="nil"/>
            </w:tcBorders>
            <w:shd w:val="clear" w:color="auto" w:fill="auto"/>
            <w:noWrap/>
            <w:vAlign w:val="bottom"/>
            <w:hideMark/>
          </w:tcPr>
          <w:p w14:paraId="6CC5CD25"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Industry concentration (HHI)</w:t>
            </w:r>
          </w:p>
        </w:tc>
        <w:tc>
          <w:tcPr>
            <w:tcW w:w="1163" w:type="pct"/>
            <w:tcBorders>
              <w:top w:val="nil"/>
              <w:left w:val="nil"/>
              <w:bottom w:val="nil"/>
              <w:right w:val="nil"/>
            </w:tcBorders>
            <w:shd w:val="clear" w:color="000000" w:fill="FFFFFF"/>
            <w:noWrap/>
            <w:vAlign w:val="bottom"/>
            <w:hideMark/>
          </w:tcPr>
          <w:p w14:paraId="7B5BF248"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−0.001</w:t>
            </w:r>
          </w:p>
        </w:tc>
        <w:tc>
          <w:tcPr>
            <w:tcW w:w="1163" w:type="pct"/>
            <w:tcBorders>
              <w:top w:val="nil"/>
              <w:left w:val="nil"/>
              <w:bottom w:val="nil"/>
              <w:right w:val="nil"/>
            </w:tcBorders>
            <w:shd w:val="clear" w:color="000000" w:fill="FFFFFF"/>
            <w:noWrap/>
            <w:vAlign w:val="bottom"/>
            <w:hideMark/>
          </w:tcPr>
          <w:p w14:paraId="116ABF73"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0.000</w:t>
            </w:r>
          </w:p>
        </w:tc>
        <w:tc>
          <w:tcPr>
            <w:tcW w:w="1163" w:type="pct"/>
            <w:tcBorders>
              <w:top w:val="nil"/>
              <w:left w:val="nil"/>
              <w:bottom w:val="nil"/>
              <w:right w:val="nil"/>
            </w:tcBorders>
            <w:shd w:val="clear" w:color="000000" w:fill="FFFFFF"/>
            <w:noWrap/>
            <w:vAlign w:val="bottom"/>
            <w:hideMark/>
          </w:tcPr>
          <w:p w14:paraId="473F6C07"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0.000</w:t>
            </w:r>
          </w:p>
        </w:tc>
      </w:tr>
      <w:tr w:rsidR="00F770FF" w:rsidRPr="008E1113" w14:paraId="7F80F598" w14:textId="77777777" w:rsidTr="009704E4">
        <w:trPr>
          <w:trHeight w:val="276"/>
        </w:trPr>
        <w:tc>
          <w:tcPr>
            <w:tcW w:w="1510" w:type="pct"/>
            <w:tcBorders>
              <w:top w:val="nil"/>
              <w:left w:val="nil"/>
              <w:bottom w:val="nil"/>
              <w:right w:val="nil"/>
            </w:tcBorders>
            <w:shd w:val="clear" w:color="auto" w:fill="auto"/>
            <w:noWrap/>
            <w:hideMark/>
          </w:tcPr>
          <w:p w14:paraId="5863694C"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163" w:type="pct"/>
            <w:tcBorders>
              <w:top w:val="nil"/>
              <w:left w:val="nil"/>
              <w:bottom w:val="nil"/>
              <w:right w:val="nil"/>
            </w:tcBorders>
            <w:shd w:val="clear" w:color="000000" w:fill="FFFFFF"/>
            <w:noWrap/>
            <w:hideMark/>
          </w:tcPr>
          <w:p w14:paraId="78CB649E"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(0.001)</w:t>
            </w:r>
          </w:p>
        </w:tc>
        <w:tc>
          <w:tcPr>
            <w:tcW w:w="1163" w:type="pct"/>
            <w:tcBorders>
              <w:top w:val="nil"/>
              <w:left w:val="nil"/>
              <w:bottom w:val="nil"/>
              <w:right w:val="nil"/>
            </w:tcBorders>
            <w:shd w:val="clear" w:color="000000" w:fill="FFFFFF"/>
            <w:noWrap/>
            <w:hideMark/>
          </w:tcPr>
          <w:p w14:paraId="2DE003B3"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(0.001)</w:t>
            </w:r>
          </w:p>
        </w:tc>
        <w:tc>
          <w:tcPr>
            <w:tcW w:w="1163" w:type="pct"/>
            <w:tcBorders>
              <w:top w:val="nil"/>
              <w:left w:val="nil"/>
              <w:bottom w:val="nil"/>
              <w:right w:val="nil"/>
            </w:tcBorders>
            <w:shd w:val="clear" w:color="000000" w:fill="FFFFFF"/>
            <w:noWrap/>
            <w:hideMark/>
          </w:tcPr>
          <w:p w14:paraId="05FABF13"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(0.002)</w:t>
            </w:r>
          </w:p>
        </w:tc>
      </w:tr>
      <w:tr w:rsidR="00F770FF" w:rsidRPr="008E1113" w14:paraId="68E6CF51" w14:textId="77777777" w:rsidTr="009704E4">
        <w:trPr>
          <w:trHeight w:val="276"/>
        </w:trPr>
        <w:tc>
          <w:tcPr>
            <w:tcW w:w="1510" w:type="pct"/>
            <w:tcBorders>
              <w:top w:val="single" w:sz="4" w:space="0" w:color="auto"/>
              <w:left w:val="nil"/>
              <w:bottom w:val="nil"/>
              <w:right w:val="nil"/>
            </w:tcBorders>
            <w:shd w:val="clear" w:color="auto" w:fill="auto"/>
            <w:noWrap/>
            <w:vAlign w:val="bottom"/>
            <w:hideMark/>
          </w:tcPr>
          <w:p w14:paraId="115AC32E"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Year-fixed effects</w:t>
            </w:r>
          </w:p>
        </w:tc>
        <w:tc>
          <w:tcPr>
            <w:tcW w:w="1163" w:type="pct"/>
            <w:tcBorders>
              <w:top w:val="single" w:sz="4" w:space="0" w:color="auto"/>
              <w:left w:val="nil"/>
              <w:bottom w:val="nil"/>
              <w:right w:val="nil"/>
            </w:tcBorders>
            <w:shd w:val="clear" w:color="auto" w:fill="auto"/>
            <w:noWrap/>
            <w:vAlign w:val="bottom"/>
            <w:hideMark/>
          </w:tcPr>
          <w:p w14:paraId="61FE7208"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Yes</w:t>
            </w:r>
          </w:p>
        </w:tc>
        <w:tc>
          <w:tcPr>
            <w:tcW w:w="1163" w:type="pct"/>
            <w:tcBorders>
              <w:top w:val="single" w:sz="4" w:space="0" w:color="auto"/>
              <w:left w:val="nil"/>
              <w:bottom w:val="nil"/>
              <w:right w:val="nil"/>
            </w:tcBorders>
            <w:shd w:val="clear" w:color="auto" w:fill="auto"/>
            <w:noWrap/>
            <w:vAlign w:val="bottom"/>
            <w:hideMark/>
          </w:tcPr>
          <w:p w14:paraId="79699131"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Yes</w:t>
            </w:r>
          </w:p>
        </w:tc>
        <w:tc>
          <w:tcPr>
            <w:tcW w:w="1163" w:type="pct"/>
            <w:tcBorders>
              <w:top w:val="single" w:sz="4" w:space="0" w:color="auto"/>
              <w:left w:val="nil"/>
              <w:bottom w:val="nil"/>
              <w:right w:val="nil"/>
            </w:tcBorders>
            <w:shd w:val="clear" w:color="auto" w:fill="auto"/>
            <w:noWrap/>
            <w:vAlign w:val="bottom"/>
            <w:hideMark/>
          </w:tcPr>
          <w:p w14:paraId="61F40168"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Yes</w:t>
            </w:r>
          </w:p>
        </w:tc>
      </w:tr>
      <w:tr w:rsidR="00F770FF" w:rsidRPr="008E1113" w14:paraId="0905FABB" w14:textId="77777777" w:rsidTr="009704E4">
        <w:trPr>
          <w:trHeight w:val="276"/>
        </w:trPr>
        <w:tc>
          <w:tcPr>
            <w:tcW w:w="1510" w:type="pct"/>
            <w:tcBorders>
              <w:top w:val="nil"/>
              <w:left w:val="nil"/>
              <w:bottom w:val="nil"/>
              <w:right w:val="nil"/>
            </w:tcBorders>
            <w:shd w:val="clear" w:color="auto" w:fill="auto"/>
            <w:noWrap/>
            <w:vAlign w:val="bottom"/>
            <w:hideMark/>
          </w:tcPr>
          <w:p w14:paraId="79AC3CC6"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Broker-year clustering</w:t>
            </w:r>
          </w:p>
        </w:tc>
        <w:tc>
          <w:tcPr>
            <w:tcW w:w="1163" w:type="pct"/>
            <w:tcBorders>
              <w:top w:val="nil"/>
              <w:left w:val="nil"/>
              <w:bottom w:val="nil"/>
              <w:right w:val="nil"/>
            </w:tcBorders>
            <w:shd w:val="clear" w:color="auto" w:fill="auto"/>
            <w:noWrap/>
            <w:vAlign w:val="bottom"/>
            <w:hideMark/>
          </w:tcPr>
          <w:p w14:paraId="5FA47CC7"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Yes</w:t>
            </w:r>
          </w:p>
        </w:tc>
        <w:tc>
          <w:tcPr>
            <w:tcW w:w="1163" w:type="pct"/>
            <w:tcBorders>
              <w:top w:val="nil"/>
              <w:left w:val="nil"/>
              <w:bottom w:val="nil"/>
              <w:right w:val="nil"/>
            </w:tcBorders>
            <w:shd w:val="clear" w:color="auto" w:fill="auto"/>
            <w:noWrap/>
            <w:vAlign w:val="bottom"/>
            <w:hideMark/>
          </w:tcPr>
          <w:p w14:paraId="4453BA15"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Yes</w:t>
            </w:r>
          </w:p>
        </w:tc>
        <w:tc>
          <w:tcPr>
            <w:tcW w:w="1163" w:type="pct"/>
            <w:tcBorders>
              <w:top w:val="nil"/>
              <w:left w:val="nil"/>
              <w:bottom w:val="nil"/>
              <w:right w:val="nil"/>
            </w:tcBorders>
            <w:shd w:val="clear" w:color="auto" w:fill="auto"/>
            <w:noWrap/>
            <w:vAlign w:val="bottom"/>
            <w:hideMark/>
          </w:tcPr>
          <w:p w14:paraId="5B167EA9"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Yes</w:t>
            </w:r>
          </w:p>
        </w:tc>
      </w:tr>
      <w:tr w:rsidR="00F770FF" w:rsidRPr="008E1113" w14:paraId="6D385631" w14:textId="77777777" w:rsidTr="009704E4">
        <w:trPr>
          <w:trHeight w:val="288"/>
        </w:trPr>
        <w:tc>
          <w:tcPr>
            <w:tcW w:w="1510" w:type="pct"/>
            <w:tcBorders>
              <w:top w:val="nil"/>
              <w:left w:val="nil"/>
              <w:bottom w:val="double" w:sz="6" w:space="0" w:color="auto"/>
              <w:right w:val="nil"/>
            </w:tcBorders>
            <w:shd w:val="clear" w:color="auto" w:fill="auto"/>
            <w:noWrap/>
            <w:vAlign w:val="bottom"/>
            <w:hideMark/>
          </w:tcPr>
          <w:p w14:paraId="45708989" w14:textId="77777777" w:rsidR="00F770FF" w:rsidRPr="008E1113" w:rsidRDefault="00F770FF" w:rsidP="009704E4">
            <w:pPr>
              <w:spacing w:after="0" w:line="240" w:lineRule="auto"/>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Nobs.</w:t>
            </w:r>
          </w:p>
        </w:tc>
        <w:tc>
          <w:tcPr>
            <w:tcW w:w="1163" w:type="pct"/>
            <w:tcBorders>
              <w:top w:val="nil"/>
              <w:left w:val="nil"/>
              <w:bottom w:val="double" w:sz="6" w:space="0" w:color="auto"/>
              <w:right w:val="nil"/>
            </w:tcBorders>
            <w:shd w:val="clear" w:color="auto" w:fill="auto"/>
            <w:noWrap/>
            <w:vAlign w:val="bottom"/>
            <w:hideMark/>
          </w:tcPr>
          <w:p w14:paraId="0959300E"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 xml:space="preserve">25,678 </w:t>
            </w:r>
          </w:p>
        </w:tc>
        <w:tc>
          <w:tcPr>
            <w:tcW w:w="1163" w:type="pct"/>
            <w:tcBorders>
              <w:top w:val="nil"/>
              <w:left w:val="nil"/>
              <w:bottom w:val="double" w:sz="6" w:space="0" w:color="auto"/>
              <w:right w:val="nil"/>
            </w:tcBorders>
            <w:shd w:val="clear" w:color="auto" w:fill="auto"/>
            <w:noWrap/>
            <w:vAlign w:val="bottom"/>
            <w:hideMark/>
          </w:tcPr>
          <w:p w14:paraId="3D95300D"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 xml:space="preserve">25,678 </w:t>
            </w:r>
          </w:p>
        </w:tc>
        <w:tc>
          <w:tcPr>
            <w:tcW w:w="1163" w:type="pct"/>
            <w:tcBorders>
              <w:top w:val="nil"/>
              <w:left w:val="nil"/>
              <w:bottom w:val="double" w:sz="6" w:space="0" w:color="auto"/>
              <w:right w:val="nil"/>
            </w:tcBorders>
            <w:shd w:val="clear" w:color="auto" w:fill="auto"/>
            <w:noWrap/>
            <w:vAlign w:val="bottom"/>
            <w:hideMark/>
          </w:tcPr>
          <w:p w14:paraId="1F612796" w14:textId="77777777" w:rsidR="00F770FF" w:rsidRPr="008E1113" w:rsidRDefault="00F770FF" w:rsidP="009704E4">
            <w:pPr>
              <w:spacing w:after="0" w:line="240" w:lineRule="auto"/>
              <w:jc w:val="center"/>
              <w:rPr>
                <w:rFonts w:ascii="Century Schoolbook" w:eastAsia="Times New Roman" w:hAnsi="Century Schoolbook" w:cs="Times New Roman"/>
                <w:color w:val="000000"/>
                <w:sz w:val="20"/>
                <w:szCs w:val="20"/>
              </w:rPr>
            </w:pPr>
            <w:r w:rsidRPr="008E1113">
              <w:rPr>
                <w:rFonts w:ascii="Century Schoolbook" w:eastAsia="Times New Roman" w:hAnsi="Century Schoolbook" w:cs="Times New Roman"/>
                <w:color w:val="000000"/>
                <w:sz w:val="20"/>
                <w:szCs w:val="20"/>
              </w:rPr>
              <w:t xml:space="preserve">25,678 </w:t>
            </w:r>
          </w:p>
        </w:tc>
      </w:tr>
    </w:tbl>
    <w:p w14:paraId="254F988D" w14:textId="77777777" w:rsidR="00F770FF" w:rsidRPr="008E1113" w:rsidRDefault="00F770FF" w:rsidP="00F770FF">
      <w:pPr>
        <w:rPr>
          <w:sz w:val="20"/>
          <w:szCs w:val="20"/>
        </w:rPr>
      </w:pPr>
    </w:p>
    <w:p w14:paraId="3ABC1E86" w14:textId="0BBFB4E5" w:rsidR="00F770FF" w:rsidRPr="000F4D18" w:rsidRDefault="00F770FF" w:rsidP="00F770FF">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r>
        <w:rPr>
          <w:sz w:val="16"/>
        </w:rPr>
        <w:br w:type="page"/>
      </w:r>
      <w:r w:rsidR="00B773EE">
        <w:rPr>
          <w:rFonts w:ascii="Century Schoolbook" w:eastAsia="Times New Roman" w:hAnsi="Century Schoolbook" w:cs="Times New Roman"/>
          <w:b/>
          <w:sz w:val="20"/>
          <w:szCs w:val="20"/>
          <w:lang w:eastAsia="fr-FR"/>
        </w:rPr>
        <w:lastRenderedPageBreak/>
        <w:t xml:space="preserve"> </w:t>
      </w:r>
      <w:r w:rsidRPr="000F4D18">
        <w:rPr>
          <w:rFonts w:ascii="Century Schoolbook" w:eastAsia="Times New Roman" w:hAnsi="Century Schoolbook" w:cs="Times New Roman"/>
          <w:b/>
          <w:sz w:val="20"/>
          <w:szCs w:val="20"/>
          <w:lang w:eastAsia="fr-FR"/>
        </w:rPr>
        <w:t xml:space="preserve">Table </w:t>
      </w:r>
      <w:r w:rsidR="00B773EE">
        <w:rPr>
          <w:rFonts w:ascii="Century Schoolbook" w:eastAsia="Times New Roman" w:hAnsi="Century Schoolbook" w:cs="Times New Roman"/>
          <w:b/>
          <w:sz w:val="20"/>
          <w:szCs w:val="20"/>
          <w:lang w:eastAsia="fr-FR"/>
        </w:rPr>
        <w:t>5</w:t>
      </w:r>
    </w:p>
    <w:p w14:paraId="5DEBC77B" w14:textId="0486C4EB" w:rsidR="00F770FF" w:rsidRDefault="00F770FF" w:rsidP="00F770FF">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r w:rsidRPr="000F4D18">
        <w:rPr>
          <w:rFonts w:ascii="Century Schoolbook" w:eastAsia="Times New Roman" w:hAnsi="Century Schoolbook" w:cs="Times New Roman"/>
          <w:b/>
          <w:i/>
          <w:sz w:val="20"/>
          <w:szCs w:val="20"/>
          <w:lang w:eastAsia="fr-FR"/>
        </w:rPr>
        <w:t>Stock Price Reaction to Recommendation Changes: Regression analysis</w:t>
      </w:r>
    </w:p>
    <w:p w14:paraId="413D1E19" w14:textId="77777777" w:rsidR="00AD785D" w:rsidRPr="00AD785D" w:rsidRDefault="00AD785D" w:rsidP="00F770FF">
      <w:pPr>
        <w:autoSpaceDE w:val="0"/>
        <w:autoSpaceDN w:val="0"/>
        <w:adjustRightInd w:val="0"/>
        <w:spacing w:after="0" w:line="240" w:lineRule="auto"/>
        <w:jc w:val="center"/>
        <w:rPr>
          <w:rFonts w:ascii="Century Schoolbook" w:eastAsia="Times New Roman" w:hAnsi="Century Schoolbook" w:cs="Times New Roman"/>
          <w:b/>
          <w:i/>
          <w:sz w:val="14"/>
          <w:szCs w:val="20"/>
          <w:lang w:eastAsia="fr-FR"/>
        </w:rPr>
      </w:pPr>
    </w:p>
    <w:p w14:paraId="7A2BF012" w14:textId="574058BE" w:rsidR="00F770FF" w:rsidRPr="00F24E35" w:rsidRDefault="00F770FF" w:rsidP="00A00E73">
      <w:pPr>
        <w:autoSpaceDE w:val="0"/>
        <w:autoSpaceDN w:val="0"/>
        <w:adjustRightInd w:val="0"/>
        <w:spacing w:after="0"/>
        <w:jc w:val="both"/>
        <w:rPr>
          <w:rFonts w:ascii="Century Schoolbook" w:eastAsia="Times New Roman" w:hAnsi="Century Schoolbook" w:cs="Times New Roman"/>
          <w:b/>
          <w:sz w:val="21"/>
          <w:szCs w:val="21"/>
          <w:lang w:eastAsia="fr-FR"/>
        </w:rPr>
      </w:pPr>
      <w:r w:rsidRPr="00F24E35">
        <w:rPr>
          <w:rFonts w:ascii="Century Schoolbook" w:eastAsia="Times New Roman" w:hAnsi="Century Schoolbook" w:cs="Times New Roman"/>
          <w:sz w:val="21"/>
          <w:szCs w:val="21"/>
          <w:lang w:eastAsia="fr-FR"/>
        </w:rPr>
        <w:t xml:space="preserve">The sample consists of recommendation changes issued by slow-turnover and fast-turnover analysts from 1996 through 2013. All control variables are defined in Appendix </w:t>
      </w:r>
      <w:r w:rsidRPr="00F24E35">
        <w:rPr>
          <w:rFonts w:ascii="Century Schoolbook" w:eastAsia="Times New Roman" w:hAnsi="Century Schoolbook" w:cs="Times New Roman"/>
          <w:b/>
          <w:sz w:val="21"/>
          <w:szCs w:val="21"/>
          <w:lang w:eastAsia="fr-FR"/>
        </w:rPr>
        <w:t xml:space="preserve">A. </w:t>
      </w:r>
      <w:r w:rsidR="00A00E73" w:rsidRPr="00F24E35">
        <w:rPr>
          <w:rFonts w:ascii="Century Schoolbook" w:eastAsia="Times New Roman" w:hAnsi="Century Schoolbook" w:cs="Times New Roman"/>
          <w:sz w:val="21"/>
          <w:szCs w:val="21"/>
          <w:lang w:eastAsia="fr-FR"/>
        </w:rPr>
        <w:t>S</w:t>
      </w:r>
      <w:r w:rsidRPr="00F24E35">
        <w:rPr>
          <w:rFonts w:ascii="Century Schoolbook" w:eastAsia="Times New Roman" w:hAnsi="Century Schoolbook" w:cs="Times New Roman"/>
          <w:sz w:val="21"/>
          <w:szCs w:val="21"/>
          <w:lang w:eastAsia="fr-FR"/>
        </w:rPr>
        <w:t>tandard error</w:t>
      </w:r>
      <w:r w:rsidR="00A00E73" w:rsidRPr="00F24E35">
        <w:rPr>
          <w:rFonts w:ascii="Century Schoolbook" w:eastAsia="Times New Roman" w:hAnsi="Century Schoolbook" w:cs="Times New Roman"/>
          <w:sz w:val="21"/>
          <w:szCs w:val="21"/>
          <w:lang w:eastAsia="fr-FR"/>
        </w:rPr>
        <w:t>s are</w:t>
      </w:r>
      <w:r w:rsidRPr="00F24E35">
        <w:rPr>
          <w:rFonts w:ascii="Century Schoolbook" w:eastAsia="Times New Roman" w:hAnsi="Century Schoolbook" w:cs="Times New Roman"/>
          <w:sz w:val="21"/>
          <w:szCs w:val="21"/>
          <w:lang w:eastAsia="fr-FR"/>
        </w:rPr>
        <w:t xml:space="preserve"> clustered at the firm level. </w:t>
      </w:r>
      <w:r w:rsidRPr="00F24E35">
        <w:rPr>
          <w:rFonts w:ascii="Cambria Math" w:eastAsia="Times New Roman" w:hAnsi="Cambria Math" w:cs="Cambria Math"/>
          <w:sz w:val="21"/>
          <w:szCs w:val="21"/>
          <w:lang w:eastAsia="fr-FR"/>
        </w:rPr>
        <w:t>∗</w:t>
      </w:r>
      <w:r w:rsidRPr="00F24E35">
        <w:rPr>
          <w:rFonts w:ascii="Century Schoolbook" w:eastAsia="Times New Roman" w:hAnsi="Century Schoolbook" w:cs="Times New Roman"/>
          <w:sz w:val="21"/>
          <w:szCs w:val="21"/>
          <w:lang w:eastAsia="fr-FR"/>
        </w:rPr>
        <w:t xml:space="preserve">, </w:t>
      </w:r>
      <w:r w:rsidRPr="00F24E35">
        <w:rPr>
          <w:rFonts w:ascii="Cambria Math" w:eastAsia="Times New Roman" w:hAnsi="Cambria Math" w:cs="Cambria Math"/>
          <w:sz w:val="21"/>
          <w:szCs w:val="21"/>
          <w:lang w:eastAsia="fr-FR"/>
        </w:rPr>
        <w:t>∗∗</w:t>
      </w:r>
      <w:r w:rsidRPr="00F24E35">
        <w:rPr>
          <w:rFonts w:ascii="Century Schoolbook" w:eastAsia="Times New Roman" w:hAnsi="Century Schoolbook" w:cs="Times New Roman"/>
          <w:sz w:val="21"/>
          <w:szCs w:val="21"/>
          <w:lang w:eastAsia="fr-FR"/>
        </w:rPr>
        <w:t>, and</w:t>
      </w:r>
      <w:r w:rsidRPr="00F24E35">
        <w:rPr>
          <w:rFonts w:ascii="Cambria Math" w:eastAsia="Times New Roman" w:hAnsi="Cambria Math" w:cs="Cambria Math"/>
          <w:sz w:val="21"/>
          <w:szCs w:val="21"/>
          <w:lang w:eastAsia="fr-FR"/>
        </w:rPr>
        <w:t>∗∗∗</w:t>
      </w:r>
      <w:r w:rsidRPr="00F24E35">
        <w:rPr>
          <w:rFonts w:ascii="Century Schoolbook" w:eastAsia="Times New Roman" w:hAnsi="Century Schoolbook" w:cs="Times New Roman"/>
          <w:sz w:val="21"/>
          <w:szCs w:val="21"/>
          <w:lang w:eastAsia="fr-FR"/>
        </w:rPr>
        <w:t xml:space="preserve"> indicate significance at the 10%, 5%, and 1% level, respectively.</w:t>
      </w:r>
    </w:p>
    <w:tbl>
      <w:tblPr>
        <w:tblW w:w="5076" w:type="pct"/>
        <w:tblLook w:val="04A0" w:firstRow="1" w:lastRow="0" w:firstColumn="1" w:lastColumn="0" w:noHBand="0" w:noVBand="1"/>
      </w:tblPr>
      <w:tblGrid>
        <w:gridCol w:w="5073"/>
        <w:gridCol w:w="2050"/>
        <w:gridCol w:w="2438"/>
      </w:tblGrid>
      <w:tr w:rsidR="00F770FF" w:rsidRPr="00B950B0" w14:paraId="5FB61EB2" w14:textId="77777777" w:rsidTr="00A00E73">
        <w:trPr>
          <w:trHeight w:val="272"/>
        </w:trPr>
        <w:tc>
          <w:tcPr>
            <w:tcW w:w="2653" w:type="pct"/>
            <w:tcBorders>
              <w:top w:val="single" w:sz="4" w:space="0" w:color="auto"/>
              <w:left w:val="nil"/>
              <w:bottom w:val="single" w:sz="4" w:space="0" w:color="auto"/>
              <w:right w:val="nil"/>
            </w:tcBorders>
            <w:shd w:val="clear" w:color="000000" w:fill="FFFFFF"/>
            <w:noWrap/>
            <w:vAlign w:val="center"/>
            <w:hideMark/>
          </w:tcPr>
          <w:p w14:paraId="02A5E66B" w14:textId="77777777" w:rsidR="00F770FF" w:rsidRPr="00B950B0" w:rsidRDefault="00F770FF" w:rsidP="009704E4">
            <w:pPr>
              <w:spacing w:after="0" w:line="240" w:lineRule="auto"/>
              <w:jc w:val="center"/>
              <w:rPr>
                <w:rFonts w:ascii="Century Schoolbook" w:eastAsia="Times New Roman" w:hAnsi="Century Schoolbook" w:cs="Times New Roman"/>
                <w:i/>
                <w:iCs/>
                <w:color w:val="000000"/>
                <w:sz w:val="18"/>
                <w:szCs w:val="18"/>
              </w:rPr>
            </w:pPr>
            <w:r w:rsidRPr="00B950B0">
              <w:rPr>
                <w:rFonts w:ascii="Century Schoolbook" w:eastAsia="Times New Roman" w:hAnsi="Century Schoolbook" w:cs="Times New Roman"/>
                <w:i/>
                <w:iCs/>
                <w:color w:val="000000"/>
                <w:sz w:val="18"/>
                <w:szCs w:val="18"/>
              </w:rPr>
              <w:t> </w:t>
            </w:r>
          </w:p>
        </w:tc>
        <w:tc>
          <w:tcPr>
            <w:tcW w:w="2347" w:type="pct"/>
            <w:gridSpan w:val="2"/>
            <w:tcBorders>
              <w:top w:val="single" w:sz="4" w:space="0" w:color="auto"/>
              <w:left w:val="nil"/>
              <w:bottom w:val="single" w:sz="4" w:space="0" w:color="auto"/>
              <w:right w:val="nil"/>
            </w:tcBorders>
            <w:shd w:val="clear" w:color="000000" w:fill="FFFFFF"/>
            <w:vAlign w:val="center"/>
            <w:hideMark/>
          </w:tcPr>
          <w:p w14:paraId="31853E5C" w14:textId="3DB04677" w:rsidR="00F770FF" w:rsidRPr="00B950B0" w:rsidRDefault="00F770FF" w:rsidP="009704E4">
            <w:pPr>
              <w:spacing w:after="0" w:line="240" w:lineRule="auto"/>
              <w:jc w:val="center"/>
              <w:rPr>
                <w:rFonts w:ascii="Century Schoolbook" w:eastAsia="Times New Roman" w:hAnsi="Century Schoolbook" w:cs="Times New Roman"/>
                <w:i/>
                <w:iCs/>
                <w:color w:val="000000"/>
                <w:sz w:val="18"/>
                <w:szCs w:val="18"/>
              </w:rPr>
            </w:pPr>
            <w:r w:rsidRPr="00B950B0">
              <w:rPr>
                <w:rFonts w:ascii="Century Schoolbook" w:eastAsia="Times New Roman" w:hAnsi="Century Schoolbook" w:cs="Times New Roman"/>
                <w:i/>
                <w:iCs/>
                <w:color w:val="000000"/>
                <w:sz w:val="18"/>
                <w:szCs w:val="18"/>
              </w:rPr>
              <w:t xml:space="preserve"> Dependent Variable:  BHAR( </w:t>
            </w:r>
            <w:r w:rsidR="00F0594E">
              <w:rPr>
                <w:rFonts w:ascii="Century Schoolbook" w:eastAsia="Times New Roman" w:hAnsi="Century Schoolbook" w:cs="Times New Roman"/>
                <w:i/>
                <w:iCs/>
                <w:color w:val="000000"/>
                <w:sz w:val="18"/>
                <w:szCs w:val="18"/>
              </w:rPr>
              <w:t>−</w:t>
            </w:r>
            <w:r w:rsidRPr="00B950B0">
              <w:rPr>
                <w:rFonts w:ascii="Century Schoolbook" w:eastAsia="Times New Roman" w:hAnsi="Century Schoolbook" w:cs="Times New Roman"/>
                <w:i/>
                <w:iCs/>
                <w:color w:val="000000"/>
                <w:sz w:val="18"/>
                <w:szCs w:val="18"/>
              </w:rPr>
              <w:t>1,+1)</w:t>
            </w:r>
          </w:p>
        </w:tc>
      </w:tr>
      <w:tr w:rsidR="00F770FF" w:rsidRPr="00B950B0" w14:paraId="6E73829E" w14:textId="77777777" w:rsidTr="00A00E73">
        <w:trPr>
          <w:trHeight w:val="245"/>
        </w:trPr>
        <w:tc>
          <w:tcPr>
            <w:tcW w:w="2653" w:type="pct"/>
            <w:tcBorders>
              <w:top w:val="nil"/>
              <w:left w:val="nil"/>
              <w:bottom w:val="nil"/>
              <w:right w:val="nil"/>
            </w:tcBorders>
            <w:shd w:val="clear" w:color="000000" w:fill="FFFFFF"/>
            <w:noWrap/>
            <w:vAlign w:val="bottom"/>
            <w:hideMark/>
          </w:tcPr>
          <w:p w14:paraId="68C48A3F" w14:textId="77777777" w:rsidR="00F770FF" w:rsidRPr="00B950B0" w:rsidRDefault="00F770FF" w:rsidP="009704E4">
            <w:pPr>
              <w:spacing w:after="0" w:line="240" w:lineRule="auto"/>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single" w:sz="4" w:space="0" w:color="auto"/>
              <w:right w:val="nil"/>
            </w:tcBorders>
            <w:shd w:val="clear" w:color="000000" w:fill="FFFFFF"/>
            <w:noWrap/>
            <w:vAlign w:val="bottom"/>
            <w:hideMark/>
          </w:tcPr>
          <w:p w14:paraId="56F88F31"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(1) Upgrade</w:t>
            </w:r>
          </w:p>
        </w:tc>
        <w:tc>
          <w:tcPr>
            <w:tcW w:w="1275" w:type="pct"/>
            <w:tcBorders>
              <w:top w:val="nil"/>
              <w:left w:val="nil"/>
              <w:bottom w:val="single" w:sz="4" w:space="0" w:color="auto"/>
              <w:right w:val="nil"/>
            </w:tcBorders>
            <w:shd w:val="clear" w:color="000000" w:fill="FFFFFF"/>
            <w:noWrap/>
            <w:vAlign w:val="bottom"/>
            <w:hideMark/>
          </w:tcPr>
          <w:p w14:paraId="189A31C1"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(2) Downgrade</w:t>
            </w:r>
          </w:p>
        </w:tc>
      </w:tr>
      <w:tr w:rsidR="00F770FF" w:rsidRPr="00B950B0" w14:paraId="60580D75" w14:textId="77777777" w:rsidTr="00A00E73">
        <w:trPr>
          <w:trHeight w:val="235"/>
        </w:trPr>
        <w:tc>
          <w:tcPr>
            <w:tcW w:w="2653" w:type="pct"/>
            <w:tcBorders>
              <w:top w:val="nil"/>
              <w:left w:val="nil"/>
              <w:bottom w:val="nil"/>
              <w:right w:val="nil"/>
            </w:tcBorders>
            <w:shd w:val="clear" w:color="000000" w:fill="FFFFFF"/>
            <w:noWrap/>
            <w:vAlign w:val="bottom"/>
            <w:hideMark/>
          </w:tcPr>
          <w:p w14:paraId="6066C881" w14:textId="77777777" w:rsidR="00F770FF" w:rsidRPr="00B950B0" w:rsidRDefault="00F770FF" w:rsidP="009704E4">
            <w:pPr>
              <w:spacing w:after="0" w:line="240" w:lineRule="auto"/>
              <w:rPr>
                <w:rFonts w:ascii="Century Schoolbook" w:eastAsia="Times New Roman" w:hAnsi="Century Schoolbook" w:cs="Times New Roman"/>
                <w:i/>
                <w:iCs/>
                <w:color w:val="000000"/>
                <w:sz w:val="18"/>
                <w:szCs w:val="18"/>
              </w:rPr>
            </w:pPr>
            <w:r w:rsidRPr="00B950B0">
              <w:rPr>
                <w:rFonts w:ascii="Century Schoolbook" w:eastAsia="Times New Roman" w:hAnsi="Century Schoolbook" w:cs="Times New Roman"/>
                <w:i/>
                <w:iCs/>
                <w:color w:val="000000"/>
                <w:sz w:val="18"/>
                <w:szCs w:val="18"/>
              </w:rPr>
              <w:t xml:space="preserve">Recommendation turnover </w:t>
            </w:r>
          </w:p>
        </w:tc>
        <w:tc>
          <w:tcPr>
            <w:tcW w:w="1072" w:type="pct"/>
            <w:tcBorders>
              <w:top w:val="nil"/>
              <w:left w:val="nil"/>
              <w:bottom w:val="nil"/>
              <w:right w:val="nil"/>
            </w:tcBorders>
            <w:shd w:val="clear" w:color="000000" w:fill="FFFFFF"/>
            <w:noWrap/>
            <w:vAlign w:val="bottom"/>
            <w:hideMark/>
          </w:tcPr>
          <w:p w14:paraId="6226E649"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275" w:type="pct"/>
            <w:tcBorders>
              <w:top w:val="nil"/>
              <w:left w:val="nil"/>
              <w:bottom w:val="nil"/>
              <w:right w:val="nil"/>
            </w:tcBorders>
            <w:shd w:val="clear" w:color="000000" w:fill="FFFFFF"/>
            <w:noWrap/>
            <w:vAlign w:val="bottom"/>
            <w:hideMark/>
          </w:tcPr>
          <w:p w14:paraId="095D6E2B"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r>
      <w:tr w:rsidR="00F770FF" w:rsidRPr="00B950B0" w14:paraId="4C705FF3" w14:textId="77777777" w:rsidTr="00A00E73">
        <w:trPr>
          <w:trHeight w:val="217"/>
        </w:trPr>
        <w:tc>
          <w:tcPr>
            <w:tcW w:w="2653" w:type="pct"/>
            <w:tcBorders>
              <w:top w:val="nil"/>
              <w:left w:val="nil"/>
              <w:bottom w:val="nil"/>
              <w:right w:val="nil"/>
            </w:tcBorders>
            <w:shd w:val="clear" w:color="000000" w:fill="FFFFFF"/>
            <w:noWrap/>
            <w:vAlign w:val="bottom"/>
            <w:hideMark/>
          </w:tcPr>
          <w:p w14:paraId="2D09374B" w14:textId="77777777" w:rsidR="00F770FF" w:rsidRPr="00B950B0" w:rsidRDefault="00F770FF" w:rsidP="009704E4">
            <w:pPr>
              <w:spacing w:after="0" w:line="240" w:lineRule="auto"/>
              <w:ind w:left="162"/>
              <w:rPr>
                <w:rFonts w:ascii="Century Schoolbook" w:eastAsia="Times New Roman" w:hAnsi="Century Schoolbook" w:cs="Times New Roman"/>
                <w:b/>
                <w:bCs/>
                <w:color w:val="000000"/>
                <w:sz w:val="18"/>
                <w:szCs w:val="18"/>
              </w:rPr>
            </w:pPr>
            <w:r w:rsidRPr="00B950B0">
              <w:rPr>
                <w:rFonts w:ascii="Century Schoolbook" w:eastAsia="Times New Roman" w:hAnsi="Century Schoolbook" w:cs="Times New Roman"/>
                <w:b/>
                <w:bCs/>
                <w:color w:val="000000"/>
                <w:sz w:val="18"/>
                <w:szCs w:val="18"/>
              </w:rPr>
              <w:t>Slow Analyst</w:t>
            </w:r>
          </w:p>
        </w:tc>
        <w:tc>
          <w:tcPr>
            <w:tcW w:w="1072" w:type="pct"/>
            <w:tcBorders>
              <w:top w:val="nil"/>
              <w:left w:val="nil"/>
              <w:bottom w:val="nil"/>
              <w:right w:val="nil"/>
            </w:tcBorders>
            <w:shd w:val="clear" w:color="000000" w:fill="FFFFFF"/>
            <w:noWrap/>
            <w:vAlign w:val="bottom"/>
            <w:hideMark/>
          </w:tcPr>
          <w:p w14:paraId="559B0067" w14:textId="77777777" w:rsidR="00F770FF" w:rsidRPr="00B950B0" w:rsidRDefault="00F770FF" w:rsidP="009704E4">
            <w:pPr>
              <w:spacing w:after="0" w:line="240" w:lineRule="auto"/>
              <w:jc w:val="center"/>
              <w:rPr>
                <w:rFonts w:ascii="Century Schoolbook" w:eastAsia="Times New Roman" w:hAnsi="Century Schoolbook" w:cs="Times New Roman"/>
                <w:b/>
                <w:bCs/>
                <w:color w:val="000000"/>
                <w:sz w:val="18"/>
                <w:szCs w:val="18"/>
              </w:rPr>
            </w:pPr>
            <w:r w:rsidRPr="00B950B0">
              <w:rPr>
                <w:rFonts w:ascii="Century Schoolbook" w:eastAsia="Times New Roman" w:hAnsi="Century Schoolbook" w:cs="Times New Roman"/>
                <w:b/>
                <w:bCs/>
                <w:color w:val="000000"/>
                <w:sz w:val="18"/>
                <w:szCs w:val="18"/>
              </w:rPr>
              <w:t>0.464**</w:t>
            </w:r>
          </w:p>
        </w:tc>
        <w:tc>
          <w:tcPr>
            <w:tcW w:w="1275" w:type="pct"/>
            <w:tcBorders>
              <w:top w:val="nil"/>
              <w:left w:val="nil"/>
              <w:bottom w:val="nil"/>
              <w:right w:val="nil"/>
            </w:tcBorders>
            <w:shd w:val="clear" w:color="000000" w:fill="FFFFFF"/>
            <w:noWrap/>
            <w:vAlign w:val="bottom"/>
            <w:hideMark/>
          </w:tcPr>
          <w:p w14:paraId="366B4630" w14:textId="48F21526" w:rsidR="00F770FF" w:rsidRPr="00B950B0" w:rsidRDefault="00F0594E" w:rsidP="009704E4">
            <w:pPr>
              <w:spacing w:after="0" w:line="240" w:lineRule="auto"/>
              <w:jc w:val="center"/>
              <w:rPr>
                <w:rFonts w:ascii="Century Schoolbook" w:eastAsia="Times New Roman" w:hAnsi="Century Schoolbook" w:cs="Times New Roman"/>
                <w:b/>
                <w:bCs/>
                <w:color w:val="000000"/>
                <w:sz w:val="18"/>
                <w:szCs w:val="18"/>
              </w:rPr>
            </w:pPr>
            <w:r>
              <w:rPr>
                <w:rFonts w:ascii="Century Schoolbook" w:eastAsia="Times New Roman" w:hAnsi="Century Schoolbook" w:cs="Times New Roman"/>
                <w:b/>
                <w:bCs/>
                <w:color w:val="000000"/>
                <w:sz w:val="18"/>
                <w:szCs w:val="18"/>
              </w:rPr>
              <w:t>−</w:t>
            </w:r>
            <w:r w:rsidR="00F770FF" w:rsidRPr="00B950B0">
              <w:rPr>
                <w:rFonts w:ascii="Century Schoolbook" w:eastAsia="Times New Roman" w:hAnsi="Century Schoolbook" w:cs="Times New Roman"/>
                <w:b/>
                <w:bCs/>
                <w:color w:val="000000"/>
                <w:sz w:val="18"/>
                <w:szCs w:val="18"/>
              </w:rPr>
              <w:t>0.758***</w:t>
            </w:r>
          </w:p>
        </w:tc>
      </w:tr>
      <w:tr w:rsidR="00F770FF" w:rsidRPr="00B950B0" w14:paraId="7CF687F0" w14:textId="77777777" w:rsidTr="00A00E73">
        <w:trPr>
          <w:trHeight w:val="245"/>
        </w:trPr>
        <w:tc>
          <w:tcPr>
            <w:tcW w:w="2653" w:type="pct"/>
            <w:tcBorders>
              <w:top w:val="nil"/>
              <w:left w:val="nil"/>
              <w:bottom w:val="nil"/>
              <w:right w:val="nil"/>
            </w:tcBorders>
            <w:shd w:val="clear" w:color="000000" w:fill="FFFFFF"/>
            <w:noWrap/>
            <w:vAlign w:val="bottom"/>
            <w:hideMark/>
          </w:tcPr>
          <w:p w14:paraId="0E1DD62E" w14:textId="77777777" w:rsidR="00F770FF" w:rsidRPr="00B950B0" w:rsidRDefault="00F770FF" w:rsidP="009704E4">
            <w:pPr>
              <w:spacing w:after="0" w:line="240" w:lineRule="auto"/>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29AE6194"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(0.218)</w:t>
            </w:r>
          </w:p>
        </w:tc>
        <w:tc>
          <w:tcPr>
            <w:tcW w:w="1275" w:type="pct"/>
            <w:tcBorders>
              <w:top w:val="nil"/>
              <w:left w:val="nil"/>
              <w:bottom w:val="nil"/>
              <w:right w:val="nil"/>
            </w:tcBorders>
            <w:shd w:val="clear" w:color="000000" w:fill="FFFFFF"/>
            <w:noWrap/>
            <w:vAlign w:val="bottom"/>
            <w:hideMark/>
          </w:tcPr>
          <w:p w14:paraId="21E22D74"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(0.205)</w:t>
            </w:r>
          </w:p>
        </w:tc>
      </w:tr>
      <w:tr w:rsidR="00F770FF" w:rsidRPr="00B950B0" w14:paraId="7F228A68" w14:textId="77777777" w:rsidTr="00A00E73">
        <w:trPr>
          <w:trHeight w:val="245"/>
        </w:trPr>
        <w:tc>
          <w:tcPr>
            <w:tcW w:w="2653" w:type="pct"/>
            <w:tcBorders>
              <w:top w:val="nil"/>
              <w:left w:val="nil"/>
              <w:bottom w:val="nil"/>
              <w:right w:val="nil"/>
            </w:tcBorders>
            <w:shd w:val="clear" w:color="000000" w:fill="FFFFFF"/>
            <w:noWrap/>
            <w:vAlign w:val="bottom"/>
            <w:hideMark/>
          </w:tcPr>
          <w:p w14:paraId="18CA095C" w14:textId="77777777" w:rsidR="00F770FF" w:rsidRPr="00B950B0" w:rsidRDefault="00F770FF" w:rsidP="009704E4">
            <w:pPr>
              <w:spacing w:after="0" w:line="240" w:lineRule="auto"/>
              <w:rPr>
                <w:rFonts w:ascii="Century Schoolbook" w:eastAsia="Times New Roman" w:hAnsi="Century Schoolbook" w:cs="Times New Roman"/>
                <w:i/>
                <w:iCs/>
                <w:color w:val="000000"/>
                <w:sz w:val="18"/>
                <w:szCs w:val="18"/>
              </w:rPr>
            </w:pPr>
            <w:r w:rsidRPr="00B950B0">
              <w:rPr>
                <w:rFonts w:ascii="Century Schoolbook" w:eastAsia="Times New Roman" w:hAnsi="Century Schoolbook" w:cs="Times New Roman"/>
                <w:i/>
                <w:iCs/>
                <w:color w:val="000000"/>
                <w:sz w:val="18"/>
                <w:szCs w:val="18"/>
              </w:rPr>
              <w:t>Stock-level characteristics</w:t>
            </w:r>
          </w:p>
        </w:tc>
        <w:tc>
          <w:tcPr>
            <w:tcW w:w="1072" w:type="pct"/>
            <w:tcBorders>
              <w:top w:val="nil"/>
              <w:left w:val="nil"/>
              <w:bottom w:val="nil"/>
              <w:right w:val="nil"/>
            </w:tcBorders>
            <w:shd w:val="clear" w:color="000000" w:fill="FFFFFF"/>
            <w:noWrap/>
            <w:vAlign w:val="bottom"/>
            <w:hideMark/>
          </w:tcPr>
          <w:p w14:paraId="19D5DBFA"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275" w:type="pct"/>
            <w:tcBorders>
              <w:top w:val="nil"/>
              <w:left w:val="nil"/>
              <w:bottom w:val="nil"/>
              <w:right w:val="nil"/>
            </w:tcBorders>
            <w:shd w:val="clear" w:color="000000" w:fill="FFFFFF"/>
            <w:noWrap/>
            <w:vAlign w:val="bottom"/>
            <w:hideMark/>
          </w:tcPr>
          <w:p w14:paraId="3C64B939"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r>
      <w:tr w:rsidR="00F770FF" w:rsidRPr="00B950B0" w14:paraId="33F3ED67" w14:textId="77777777" w:rsidTr="00A00E73">
        <w:trPr>
          <w:trHeight w:val="245"/>
        </w:trPr>
        <w:tc>
          <w:tcPr>
            <w:tcW w:w="2653" w:type="pct"/>
            <w:tcBorders>
              <w:top w:val="nil"/>
              <w:left w:val="nil"/>
              <w:bottom w:val="nil"/>
              <w:right w:val="nil"/>
            </w:tcBorders>
            <w:shd w:val="clear" w:color="000000" w:fill="FFFFFF"/>
            <w:noWrap/>
            <w:vAlign w:val="bottom"/>
            <w:hideMark/>
          </w:tcPr>
          <w:p w14:paraId="6B24BBA7"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Size</w:t>
            </w:r>
          </w:p>
        </w:tc>
        <w:tc>
          <w:tcPr>
            <w:tcW w:w="1072" w:type="pct"/>
            <w:tcBorders>
              <w:top w:val="nil"/>
              <w:left w:val="nil"/>
              <w:bottom w:val="nil"/>
              <w:right w:val="nil"/>
            </w:tcBorders>
            <w:shd w:val="clear" w:color="000000" w:fill="FFFFFF"/>
            <w:noWrap/>
            <w:vAlign w:val="bottom"/>
            <w:hideMark/>
          </w:tcPr>
          <w:p w14:paraId="7B3FE9E1" w14:textId="52103397"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0.799***</w:t>
            </w:r>
          </w:p>
        </w:tc>
        <w:tc>
          <w:tcPr>
            <w:tcW w:w="1275" w:type="pct"/>
            <w:tcBorders>
              <w:top w:val="nil"/>
              <w:left w:val="nil"/>
              <w:bottom w:val="nil"/>
              <w:right w:val="nil"/>
            </w:tcBorders>
            <w:shd w:val="clear" w:color="000000" w:fill="FFFFFF"/>
            <w:noWrap/>
            <w:vAlign w:val="bottom"/>
            <w:hideMark/>
          </w:tcPr>
          <w:p w14:paraId="5DFC5273"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0.454***</w:t>
            </w:r>
          </w:p>
        </w:tc>
      </w:tr>
      <w:tr w:rsidR="00F770FF" w:rsidRPr="00B950B0" w14:paraId="7FC13C95" w14:textId="77777777" w:rsidTr="00A00E73">
        <w:trPr>
          <w:trHeight w:val="272"/>
        </w:trPr>
        <w:tc>
          <w:tcPr>
            <w:tcW w:w="2653" w:type="pct"/>
            <w:tcBorders>
              <w:top w:val="nil"/>
              <w:left w:val="nil"/>
              <w:bottom w:val="nil"/>
              <w:right w:val="nil"/>
            </w:tcBorders>
            <w:shd w:val="clear" w:color="000000" w:fill="FFFFFF"/>
            <w:noWrap/>
            <w:vAlign w:val="bottom"/>
            <w:hideMark/>
          </w:tcPr>
          <w:p w14:paraId="2FE76A47"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5BE4E1CF"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(0.093)</w:t>
            </w:r>
          </w:p>
        </w:tc>
        <w:tc>
          <w:tcPr>
            <w:tcW w:w="1275" w:type="pct"/>
            <w:tcBorders>
              <w:top w:val="nil"/>
              <w:left w:val="nil"/>
              <w:bottom w:val="nil"/>
              <w:right w:val="nil"/>
            </w:tcBorders>
            <w:shd w:val="clear" w:color="000000" w:fill="FFFFFF"/>
            <w:noWrap/>
            <w:vAlign w:val="bottom"/>
            <w:hideMark/>
          </w:tcPr>
          <w:p w14:paraId="76B7AEFE"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(0.065)</w:t>
            </w:r>
          </w:p>
        </w:tc>
      </w:tr>
      <w:tr w:rsidR="00F770FF" w:rsidRPr="00B950B0" w14:paraId="335D9BD6" w14:textId="77777777" w:rsidTr="00A00E73">
        <w:trPr>
          <w:trHeight w:val="245"/>
        </w:trPr>
        <w:tc>
          <w:tcPr>
            <w:tcW w:w="2653" w:type="pct"/>
            <w:tcBorders>
              <w:top w:val="nil"/>
              <w:left w:val="nil"/>
              <w:bottom w:val="nil"/>
              <w:right w:val="nil"/>
            </w:tcBorders>
            <w:shd w:val="clear" w:color="000000" w:fill="FFFFFF"/>
            <w:noWrap/>
            <w:vAlign w:val="bottom"/>
            <w:hideMark/>
          </w:tcPr>
          <w:p w14:paraId="333E1924"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Volatility</w:t>
            </w:r>
          </w:p>
        </w:tc>
        <w:tc>
          <w:tcPr>
            <w:tcW w:w="1072" w:type="pct"/>
            <w:tcBorders>
              <w:top w:val="nil"/>
              <w:left w:val="nil"/>
              <w:bottom w:val="nil"/>
              <w:right w:val="nil"/>
            </w:tcBorders>
            <w:shd w:val="clear" w:color="000000" w:fill="FFFFFF"/>
            <w:noWrap/>
            <w:vAlign w:val="bottom"/>
            <w:hideMark/>
          </w:tcPr>
          <w:p w14:paraId="70573B0A"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0.250***</w:t>
            </w:r>
          </w:p>
        </w:tc>
        <w:tc>
          <w:tcPr>
            <w:tcW w:w="1275" w:type="pct"/>
            <w:tcBorders>
              <w:top w:val="nil"/>
              <w:left w:val="nil"/>
              <w:bottom w:val="nil"/>
              <w:right w:val="nil"/>
            </w:tcBorders>
            <w:shd w:val="clear" w:color="000000" w:fill="FFFFFF"/>
            <w:noWrap/>
            <w:vAlign w:val="bottom"/>
            <w:hideMark/>
          </w:tcPr>
          <w:p w14:paraId="5D80DAFA" w14:textId="43DBFC47"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0.239***</w:t>
            </w:r>
          </w:p>
        </w:tc>
      </w:tr>
      <w:tr w:rsidR="00F770FF" w:rsidRPr="00B950B0" w14:paraId="63F8A5A7" w14:textId="77777777" w:rsidTr="00A00E73">
        <w:trPr>
          <w:trHeight w:val="272"/>
        </w:trPr>
        <w:tc>
          <w:tcPr>
            <w:tcW w:w="2653" w:type="pct"/>
            <w:tcBorders>
              <w:top w:val="nil"/>
              <w:left w:val="nil"/>
              <w:bottom w:val="nil"/>
              <w:right w:val="nil"/>
            </w:tcBorders>
            <w:shd w:val="clear" w:color="000000" w:fill="FFFFFF"/>
            <w:noWrap/>
            <w:vAlign w:val="bottom"/>
            <w:hideMark/>
          </w:tcPr>
          <w:p w14:paraId="2930339D"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3938E3D4"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(0.071)</w:t>
            </w:r>
          </w:p>
        </w:tc>
        <w:tc>
          <w:tcPr>
            <w:tcW w:w="1275" w:type="pct"/>
            <w:tcBorders>
              <w:top w:val="nil"/>
              <w:left w:val="nil"/>
              <w:bottom w:val="nil"/>
              <w:right w:val="nil"/>
            </w:tcBorders>
            <w:shd w:val="clear" w:color="000000" w:fill="FFFFFF"/>
            <w:noWrap/>
            <w:vAlign w:val="bottom"/>
            <w:hideMark/>
          </w:tcPr>
          <w:p w14:paraId="56891508"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(0.060)</w:t>
            </w:r>
          </w:p>
        </w:tc>
      </w:tr>
      <w:tr w:rsidR="00F770FF" w:rsidRPr="00B950B0" w14:paraId="7FC724C7" w14:textId="77777777" w:rsidTr="00A00E73">
        <w:trPr>
          <w:trHeight w:val="245"/>
        </w:trPr>
        <w:tc>
          <w:tcPr>
            <w:tcW w:w="2653" w:type="pct"/>
            <w:tcBorders>
              <w:top w:val="nil"/>
              <w:left w:val="nil"/>
              <w:bottom w:val="nil"/>
              <w:right w:val="nil"/>
            </w:tcBorders>
            <w:shd w:val="clear" w:color="000000" w:fill="FFFFFF"/>
            <w:noWrap/>
            <w:vAlign w:val="bottom"/>
            <w:hideMark/>
          </w:tcPr>
          <w:p w14:paraId="54F7D806"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Institutional investor (quartiles)</w:t>
            </w:r>
          </w:p>
        </w:tc>
        <w:tc>
          <w:tcPr>
            <w:tcW w:w="1072" w:type="pct"/>
            <w:tcBorders>
              <w:top w:val="nil"/>
              <w:left w:val="nil"/>
              <w:bottom w:val="nil"/>
              <w:right w:val="nil"/>
            </w:tcBorders>
            <w:shd w:val="clear" w:color="000000" w:fill="FFFFFF"/>
            <w:noWrap/>
            <w:vAlign w:val="bottom"/>
            <w:hideMark/>
          </w:tcPr>
          <w:p w14:paraId="43274EA6" w14:textId="0517B8B6"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0.591***</w:t>
            </w:r>
          </w:p>
        </w:tc>
        <w:tc>
          <w:tcPr>
            <w:tcW w:w="1275" w:type="pct"/>
            <w:tcBorders>
              <w:top w:val="nil"/>
              <w:left w:val="nil"/>
              <w:bottom w:val="nil"/>
              <w:right w:val="nil"/>
            </w:tcBorders>
            <w:shd w:val="clear" w:color="000000" w:fill="FFFFFF"/>
            <w:noWrap/>
            <w:vAlign w:val="bottom"/>
            <w:hideMark/>
          </w:tcPr>
          <w:p w14:paraId="5601026E" w14:textId="5BC3128E"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0.547***</w:t>
            </w:r>
          </w:p>
        </w:tc>
      </w:tr>
      <w:tr w:rsidR="00F770FF" w:rsidRPr="00B950B0" w14:paraId="3DCC1329" w14:textId="77777777" w:rsidTr="00A00E73">
        <w:trPr>
          <w:trHeight w:val="245"/>
        </w:trPr>
        <w:tc>
          <w:tcPr>
            <w:tcW w:w="2653" w:type="pct"/>
            <w:tcBorders>
              <w:top w:val="nil"/>
              <w:left w:val="nil"/>
              <w:bottom w:val="nil"/>
              <w:right w:val="nil"/>
            </w:tcBorders>
            <w:shd w:val="clear" w:color="000000" w:fill="FFFFFF"/>
            <w:noWrap/>
            <w:vAlign w:val="bottom"/>
            <w:hideMark/>
          </w:tcPr>
          <w:p w14:paraId="15DAD8F0"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07C11F5F"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(0.222)</w:t>
            </w:r>
          </w:p>
        </w:tc>
        <w:tc>
          <w:tcPr>
            <w:tcW w:w="1275" w:type="pct"/>
            <w:tcBorders>
              <w:top w:val="nil"/>
              <w:left w:val="nil"/>
              <w:bottom w:val="nil"/>
              <w:right w:val="nil"/>
            </w:tcBorders>
            <w:shd w:val="clear" w:color="000000" w:fill="FFFFFF"/>
            <w:noWrap/>
            <w:vAlign w:val="bottom"/>
            <w:hideMark/>
          </w:tcPr>
          <w:p w14:paraId="16DD2B1F"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(0.145)</w:t>
            </w:r>
          </w:p>
        </w:tc>
      </w:tr>
      <w:tr w:rsidR="00F770FF" w:rsidRPr="00B950B0" w14:paraId="2C9A840D" w14:textId="77777777" w:rsidTr="00A00E73">
        <w:trPr>
          <w:trHeight w:val="245"/>
        </w:trPr>
        <w:tc>
          <w:tcPr>
            <w:tcW w:w="2653" w:type="pct"/>
            <w:tcBorders>
              <w:top w:val="nil"/>
              <w:left w:val="nil"/>
              <w:bottom w:val="nil"/>
              <w:right w:val="nil"/>
            </w:tcBorders>
            <w:shd w:val="clear" w:color="000000" w:fill="FFFFFF"/>
            <w:noWrap/>
            <w:vAlign w:val="bottom"/>
            <w:hideMark/>
          </w:tcPr>
          <w:p w14:paraId="5907EFFF"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Stock return</w:t>
            </w:r>
          </w:p>
        </w:tc>
        <w:tc>
          <w:tcPr>
            <w:tcW w:w="1072" w:type="pct"/>
            <w:tcBorders>
              <w:top w:val="nil"/>
              <w:left w:val="nil"/>
              <w:bottom w:val="nil"/>
              <w:right w:val="nil"/>
            </w:tcBorders>
            <w:shd w:val="clear" w:color="000000" w:fill="FFFFFF"/>
            <w:noWrap/>
            <w:vAlign w:val="bottom"/>
            <w:hideMark/>
          </w:tcPr>
          <w:p w14:paraId="208EFD41" w14:textId="269D976F"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2.021**</w:t>
            </w:r>
          </w:p>
        </w:tc>
        <w:tc>
          <w:tcPr>
            <w:tcW w:w="1275" w:type="pct"/>
            <w:tcBorders>
              <w:top w:val="nil"/>
              <w:left w:val="nil"/>
              <w:bottom w:val="nil"/>
              <w:right w:val="nil"/>
            </w:tcBorders>
            <w:shd w:val="clear" w:color="000000" w:fill="FFFFFF"/>
            <w:noWrap/>
            <w:vAlign w:val="bottom"/>
            <w:hideMark/>
          </w:tcPr>
          <w:p w14:paraId="28966481"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0.999***</w:t>
            </w:r>
          </w:p>
        </w:tc>
      </w:tr>
      <w:tr w:rsidR="00F770FF" w:rsidRPr="00B950B0" w14:paraId="3CDE944B" w14:textId="77777777" w:rsidTr="00A00E73">
        <w:trPr>
          <w:trHeight w:val="245"/>
        </w:trPr>
        <w:tc>
          <w:tcPr>
            <w:tcW w:w="2653" w:type="pct"/>
            <w:tcBorders>
              <w:top w:val="nil"/>
              <w:left w:val="nil"/>
              <w:bottom w:val="nil"/>
              <w:right w:val="nil"/>
            </w:tcBorders>
            <w:shd w:val="clear" w:color="000000" w:fill="FFFFFF"/>
            <w:noWrap/>
            <w:vAlign w:val="bottom"/>
            <w:hideMark/>
          </w:tcPr>
          <w:p w14:paraId="3EC8C2BC"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36E3823C"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(0.999)</w:t>
            </w:r>
          </w:p>
        </w:tc>
        <w:tc>
          <w:tcPr>
            <w:tcW w:w="1275" w:type="pct"/>
            <w:tcBorders>
              <w:top w:val="nil"/>
              <w:left w:val="nil"/>
              <w:bottom w:val="nil"/>
              <w:right w:val="nil"/>
            </w:tcBorders>
            <w:shd w:val="clear" w:color="000000" w:fill="FFFFFF"/>
            <w:noWrap/>
            <w:vAlign w:val="bottom"/>
            <w:hideMark/>
          </w:tcPr>
          <w:p w14:paraId="51080CC4" w14:textId="669F89D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w:t>
            </w:r>
            <w:r w:rsidR="00F0594E">
              <w:rPr>
                <w:rFonts w:ascii="Century Schoolbook" w:eastAsia="Times New Roman" w:hAnsi="Century Schoolbook" w:cs="Times New Roman"/>
                <w:color w:val="000000"/>
                <w:sz w:val="18"/>
                <w:szCs w:val="18"/>
              </w:rPr>
              <w:t>−</w:t>
            </w:r>
            <w:r w:rsidRPr="00B950B0">
              <w:rPr>
                <w:rFonts w:ascii="Century Schoolbook" w:eastAsia="Times New Roman" w:hAnsi="Century Schoolbook" w:cs="Times New Roman"/>
                <w:color w:val="000000"/>
                <w:sz w:val="18"/>
                <w:szCs w:val="18"/>
              </w:rPr>
              <w:t>2.020)</w:t>
            </w:r>
          </w:p>
        </w:tc>
      </w:tr>
      <w:tr w:rsidR="00F770FF" w:rsidRPr="00B950B0" w14:paraId="4C9AFFFD" w14:textId="77777777" w:rsidTr="00A00E73">
        <w:trPr>
          <w:trHeight w:val="245"/>
        </w:trPr>
        <w:tc>
          <w:tcPr>
            <w:tcW w:w="2653" w:type="pct"/>
            <w:tcBorders>
              <w:top w:val="nil"/>
              <w:left w:val="nil"/>
              <w:bottom w:val="nil"/>
              <w:right w:val="nil"/>
            </w:tcBorders>
            <w:shd w:val="clear" w:color="000000" w:fill="FFFFFF"/>
            <w:noWrap/>
            <w:vAlign w:val="bottom"/>
            <w:hideMark/>
          </w:tcPr>
          <w:p w14:paraId="41EBD9F6"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Market return</w:t>
            </w:r>
          </w:p>
        </w:tc>
        <w:tc>
          <w:tcPr>
            <w:tcW w:w="1072" w:type="pct"/>
            <w:tcBorders>
              <w:top w:val="nil"/>
              <w:left w:val="nil"/>
              <w:bottom w:val="nil"/>
              <w:right w:val="nil"/>
            </w:tcBorders>
            <w:shd w:val="clear" w:color="000000" w:fill="FFFFFF"/>
            <w:noWrap/>
            <w:vAlign w:val="bottom"/>
            <w:hideMark/>
          </w:tcPr>
          <w:p w14:paraId="10158E9B"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6.356***</w:t>
            </w:r>
          </w:p>
        </w:tc>
        <w:tc>
          <w:tcPr>
            <w:tcW w:w="1275" w:type="pct"/>
            <w:tcBorders>
              <w:top w:val="nil"/>
              <w:left w:val="nil"/>
              <w:bottom w:val="nil"/>
              <w:right w:val="nil"/>
            </w:tcBorders>
            <w:shd w:val="clear" w:color="000000" w:fill="FFFFFF"/>
            <w:noWrap/>
            <w:vAlign w:val="bottom"/>
            <w:hideMark/>
          </w:tcPr>
          <w:p w14:paraId="260C9ACA"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2.062***</w:t>
            </w:r>
          </w:p>
        </w:tc>
      </w:tr>
      <w:tr w:rsidR="00F770FF" w:rsidRPr="00B950B0" w14:paraId="35FCAE3C" w14:textId="77777777" w:rsidTr="00A00E73">
        <w:trPr>
          <w:trHeight w:val="245"/>
        </w:trPr>
        <w:tc>
          <w:tcPr>
            <w:tcW w:w="2653" w:type="pct"/>
            <w:tcBorders>
              <w:top w:val="nil"/>
              <w:left w:val="nil"/>
              <w:bottom w:val="nil"/>
              <w:right w:val="nil"/>
            </w:tcBorders>
            <w:shd w:val="clear" w:color="000000" w:fill="FFFFFF"/>
            <w:noWrap/>
            <w:vAlign w:val="bottom"/>
            <w:hideMark/>
          </w:tcPr>
          <w:p w14:paraId="715B671F" w14:textId="77777777" w:rsidR="00F770FF" w:rsidRPr="00B950B0" w:rsidRDefault="00F770FF" w:rsidP="009704E4">
            <w:pPr>
              <w:spacing w:after="0" w:line="240" w:lineRule="auto"/>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5A9004C6"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(2.062)</w:t>
            </w:r>
          </w:p>
        </w:tc>
        <w:tc>
          <w:tcPr>
            <w:tcW w:w="1275" w:type="pct"/>
            <w:tcBorders>
              <w:top w:val="nil"/>
              <w:left w:val="nil"/>
              <w:bottom w:val="nil"/>
              <w:right w:val="nil"/>
            </w:tcBorders>
            <w:shd w:val="clear" w:color="000000" w:fill="FFFFFF"/>
            <w:noWrap/>
            <w:vAlign w:val="bottom"/>
            <w:hideMark/>
          </w:tcPr>
          <w:p w14:paraId="62140B26"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(3.080)</w:t>
            </w:r>
          </w:p>
        </w:tc>
      </w:tr>
      <w:tr w:rsidR="00F770FF" w:rsidRPr="00B950B0" w14:paraId="3AD97EC1" w14:textId="77777777" w:rsidTr="00A00E73">
        <w:trPr>
          <w:trHeight w:val="235"/>
        </w:trPr>
        <w:tc>
          <w:tcPr>
            <w:tcW w:w="2653" w:type="pct"/>
            <w:tcBorders>
              <w:top w:val="nil"/>
              <w:left w:val="nil"/>
              <w:bottom w:val="nil"/>
              <w:right w:val="nil"/>
            </w:tcBorders>
            <w:shd w:val="clear" w:color="000000" w:fill="FFFFFF"/>
            <w:noWrap/>
            <w:vAlign w:val="bottom"/>
            <w:hideMark/>
          </w:tcPr>
          <w:p w14:paraId="39B5102F" w14:textId="77777777" w:rsidR="00F770FF" w:rsidRPr="00B950B0" w:rsidRDefault="00F770FF" w:rsidP="009704E4">
            <w:pPr>
              <w:spacing w:after="0" w:line="240" w:lineRule="auto"/>
              <w:rPr>
                <w:rFonts w:ascii="Century Schoolbook" w:eastAsia="Times New Roman" w:hAnsi="Century Schoolbook" w:cs="Times New Roman"/>
                <w:i/>
                <w:iCs/>
                <w:color w:val="000000"/>
                <w:sz w:val="18"/>
                <w:szCs w:val="18"/>
              </w:rPr>
            </w:pPr>
            <w:r w:rsidRPr="00B950B0">
              <w:rPr>
                <w:rFonts w:ascii="Century Schoolbook" w:eastAsia="Times New Roman" w:hAnsi="Century Schoolbook" w:cs="Times New Roman"/>
                <w:i/>
                <w:iCs/>
                <w:color w:val="000000"/>
                <w:sz w:val="18"/>
                <w:szCs w:val="18"/>
              </w:rPr>
              <w:t>Analyst characteristic</w:t>
            </w:r>
          </w:p>
        </w:tc>
        <w:tc>
          <w:tcPr>
            <w:tcW w:w="1072" w:type="pct"/>
            <w:tcBorders>
              <w:top w:val="nil"/>
              <w:left w:val="nil"/>
              <w:bottom w:val="nil"/>
              <w:right w:val="nil"/>
            </w:tcBorders>
            <w:shd w:val="clear" w:color="000000" w:fill="FFFFFF"/>
            <w:noWrap/>
            <w:vAlign w:val="bottom"/>
            <w:hideMark/>
          </w:tcPr>
          <w:p w14:paraId="723AB37D"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275" w:type="pct"/>
            <w:tcBorders>
              <w:top w:val="nil"/>
              <w:left w:val="nil"/>
              <w:bottom w:val="nil"/>
              <w:right w:val="nil"/>
            </w:tcBorders>
            <w:shd w:val="clear" w:color="000000" w:fill="FFFFFF"/>
            <w:noWrap/>
            <w:vAlign w:val="bottom"/>
            <w:hideMark/>
          </w:tcPr>
          <w:p w14:paraId="5104A923"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r>
      <w:tr w:rsidR="00F770FF" w:rsidRPr="00B950B0" w14:paraId="60356788" w14:textId="77777777" w:rsidTr="00A00E73">
        <w:trPr>
          <w:trHeight w:val="245"/>
        </w:trPr>
        <w:tc>
          <w:tcPr>
            <w:tcW w:w="2653" w:type="pct"/>
            <w:tcBorders>
              <w:top w:val="nil"/>
              <w:left w:val="nil"/>
              <w:bottom w:val="nil"/>
              <w:right w:val="nil"/>
            </w:tcBorders>
            <w:shd w:val="clear" w:color="000000" w:fill="FFFFFF"/>
            <w:noWrap/>
            <w:vAlign w:val="bottom"/>
            <w:hideMark/>
          </w:tcPr>
          <w:p w14:paraId="44E08030"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General experience</w:t>
            </w:r>
          </w:p>
        </w:tc>
        <w:tc>
          <w:tcPr>
            <w:tcW w:w="1072" w:type="pct"/>
            <w:tcBorders>
              <w:top w:val="nil"/>
              <w:left w:val="nil"/>
              <w:bottom w:val="nil"/>
              <w:right w:val="nil"/>
            </w:tcBorders>
            <w:shd w:val="clear" w:color="000000" w:fill="FFFFFF"/>
            <w:noWrap/>
            <w:vAlign w:val="bottom"/>
            <w:hideMark/>
          </w:tcPr>
          <w:p w14:paraId="73A2959D"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0.003</w:t>
            </w:r>
          </w:p>
        </w:tc>
        <w:tc>
          <w:tcPr>
            <w:tcW w:w="1275" w:type="pct"/>
            <w:tcBorders>
              <w:top w:val="nil"/>
              <w:left w:val="nil"/>
              <w:bottom w:val="nil"/>
              <w:right w:val="nil"/>
            </w:tcBorders>
            <w:shd w:val="clear" w:color="000000" w:fill="FFFFFF"/>
            <w:noWrap/>
            <w:vAlign w:val="bottom"/>
            <w:hideMark/>
          </w:tcPr>
          <w:p w14:paraId="3F52A29E"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0.100***</w:t>
            </w:r>
          </w:p>
        </w:tc>
      </w:tr>
      <w:tr w:rsidR="00F770FF" w:rsidRPr="00B950B0" w14:paraId="50F1C75D" w14:textId="77777777" w:rsidTr="00A00E73">
        <w:trPr>
          <w:trHeight w:val="245"/>
        </w:trPr>
        <w:tc>
          <w:tcPr>
            <w:tcW w:w="2653" w:type="pct"/>
            <w:tcBorders>
              <w:top w:val="nil"/>
              <w:left w:val="nil"/>
              <w:bottom w:val="nil"/>
              <w:right w:val="nil"/>
            </w:tcBorders>
            <w:shd w:val="clear" w:color="000000" w:fill="FFFFFF"/>
            <w:noWrap/>
            <w:vAlign w:val="bottom"/>
            <w:hideMark/>
          </w:tcPr>
          <w:p w14:paraId="7BD1A7F7"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3525AD96"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(0.025)</w:t>
            </w:r>
          </w:p>
        </w:tc>
        <w:tc>
          <w:tcPr>
            <w:tcW w:w="1275" w:type="pct"/>
            <w:tcBorders>
              <w:top w:val="nil"/>
              <w:left w:val="nil"/>
              <w:bottom w:val="nil"/>
              <w:right w:val="nil"/>
            </w:tcBorders>
            <w:shd w:val="clear" w:color="000000" w:fill="FFFFFF"/>
            <w:noWrap/>
            <w:vAlign w:val="bottom"/>
            <w:hideMark/>
          </w:tcPr>
          <w:p w14:paraId="01811AE7"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(0.032)</w:t>
            </w:r>
          </w:p>
        </w:tc>
      </w:tr>
      <w:tr w:rsidR="00F770FF" w:rsidRPr="00B950B0" w14:paraId="59D45722" w14:textId="77777777" w:rsidTr="00A00E73">
        <w:trPr>
          <w:trHeight w:val="245"/>
        </w:trPr>
        <w:tc>
          <w:tcPr>
            <w:tcW w:w="2653" w:type="pct"/>
            <w:tcBorders>
              <w:top w:val="nil"/>
              <w:left w:val="nil"/>
              <w:bottom w:val="nil"/>
              <w:right w:val="nil"/>
            </w:tcBorders>
            <w:shd w:val="clear" w:color="000000" w:fill="FFFFFF"/>
            <w:noWrap/>
            <w:vAlign w:val="bottom"/>
            <w:hideMark/>
          </w:tcPr>
          <w:p w14:paraId="667A2482"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All-star</w:t>
            </w:r>
          </w:p>
        </w:tc>
        <w:tc>
          <w:tcPr>
            <w:tcW w:w="1072" w:type="pct"/>
            <w:tcBorders>
              <w:top w:val="nil"/>
              <w:left w:val="nil"/>
              <w:bottom w:val="nil"/>
              <w:right w:val="nil"/>
            </w:tcBorders>
            <w:shd w:val="clear" w:color="000000" w:fill="FFFFFF"/>
            <w:noWrap/>
            <w:vAlign w:val="bottom"/>
            <w:hideMark/>
          </w:tcPr>
          <w:p w14:paraId="76D77FD7"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0.551</w:t>
            </w:r>
          </w:p>
        </w:tc>
        <w:tc>
          <w:tcPr>
            <w:tcW w:w="1275" w:type="pct"/>
            <w:tcBorders>
              <w:top w:val="nil"/>
              <w:left w:val="nil"/>
              <w:bottom w:val="nil"/>
              <w:right w:val="nil"/>
            </w:tcBorders>
            <w:shd w:val="clear" w:color="000000" w:fill="FFFFFF"/>
            <w:noWrap/>
            <w:vAlign w:val="bottom"/>
            <w:hideMark/>
          </w:tcPr>
          <w:p w14:paraId="44505B88" w14:textId="76AD0769"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0.012</w:t>
            </w:r>
          </w:p>
        </w:tc>
      </w:tr>
      <w:tr w:rsidR="00F770FF" w:rsidRPr="00B950B0" w14:paraId="23F4F89A" w14:textId="77777777" w:rsidTr="00A00E73">
        <w:trPr>
          <w:trHeight w:val="245"/>
        </w:trPr>
        <w:tc>
          <w:tcPr>
            <w:tcW w:w="2653" w:type="pct"/>
            <w:tcBorders>
              <w:top w:val="nil"/>
              <w:left w:val="nil"/>
              <w:bottom w:val="nil"/>
              <w:right w:val="nil"/>
            </w:tcBorders>
            <w:shd w:val="clear" w:color="000000" w:fill="FFFFFF"/>
            <w:noWrap/>
            <w:vAlign w:val="bottom"/>
            <w:hideMark/>
          </w:tcPr>
          <w:p w14:paraId="421F8E51"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4FA38088"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(0.556)</w:t>
            </w:r>
          </w:p>
        </w:tc>
        <w:tc>
          <w:tcPr>
            <w:tcW w:w="1275" w:type="pct"/>
            <w:tcBorders>
              <w:top w:val="nil"/>
              <w:left w:val="nil"/>
              <w:bottom w:val="nil"/>
              <w:right w:val="nil"/>
            </w:tcBorders>
            <w:shd w:val="clear" w:color="000000" w:fill="FFFFFF"/>
            <w:noWrap/>
            <w:vAlign w:val="bottom"/>
            <w:hideMark/>
          </w:tcPr>
          <w:p w14:paraId="4E86C9B5"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(0.258)</w:t>
            </w:r>
          </w:p>
        </w:tc>
      </w:tr>
      <w:tr w:rsidR="00F770FF" w:rsidRPr="00B950B0" w14:paraId="5A840345" w14:textId="77777777" w:rsidTr="00A00E73">
        <w:trPr>
          <w:trHeight w:val="245"/>
        </w:trPr>
        <w:tc>
          <w:tcPr>
            <w:tcW w:w="2653" w:type="pct"/>
            <w:tcBorders>
              <w:top w:val="nil"/>
              <w:left w:val="nil"/>
              <w:bottom w:val="nil"/>
              <w:right w:val="nil"/>
            </w:tcBorders>
            <w:shd w:val="clear" w:color="000000" w:fill="FFFFFF"/>
            <w:noWrap/>
            <w:vAlign w:val="bottom"/>
            <w:hideMark/>
          </w:tcPr>
          <w:p w14:paraId="07F1E93E"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xml:space="preserve">Male </w:t>
            </w:r>
          </w:p>
        </w:tc>
        <w:tc>
          <w:tcPr>
            <w:tcW w:w="1072" w:type="pct"/>
            <w:tcBorders>
              <w:top w:val="nil"/>
              <w:left w:val="nil"/>
              <w:bottom w:val="nil"/>
              <w:right w:val="nil"/>
            </w:tcBorders>
            <w:shd w:val="clear" w:color="000000" w:fill="FFFFFF"/>
            <w:noWrap/>
            <w:vAlign w:val="bottom"/>
            <w:hideMark/>
          </w:tcPr>
          <w:p w14:paraId="668D92F6"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0.154</w:t>
            </w:r>
          </w:p>
        </w:tc>
        <w:tc>
          <w:tcPr>
            <w:tcW w:w="1275" w:type="pct"/>
            <w:tcBorders>
              <w:top w:val="nil"/>
              <w:left w:val="nil"/>
              <w:bottom w:val="nil"/>
              <w:right w:val="nil"/>
            </w:tcBorders>
            <w:shd w:val="clear" w:color="000000" w:fill="FFFFFF"/>
            <w:noWrap/>
            <w:vAlign w:val="bottom"/>
            <w:hideMark/>
          </w:tcPr>
          <w:p w14:paraId="604BE459"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0.297</w:t>
            </w:r>
          </w:p>
        </w:tc>
      </w:tr>
      <w:tr w:rsidR="00F770FF" w:rsidRPr="00B950B0" w14:paraId="0FBF5232" w14:textId="77777777" w:rsidTr="00A00E73">
        <w:trPr>
          <w:trHeight w:val="245"/>
        </w:trPr>
        <w:tc>
          <w:tcPr>
            <w:tcW w:w="2653" w:type="pct"/>
            <w:tcBorders>
              <w:top w:val="nil"/>
              <w:left w:val="nil"/>
              <w:bottom w:val="nil"/>
              <w:right w:val="nil"/>
            </w:tcBorders>
            <w:shd w:val="clear" w:color="000000" w:fill="FFFFFF"/>
            <w:noWrap/>
            <w:vAlign w:val="bottom"/>
            <w:hideMark/>
          </w:tcPr>
          <w:p w14:paraId="157E5F36"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2C1758BC"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(0.223)</w:t>
            </w:r>
          </w:p>
        </w:tc>
        <w:tc>
          <w:tcPr>
            <w:tcW w:w="1275" w:type="pct"/>
            <w:tcBorders>
              <w:top w:val="nil"/>
              <w:left w:val="nil"/>
              <w:bottom w:val="nil"/>
              <w:right w:val="nil"/>
            </w:tcBorders>
            <w:shd w:val="clear" w:color="000000" w:fill="FFFFFF"/>
            <w:noWrap/>
            <w:vAlign w:val="bottom"/>
            <w:hideMark/>
          </w:tcPr>
          <w:p w14:paraId="16B3EE07"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(0.293)</w:t>
            </w:r>
          </w:p>
        </w:tc>
      </w:tr>
      <w:tr w:rsidR="00F770FF" w:rsidRPr="00B950B0" w14:paraId="6187BE85" w14:textId="77777777" w:rsidTr="00A00E73">
        <w:trPr>
          <w:trHeight w:val="245"/>
        </w:trPr>
        <w:tc>
          <w:tcPr>
            <w:tcW w:w="2653" w:type="pct"/>
            <w:tcBorders>
              <w:top w:val="nil"/>
              <w:left w:val="nil"/>
              <w:bottom w:val="nil"/>
              <w:right w:val="nil"/>
            </w:tcBorders>
            <w:shd w:val="clear" w:color="000000" w:fill="FFFFFF"/>
            <w:noWrap/>
            <w:vAlign w:val="bottom"/>
            <w:hideMark/>
          </w:tcPr>
          <w:p w14:paraId="39C0FEDD"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Breadth</w:t>
            </w:r>
          </w:p>
        </w:tc>
        <w:tc>
          <w:tcPr>
            <w:tcW w:w="1072" w:type="pct"/>
            <w:tcBorders>
              <w:top w:val="nil"/>
              <w:left w:val="nil"/>
              <w:bottom w:val="nil"/>
              <w:right w:val="nil"/>
            </w:tcBorders>
            <w:shd w:val="clear" w:color="000000" w:fill="FFFFFF"/>
            <w:noWrap/>
            <w:vAlign w:val="bottom"/>
            <w:hideMark/>
          </w:tcPr>
          <w:p w14:paraId="3BFE2EB1" w14:textId="2B1DEBFA"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0.009</w:t>
            </w:r>
          </w:p>
        </w:tc>
        <w:tc>
          <w:tcPr>
            <w:tcW w:w="1275" w:type="pct"/>
            <w:tcBorders>
              <w:top w:val="nil"/>
              <w:left w:val="nil"/>
              <w:bottom w:val="nil"/>
              <w:right w:val="nil"/>
            </w:tcBorders>
            <w:shd w:val="clear" w:color="000000" w:fill="FFFFFF"/>
            <w:noWrap/>
            <w:vAlign w:val="bottom"/>
            <w:hideMark/>
          </w:tcPr>
          <w:p w14:paraId="2151FDF1"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0.015</w:t>
            </w:r>
          </w:p>
        </w:tc>
      </w:tr>
      <w:tr w:rsidR="00F770FF" w:rsidRPr="00B950B0" w14:paraId="560E798D" w14:textId="77777777" w:rsidTr="00A00E73">
        <w:trPr>
          <w:trHeight w:val="245"/>
        </w:trPr>
        <w:tc>
          <w:tcPr>
            <w:tcW w:w="2653" w:type="pct"/>
            <w:tcBorders>
              <w:top w:val="nil"/>
              <w:left w:val="nil"/>
              <w:bottom w:val="nil"/>
              <w:right w:val="nil"/>
            </w:tcBorders>
            <w:shd w:val="clear" w:color="000000" w:fill="FFFFFF"/>
            <w:noWrap/>
            <w:vAlign w:val="bottom"/>
            <w:hideMark/>
          </w:tcPr>
          <w:p w14:paraId="2FA4E875"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647698CF"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(0.012)</w:t>
            </w:r>
          </w:p>
        </w:tc>
        <w:tc>
          <w:tcPr>
            <w:tcW w:w="1275" w:type="pct"/>
            <w:tcBorders>
              <w:top w:val="nil"/>
              <w:left w:val="nil"/>
              <w:bottom w:val="nil"/>
              <w:right w:val="nil"/>
            </w:tcBorders>
            <w:shd w:val="clear" w:color="000000" w:fill="FFFFFF"/>
            <w:noWrap/>
            <w:vAlign w:val="bottom"/>
            <w:hideMark/>
          </w:tcPr>
          <w:p w14:paraId="34D121E7"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(0.014)</w:t>
            </w:r>
          </w:p>
        </w:tc>
      </w:tr>
      <w:tr w:rsidR="00F770FF" w:rsidRPr="00B950B0" w14:paraId="049186B3" w14:textId="77777777" w:rsidTr="00A00E73">
        <w:trPr>
          <w:trHeight w:val="245"/>
        </w:trPr>
        <w:tc>
          <w:tcPr>
            <w:tcW w:w="2653" w:type="pct"/>
            <w:tcBorders>
              <w:top w:val="nil"/>
              <w:left w:val="nil"/>
              <w:bottom w:val="nil"/>
              <w:right w:val="nil"/>
            </w:tcBorders>
            <w:shd w:val="clear" w:color="000000" w:fill="FFFFFF"/>
            <w:noWrap/>
            <w:vAlign w:val="bottom"/>
            <w:hideMark/>
          </w:tcPr>
          <w:p w14:paraId="0459FFE0"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High EPS precision</w:t>
            </w:r>
          </w:p>
        </w:tc>
        <w:tc>
          <w:tcPr>
            <w:tcW w:w="1072" w:type="pct"/>
            <w:tcBorders>
              <w:top w:val="nil"/>
              <w:left w:val="nil"/>
              <w:bottom w:val="nil"/>
              <w:right w:val="nil"/>
            </w:tcBorders>
            <w:shd w:val="clear" w:color="000000" w:fill="FFFFFF"/>
            <w:noWrap/>
            <w:vAlign w:val="bottom"/>
            <w:hideMark/>
          </w:tcPr>
          <w:p w14:paraId="0BB9EC33"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0.396**</w:t>
            </w:r>
          </w:p>
        </w:tc>
        <w:tc>
          <w:tcPr>
            <w:tcW w:w="1275" w:type="pct"/>
            <w:tcBorders>
              <w:top w:val="nil"/>
              <w:left w:val="nil"/>
              <w:bottom w:val="nil"/>
              <w:right w:val="nil"/>
            </w:tcBorders>
            <w:shd w:val="clear" w:color="000000" w:fill="FFFFFF"/>
            <w:noWrap/>
            <w:vAlign w:val="bottom"/>
            <w:hideMark/>
          </w:tcPr>
          <w:p w14:paraId="76A7205D" w14:textId="1E573FDF"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0.269</w:t>
            </w:r>
          </w:p>
        </w:tc>
      </w:tr>
      <w:tr w:rsidR="00F770FF" w:rsidRPr="00B950B0" w14:paraId="6F9DA5B1" w14:textId="77777777" w:rsidTr="00A00E73">
        <w:trPr>
          <w:trHeight w:val="272"/>
        </w:trPr>
        <w:tc>
          <w:tcPr>
            <w:tcW w:w="2653" w:type="pct"/>
            <w:tcBorders>
              <w:top w:val="nil"/>
              <w:left w:val="nil"/>
              <w:bottom w:val="nil"/>
              <w:right w:val="nil"/>
            </w:tcBorders>
            <w:shd w:val="clear" w:color="000000" w:fill="FFFFFF"/>
            <w:noWrap/>
            <w:vAlign w:val="bottom"/>
            <w:hideMark/>
          </w:tcPr>
          <w:p w14:paraId="5DE93EB1"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5816F8F2"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(0.179)</w:t>
            </w:r>
          </w:p>
        </w:tc>
        <w:tc>
          <w:tcPr>
            <w:tcW w:w="1275" w:type="pct"/>
            <w:tcBorders>
              <w:top w:val="nil"/>
              <w:left w:val="nil"/>
              <w:bottom w:val="nil"/>
              <w:right w:val="nil"/>
            </w:tcBorders>
            <w:shd w:val="clear" w:color="000000" w:fill="FFFFFF"/>
            <w:noWrap/>
            <w:vAlign w:val="bottom"/>
            <w:hideMark/>
          </w:tcPr>
          <w:p w14:paraId="0459444B"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(0.177)</w:t>
            </w:r>
          </w:p>
        </w:tc>
      </w:tr>
      <w:tr w:rsidR="00F770FF" w:rsidRPr="00B950B0" w14:paraId="3D5F9292" w14:textId="77777777" w:rsidTr="00A00E73">
        <w:trPr>
          <w:trHeight w:val="245"/>
        </w:trPr>
        <w:tc>
          <w:tcPr>
            <w:tcW w:w="2653" w:type="pct"/>
            <w:tcBorders>
              <w:top w:val="nil"/>
              <w:left w:val="nil"/>
              <w:bottom w:val="nil"/>
              <w:right w:val="nil"/>
            </w:tcBorders>
            <w:shd w:val="clear" w:color="000000" w:fill="FFFFFF"/>
            <w:noWrap/>
            <w:vAlign w:val="bottom"/>
            <w:hideMark/>
          </w:tcPr>
          <w:p w14:paraId="0DEA7D33"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High EPS optimism</w:t>
            </w:r>
          </w:p>
        </w:tc>
        <w:tc>
          <w:tcPr>
            <w:tcW w:w="1072" w:type="pct"/>
            <w:tcBorders>
              <w:top w:val="nil"/>
              <w:left w:val="nil"/>
              <w:bottom w:val="nil"/>
              <w:right w:val="nil"/>
            </w:tcBorders>
            <w:shd w:val="clear" w:color="000000" w:fill="FFFFFF"/>
            <w:noWrap/>
            <w:vAlign w:val="bottom"/>
            <w:hideMark/>
          </w:tcPr>
          <w:p w14:paraId="77D1D7C7" w14:textId="434EB4FB"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0.162</w:t>
            </w:r>
          </w:p>
        </w:tc>
        <w:tc>
          <w:tcPr>
            <w:tcW w:w="1275" w:type="pct"/>
            <w:tcBorders>
              <w:top w:val="nil"/>
              <w:left w:val="nil"/>
              <w:bottom w:val="nil"/>
              <w:right w:val="nil"/>
            </w:tcBorders>
            <w:shd w:val="clear" w:color="000000" w:fill="FFFFFF"/>
            <w:noWrap/>
            <w:vAlign w:val="bottom"/>
            <w:hideMark/>
          </w:tcPr>
          <w:p w14:paraId="484FEDB8"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0.219</w:t>
            </w:r>
          </w:p>
        </w:tc>
      </w:tr>
      <w:tr w:rsidR="00F770FF" w:rsidRPr="00B950B0" w14:paraId="138A8F0A" w14:textId="77777777" w:rsidTr="00A00E73">
        <w:trPr>
          <w:trHeight w:val="272"/>
        </w:trPr>
        <w:tc>
          <w:tcPr>
            <w:tcW w:w="2653" w:type="pct"/>
            <w:tcBorders>
              <w:top w:val="nil"/>
              <w:left w:val="nil"/>
              <w:bottom w:val="nil"/>
              <w:right w:val="nil"/>
            </w:tcBorders>
            <w:shd w:val="clear" w:color="000000" w:fill="FFFFFF"/>
            <w:noWrap/>
            <w:vAlign w:val="bottom"/>
            <w:hideMark/>
          </w:tcPr>
          <w:p w14:paraId="1686C601" w14:textId="77777777" w:rsidR="00F770FF" w:rsidRPr="00B950B0" w:rsidRDefault="00F770FF" w:rsidP="009704E4">
            <w:pPr>
              <w:spacing w:after="0" w:line="240" w:lineRule="auto"/>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4B66DB78"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(0.207)</w:t>
            </w:r>
          </w:p>
        </w:tc>
        <w:tc>
          <w:tcPr>
            <w:tcW w:w="1275" w:type="pct"/>
            <w:tcBorders>
              <w:top w:val="nil"/>
              <w:left w:val="nil"/>
              <w:bottom w:val="nil"/>
              <w:right w:val="nil"/>
            </w:tcBorders>
            <w:shd w:val="clear" w:color="000000" w:fill="FFFFFF"/>
            <w:noWrap/>
            <w:vAlign w:val="bottom"/>
            <w:hideMark/>
          </w:tcPr>
          <w:p w14:paraId="43FE72E5"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(0.174)</w:t>
            </w:r>
          </w:p>
        </w:tc>
      </w:tr>
      <w:tr w:rsidR="00F770FF" w:rsidRPr="00B950B0" w14:paraId="292AE4B6" w14:textId="77777777" w:rsidTr="00A00E73">
        <w:trPr>
          <w:trHeight w:val="235"/>
        </w:trPr>
        <w:tc>
          <w:tcPr>
            <w:tcW w:w="2653" w:type="pct"/>
            <w:tcBorders>
              <w:top w:val="nil"/>
              <w:left w:val="nil"/>
              <w:bottom w:val="nil"/>
              <w:right w:val="nil"/>
            </w:tcBorders>
            <w:shd w:val="clear" w:color="000000" w:fill="FFFFFF"/>
            <w:noWrap/>
            <w:vAlign w:val="bottom"/>
            <w:hideMark/>
          </w:tcPr>
          <w:p w14:paraId="459E2FED" w14:textId="77777777" w:rsidR="00F770FF" w:rsidRPr="00B950B0" w:rsidRDefault="00F770FF" w:rsidP="009704E4">
            <w:pPr>
              <w:spacing w:after="0" w:line="240" w:lineRule="auto"/>
              <w:rPr>
                <w:rFonts w:ascii="Century Schoolbook" w:eastAsia="Times New Roman" w:hAnsi="Century Schoolbook" w:cs="Times New Roman"/>
                <w:i/>
                <w:iCs/>
                <w:color w:val="000000"/>
                <w:sz w:val="18"/>
                <w:szCs w:val="18"/>
              </w:rPr>
            </w:pPr>
            <w:r w:rsidRPr="00B950B0">
              <w:rPr>
                <w:rFonts w:ascii="Century Schoolbook" w:eastAsia="Times New Roman" w:hAnsi="Century Schoolbook" w:cs="Times New Roman"/>
                <w:i/>
                <w:iCs/>
                <w:color w:val="000000"/>
                <w:sz w:val="18"/>
                <w:szCs w:val="18"/>
              </w:rPr>
              <w:t>Recommendation-level characteristic</w:t>
            </w:r>
          </w:p>
        </w:tc>
        <w:tc>
          <w:tcPr>
            <w:tcW w:w="1072" w:type="pct"/>
            <w:tcBorders>
              <w:top w:val="nil"/>
              <w:left w:val="nil"/>
              <w:bottom w:val="nil"/>
              <w:right w:val="nil"/>
            </w:tcBorders>
            <w:shd w:val="clear" w:color="000000" w:fill="FFFFFF"/>
            <w:noWrap/>
            <w:vAlign w:val="bottom"/>
            <w:hideMark/>
          </w:tcPr>
          <w:p w14:paraId="60A160E6"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275" w:type="pct"/>
            <w:tcBorders>
              <w:top w:val="nil"/>
              <w:left w:val="nil"/>
              <w:bottom w:val="nil"/>
              <w:right w:val="nil"/>
            </w:tcBorders>
            <w:shd w:val="clear" w:color="000000" w:fill="FFFFFF"/>
            <w:noWrap/>
            <w:vAlign w:val="bottom"/>
            <w:hideMark/>
          </w:tcPr>
          <w:p w14:paraId="2A0F5489"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r>
      <w:tr w:rsidR="00F770FF" w:rsidRPr="00B950B0" w14:paraId="50B44E80" w14:textId="77777777" w:rsidTr="00A00E73">
        <w:trPr>
          <w:trHeight w:val="245"/>
        </w:trPr>
        <w:tc>
          <w:tcPr>
            <w:tcW w:w="2653" w:type="pct"/>
            <w:tcBorders>
              <w:top w:val="nil"/>
              <w:left w:val="nil"/>
              <w:bottom w:val="nil"/>
              <w:right w:val="nil"/>
            </w:tcBorders>
            <w:shd w:val="clear" w:color="000000" w:fill="FFFFFF"/>
            <w:noWrap/>
            <w:vAlign w:val="bottom"/>
            <w:hideMark/>
          </w:tcPr>
          <w:p w14:paraId="6D94E4E5"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level up/down</w:t>
            </w:r>
          </w:p>
        </w:tc>
        <w:tc>
          <w:tcPr>
            <w:tcW w:w="1072" w:type="pct"/>
            <w:tcBorders>
              <w:top w:val="nil"/>
              <w:left w:val="nil"/>
              <w:bottom w:val="nil"/>
              <w:right w:val="nil"/>
            </w:tcBorders>
            <w:shd w:val="clear" w:color="000000" w:fill="FFFFFF"/>
            <w:noWrap/>
            <w:vAlign w:val="bottom"/>
            <w:hideMark/>
          </w:tcPr>
          <w:p w14:paraId="041E09AD"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1.124***</w:t>
            </w:r>
          </w:p>
        </w:tc>
        <w:tc>
          <w:tcPr>
            <w:tcW w:w="1275" w:type="pct"/>
            <w:tcBorders>
              <w:top w:val="nil"/>
              <w:left w:val="nil"/>
              <w:bottom w:val="nil"/>
              <w:right w:val="nil"/>
            </w:tcBorders>
            <w:shd w:val="clear" w:color="000000" w:fill="FFFFFF"/>
            <w:noWrap/>
            <w:vAlign w:val="bottom"/>
            <w:hideMark/>
          </w:tcPr>
          <w:p w14:paraId="0F65D54B" w14:textId="4AA8914B"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1.226***</w:t>
            </w:r>
          </w:p>
        </w:tc>
      </w:tr>
      <w:tr w:rsidR="00F770FF" w:rsidRPr="00B950B0" w14:paraId="5F0848DD" w14:textId="77777777" w:rsidTr="00A00E73">
        <w:trPr>
          <w:trHeight w:val="245"/>
        </w:trPr>
        <w:tc>
          <w:tcPr>
            <w:tcW w:w="2653" w:type="pct"/>
            <w:tcBorders>
              <w:top w:val="nil"/>
              <w:left w:val="nil"/>
              <w:bottom w:val="nil"/>
              <w:right w:val="nil"/>
            </w:tcBorders>
            <w:shd w:val="clear" w:color="000000" w:fill="FFFFFF"/>
            <w:noWrap/>
            <w:vAlign w:val="bottom"/>
            <w:hideMark/>
          </w:tcPr>
          <w:p w14:paraId="30345D71"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63F182D4"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(0.195)</w:t>
            </w:r>
          </w:p>
        </w:tc>
        <w:tc>
          <w:tcPr>
            <w:tcW w:w="1275" w:type="pct"/>
            <w:tcBorders>
              <w:top w:val="nil"/>
              <w:left w:val="nil"/>
              <w:bottom w:val="nil"/>
              <w:right w:val="nil"/>
            </w:tcBorders>
            <w:shd w:val="clear" w:color="000000" w:fill="FFFFFF"/>
            <w:noWrap/>
            <w:vAlign w:val="bottom"/>
            <w:hideMark/>
          </w:tcPr>
          <w:p w14:paraId="4334E37F"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(0.231)</w:t>
            </w:r>
          </w:p>
        </w:tc>
      </w:tr>
      <w:tr w:rsidR="00F770FF" w:rsidRPr="00B950B0" w14:paraId="0D1CA878" w14:textId="77777777" w:rsidTr="00A00E73">
        <w:trPr>
          <w:trHeight w:val="245"/>
        </w:trPr>
        <w:tc>
          <w:tcPr>
            <w:tcW w:w="2653" w:type="pct"/>
            <w:tcBorders>
              <w:top w:val="nil"/>
              <w:left w:val="nil"/>
              <w:bottom w:val="nil"/>
              <w:right w:val="nil"/>
            </w:tcBorders>
            <w:shd w:val="clear" w:color="000000" w:fill="FFFFFF"/>
            <w:noWrap/>
            <w:vAlign w:val="bottom"/>
            <w:hideMark/>
          </w:tcPr>
          <w:p w14:paraId="5BE03C4C"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Initial level</w:t>
            </w:r>
          </w:p>
        </w:tc>
        <w:tc>
          <w:tcPr>
            <w:tcW w:w="1072" w:type="pct"/>
            <w:tcBorders>
              <w:top w:val="nil"/>
              <w:left w:val="nil"/>
              <w:bottom w:val="nil"/>
              <w:right w:val="nil"/>
            </w:tcBorders>
            <w:shd w:val="clear" w:color="000000" w:fill="FFFFFF"/>
            <w:noWrap/>
            <w:vAlign w:val="bottom"/>
            <w:hideMark/>
          </w:tcPr>
          <w:p w14:paraId="44760CAC" w14:textId="09007A48"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0.372***</w:t>
            </w:r>
          </w:p>
        </w:tc>
        <w:tc>
          <w:tcPr>
            <w:tcW w:w="1275" w:type="pct"/>
            <w:tcBorders>
              <w:top w:val="nil"/>
              <w:left w:val="nil"/>
              <w:bottom w:val="nil"/>
              <w:right w:val="nil"/>
            </w:tcBorders>
            <w:shd w:val="clear" w:color="000000" w:fill="FFFFFF"/>
            <w:noWrap/>
            <w:vAlign w:val="bottom"/>
            <w:hideMark/>
          </w:tcPr>
          <w:p w14:paraId="7FD0ECE2"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0.168</w:t>
            </w:r>
          </w:p>
        </w:tc>
      </w:tr>
      <w:tr w:rsidR="00F770FF" w:rsidRPr="00B950B0" w14:paraId="7C42AB1D" w14:textId="77777777" w:rsidTr="00A00E73">
        <w:trPr>
          <w:trHeight w:val="272"/>
        </w:trPr>
        <w:tc>
          <w:tcPr>
            <w:tcW w:w="2653" w:type="pct"/>
            <w:tcBorders>
              <w:top w:val="nil"/>
              <w:left w:val="nil"/>
              <w:bottom w:val="nil"/>
              <w:right w:val="nil"/>
            </w:tcBorders>
            <w:shd w:val="clear" w:color="000000" w:fill="FFFFFF"/>
            <w:noWrap/>
            <w:vAlign w:val="bottom"/>
            <w:hideMark/>
          </w:tcPr>
          <w:p w14:paraId="1F77BB91"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4F637773"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(0.122)</w:t>
            </w:r>
          </w:p>
        </w:tc>
        <w:tc>
          <w:tcPr>
            <w:tcW w:w="1275" w:type="pct"/>
            <w:tcBorders>
              <w:top w:val="nil"/>
              <w:left w:val="nil"/>
              <w:bottom w:val="nil"/>
              <w:right w:val="nil"/>
            </w:tcBorders>
            <w:shd w:val="clear" w:color="000000" w:fill="FFFFFF"/>
            <w:noWrap/>
            <w:vAlign w:val="bottom"/>
            <w:hideMark/>
          </w:tcPr>
          <w:p w14:paraId="35EA6573"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(0.156)</w:t>
            </w:r>
          </w:p>
        </w:tc>
      </w:tr>
      <w:tr w:rsidR="00F770FF" w:rsidRPr="00B950B0" w14:paraId="5133B129" w14:textId="77777777" w:rsidTr="00A00E73">
        <w:trPr>
          <w:trHeight w:val="245"/>
        </w:trPr>
        <w:tc>
          <w:tcPr>
            <w:tcW w:w="2653" w:type="pct"/>
            <w:tcBorders>
              <w:top w:val="nil"/>
              <w:left w:val="nil"/>
              <w:bottom w:val="nil"/>
              <w:right w:val="nil"/>
            </w:tcBorders>
            <w:shd w:val="clear" w:color="000000" w:fill="FFFFFF"/>
            <w:noWrap/>
            <w:vAlign w:val="bottom"/>
            <w:hideMark/>
          </w:tcPr>
          <w:p w14:paraId="24AB7C89"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xml:space="preserve">Concurrent with earnings </w:t>
            </w:r>
            <w:proofErr w:type="spellStart"/>
            <w:r w:rsidRPr="00B950B0">
              <w:rPr>
                <w:rFonts w:ascii="Century Schoolbook" w:eastAsia="Times New Roman" w:hAnsi="Century Schoolbook" w:cs="Times New Roman"/>
                <w:color w:val="000000"/>
                <w:sz w:val="18"/>
                <w:szCs w:val="18"/>
              </w:rPr>
              <w:t>announ</w:t>
            </w:r>
            <w:proofErr w:type="spellEnd"/>
            <w:r w:rsidRPr="00B950B0">
              <w:rPr>
                <w:rFonts w:ascii="Century Schoolbook" w:eastAsia="Times New Roman" w:hAnsi="Century Schoolbook" w:cs="Times New Roman"/>
                <w:color w:val="000000"/>
                <w:sz w:val="18"/>
                <w:szCs w:val="18"/>
              </w:rPr>
              <w:t>.</w:t>
            </w:r>
          </w:p>
        </w:tc>
        <w:tc>
          <w:tcPr>
            <w:tcW w:w="1072" w:type="pct"/>
            <w:tcBorders>
              <w:top w:val="nil"/>
              <w:left w:val="nil"/>
              <w:bottom w:val="nil"/>
              <w:right w:val="nil"/>
            </w:tcBorders>
            <w:shd w:val="clear" w:color="000000" w:fill="FFFFFF"/>
            <w:noWrap/>
            <w:vAlign w:val="bottom"/>
            <w:hideMark/>
          </w:tcPr>
          <w:p w14:paraId="61D55721"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0.987***</w:t>
            </w:r>
          </w:p>
        </w:tc>
        <w:tc>
          <w:tcPr>
            <w:tcW w:w="1275" w:type="pct"/>
            <w:tcBorders>
              <w:top w:val="nil"/>
              <w:left w:val="nil"/>
              <w:bottom w:val="nil"/>
              <w:right w:val="nil"/>
            </w:tcBorders>
            <w:shd w:val="clear" w:color="000000" w:fill="FFFFFF"/>
            <w:noWrap/>
            <w:vAlign w:val="bottom"/>
            <w:hideMark/>
          </w:tcPr>
          <w:p w14:paraId="507C7224" w14:textId="66B6E5FD"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2.491***</w:t>
            </w:r>
          </w:p>
        </w:tc>
      </w:tr>
      <w:tr w:rsidR="00F770FF" w:rsidRPr="00B950B0" w14:paraId="28744E25" w14:textId="77777777" w:rsidTr="00A00E73">
        <w:trPr>
          <w:trHeight w:val="245"/>
        </w:trPr>
        <w:tc>
          <w:tcPr>
            <w:tcW w:w="2653" w:type="pct"/>
            <w:tcBorders>
              <w:top w:val="nil"/>
              <w:left w:val="nil"/>
              <w:bottom w:val="nil"/>
              <w:right w:val="nil"/>
            </w:tcBorders>
            <w:shd w:val="clear" w:color="000000" w:fill="FFFFFF"/>
            <w:noWrap/>
            <w:vAlign w:val="bottom"/>
            <w:hideMark/>
          </w:tcPr>
          <w:p w14:paraId="472042D1"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3BB02C5C"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(0.281)</w:t>
            </w:r>
          </w:p>
        </w:tc>
        <w:tc>
          <w:tcPr>
            <w:tcW w:w="1275" w:type="pct"/>
            <w:tcBorders>
              <w:top w:val="nil"/>
              <w:left w:val="nil"/>
              <w:bottom w:val="nil"/>
              <w:right w:val="nil"/>
            </w:tcBorders>
            <w:shd w:val="clear" w:color="000000" w:fill="FFFFFF"/>
            <w:noWrap/>
            <w:vAlign w:val="bottom"/>
            <w:hideMark/>
          </w:tcPr>
          <w:p w14:paraId="70A2967E"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(0.308)</w:t>
            </w:r>
          </w:p>
        </w:tc>
      </w:tr>
      <w:tr w:rsidR="00F770FF" w:rsidRPr="00B950B0" w14:paraId="3FF85642" w14:textId="77777777" w:rsidTr="00A00E73">
        <w:trPr>
          <w:trHeight w:val="245"/>
        </w:trPr>
        <w:tc>
          <w:tcPr>
            <w:tcW w:w="2653" w:type="pct"/>
            <w:tcBorders>
              <w:top w:val="nil"/>
              <w:left w:val="nil"/>
              <w:bottom w:val="nil"/>
              <w:right w:val="nil"/>
            </w:tcBorders>
            <w:shd w:val="clear" w:color="000000" w:fill="FFFFFF"/>
            <w:noWrap/>
            <w:vAlign w:val="bottom"/>
            <w:hideMark/>
          </w:tcPr>
          <w:p w14:paraId="10E6AA5A"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Earnings-related revision</w:t>
            </w:r>
          </w:p>
        </w:tc>
        <w:tc>
          <w:tcPr>
            <w:tcW w:w="1072" w:type="pct"/>
            <w:tcBorders>
              <w:top w:val="nil"/>
              <w:left w:val="nil"/>
              <w:bottom w:val="nil"/>
              <w:right w:val="nil"/>
            </w:tcBorders>
            <w:shd w:val="clear" w:color="000000" w:fill="FFFFFF"/>
            <w:noWrap/>
            <w:vAlign w:val="bottom"/>
            <w:hideMark/>
          </w:tcPr>
          <w:p w14:paraId="7C21E80D" w14:textId="6BEE1480"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0.830***</w:t>
            </w:r>
          </w:p>
        </w:tc>
        <w:tc>
          <w:tcPr>
            <w:tcW w:w="1275" w:type="pct"/>
            <w:tcBorders>
              <w:top w:val="nil"/>
              <w:left w:val="nil"/>
              <w:bottom w:val="nil"/>
              <w:right w:val="nil"/>
            </w:tcBorders>
            <w:shd w:val="clear" w:color="000000" w:fill="FFFFFF"/>
            <w:noWrap/>
            <w:vAlign w:val="bottom"/>
            <w:hideMark/>
          </w:tcPr>
          <w:p w14:paraId="3BD0451E"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0.694**</w:t>
            </w:r>
          </w:p>
        </w:tc>
      </w:tr>
      <w:tr w:rsidR="00F770FF" w:rsidRPr="00B950B0" w14:paraId="5F72F10F" w14:textId="77777777" w:rsidTr="00A00E73">
        <w:trPr>
          <w:trHeight w:val="272"/>
        </w:trPr>
        <w:tc>
          <w:tcPr>
            <w:tcW w:w="2653" w:type="pct"/>
            <w:tcBorders>
              <w:top w:val="nil"/>
              <w:left w:val="nil"/>
              <w:bottom w:val="nil"/>
              <w:right w:val="nil"/>
            </w:tcBorders>
            <w:shd w:val="clear" w:color="000000" w:fill="FFFFFF"/>
            <w:noWrap/>
            <w:vAlign w:val="bottom"/>
            <w:hideMark/>
          </w:tcPr>
          <w:p w14:paraId="3511EAF5"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0B6F8FB3"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(0.251)</w:t>
            </w:r>
          </w:p>
        </w:tc>
        <w:tc>
          <w:tcPr>
            <w:tcW w:w="1275" w:type="pct"/>
            <w:tcBorders>
              <w:top w:val="nil"/>
              <w:left w:val="nil"/>
              <w:bottom w:val="nil"/>
              <w:right w:val="nil"/>
            </w:tcBorders>
            <w:shd w:val="clear" w:color="000000" w:fill="FFFFFF"/>
            <w:noWrap/>
            <w:vAlign w:val="bottom"/>
            <w:hideMark/>
          </w:tcPr>
          <w:p w14:paraId="51E87F92"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(0.297)</w:t>
            </w:r>
          </w:p>
        </w:tc>
      </w:tr>
      <w:tr w:rsidR="00F770FF" w:rsidRPr="00B950B0" w14:paraId="29D858DB" w14:textId="77777777" w:rsidTr="00A00E73">
        <w:trPr>
          <w:trHeight w:val="245"/>
        </w:trPr>
        <w:tc>
          <w:tcPr>
            <w:tcW w:w="2653" w:type="pct"/>
            <w:tcBorders>
              <w:top w:val="nil"/>
              <w:left w:val="nil"/>
              <w:bottom w:val="nil"/>
              <w:right w:val="nil"/>
            </w:tcBorders>
            <w:shd w:val="clear" w:color="000000" w:fill="FFFFFF"/>
            <w:noWrap/>
            <w:vAlign w:val="bottom"/>
            <w:hideMark/>
          </w:tcPr>
          <w:p w14:paraId="5796B14D"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Pre-earnings revision</w:t>
            </w:r>
          </w:p>
        </w:tc>
        <w:tc>
          <w:tcPr>
            <w:tcW w:w="1072" w:type="pct"/>
            <w:tcBorders>
              <w:top w:val="nil"/>
              <w:left w:val="nil"/>
              <w:bottom w:val="nil"/>
              <w:right w:val="nil"/>
            </w:tcBorders>
            <w:shd w:val="clear" w:color="000000" w:fill="FFFFFF"/>
            <w:noWrap/>
            <w:vAlign w:val="bottom"/>
            <w:hideMark/>
          </w:tcPr>
          <w:p w14:paraId="4B1CC38B"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0.584</w:t>
            </w:r>
          </w:p>
        </w:tc>
        <w:tc>
          <w:tcPr>
            <w:tcW w:w="1275" w:type="pct"/>
            <w:tcBorders>
              <w:top w:val="nil"/>
              <w:left w:val="nil"/>
              <w:bottom w:val="nil"/>
              <w:right w:val="nil"/>
            </w:tcBorders>
            <w:shd w:val="clear" w:color="000000" w:fill="FFFFFF"/>
            <w:noWrap/>
            <w:vAlign w:val="bottom"/>
            <w:hideMark/>
          </w:tcPr>
          <w:p w14:paraId="29868CE8"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0.773</w:t>
            </w:r>
          </w:p>
        </w:tc>
      </w:tr>
      <w:tr w:rsidR="00F770FF" w:rsidRPr="00B950B0" w14:paraId="1F9FD31F" w14:textId="77777777" w:rsidTr="00A00E73">
        <w:trPr>
          <w:trHeight w:val="272"/>
        </w:trPr>
        <w:tc>
          <w:tcPr>
            <w:tcW w:w="2653" w:type="pct"/>
            <w:tcBorders>
              <w:top w:val="nil"/>
              <w:left w:val="nil"/>
              <w:bottom w:val="nil"/>
              <w:right w:val="nil"/>
            </w:tcBorders>
            <w:shd w:val="clear" w:color="000000" w:fill="FFFFFF"/>
            <w:noWrap/>
            <w:vAlign w:val="bottom"/>
            <w:hideMark/>
          </w:tcPr>
          <w:p w14:paraId="6BD5825A"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78F6AAC2"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(0.382)</w:t>
            </w:r>
          </w:p>
        </w:tc>
        <w:tc>
          <w:tcPr>
            <w:tcW w:w="1275" w:type="pct"/>
            <w:tcBorders>
              <w:top w:val="nil"/>
              <w:left w:val="nil"/>
              <w:bottom w:val="nil"/>
              <w:right w:val="nil"/>
            </w:tcBorders>
            <w:shd w:val="clear" w:color="000000" w:fill="FFFFFF"/>
            <w:noWrap/>
            <w:vAlign w:val="bottom"/>
            <w:hideMark/>
          </w:tcPr>
          <w:p w14:paraId="2A01BC41"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(0.605)</w:t>
            </w:r>
          </w:p>
        </w:tc>
      </w:tr>
      <w:tr w:rsidR="00F770FF" w:rsidRPr="00B950B0" w14:paraId="29E945F6" w14:textId="77777777" w:rsidTr="00A00E73">
        <w:trPr>
          <w:trHeight w:val="245"/>
        </w:trPr>
        <w:tc>
          <w:tcPr>
            <w:tcW w:w="2653" w:type="pct"/>
            <w:tcBorders>
              <w:top w:val="nil"/>
              <w:left w:val="nil"/>
              <w:bottom w:val="nil"/>
              <w:right w:val="nil"/>
            </w:tcBorders>
            <w:shd w:val="clear" w:color="000000" w:fill="FFFFFF"/>
            <w:noWrap/>
            <w:vAlign w:val="bottom"/>
            <w:hideMark/>
          </w:tcPr>
          <w:p w14:paraId="51730701" w14:textId="77777777" w:rsidR="00F770FF" w:rsidRPr="00B950B0" w:rsidRDefault="00F770FF" w:rsidP="009704E4">
            <w:pPr>
              <w:spacing w:after="0" w:line="240" w:lineRule="auto"/>
              <w:ind w:left="162"/>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Away from consensus</w:t>
            </w:r>
          </w:p>
        </w:tc>
        <w:tc>
          <w:tcPr>
            <w:tcW w:w="1072" w:type="pct"/>
            <w:tcBorders>
              <w:top w:val="nil"/>
              <w:left w:val="nil"/>
              <w:bottom w:val="nil"/>
              <w:right w:val="nil"/>
            </w:tcBorders>
            <w:shd w:val="clear" w:color="000000" w:fill="FFFFFF"/>
            <w:noWrap/>
            <w:vAlign w:val="bottom"/>
            <w:hideMark/>
          </w:tcPr>
          <w:p w14:paraId="44E09ACA"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0.462**</w:t>
            </w:r>
          </w:p>
        </w:tc>
        <w:tc>
          <w:tcPr>
            <w:tcW w:w="1275" w:type="pct"/>
            <w:tcBorders>
              <w:top w:val="nil"/>
              <w:left w:val="nil"/>
              <w:bottom w:val="nil"/>
              <w:right w:val="nil"/>
            </w:tcBorders>
            <w:shd w:val="clear" w:color="000000" w:fill="FFFFFF"/>
            <w:noWrap/>
            <w:vAlign w:val="bottom"/>
            <w:hideMark/>
          </w:tcPr>
          <w:p w14:paraId="779F00A9" w14:textId="04729855" w:rsidR="00F770FF" w:rsidRPr="00B950B0" w:rsidRDefault="00F0594E"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00F770FF" w:rsidRPr="00B950B0">
              <w:rPr>
                <w:rFonts w:ascii="Century Schoolbook" w:eastAsia="Times New Roman" w:hAnsi="Century Schoolbook" w:cs="Times New Roman"/>
                <w:color w:val="000000"/>
                <w:sz w:val="18"/>
                <w:szCs w:val="18"/>
              </w:rPr>
              <w:t>1.279***</w:t>
            </w:r>
          </w:p>
        </w:tc>
      </w:tr>
      <w:tr w:rsidR="00F770FF" w:rsidRPr="00B950B0" w14:paraId="1D0750BB" w14:textId="77777777" w:rsidTr="00A00E73">
        <w:trPr>
          <w:trHeight w:val="245"/>
        </w:trPr>
        <w:tc>
          <w:tcPr>
            <w:tcW w:w="2653" w:type="pct"/>
            <w:tcBorders>
              <w:top w:val="nil"/>
              <w:left w:val="nil"/>
              <w:bottom w:val="nil"/>
              <w:right w:val="nil"/>
            </w:tcBorders>
            <w:shd w:val="clear" w:color="000000" w:fill="FFFFFF"/>
            <w:noWrap/>
            <w:vAlign w:val="bottom"/>
            <w:hideMark/>
          </w:tcPr>
          <w:p w14:paraId="752DBDDD" w14:textId="77777777" w:rsidR="00F770FF" w:rsidRPr="00B950B0" w:rsidRDefault="00F770FF" w:rsidP="009704E4">
            <w:pPr>
              <w:spacing w:after="0" w:line="240" w:lineRule="auto"/>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 </w:t>
            </w:r>
          </w:p>
        </w:tc>
        <w:tc>
          <w:tcPr>
            <w:tcW w:w="1072" w:type="pct"/>
            <w:tcBorders>
              <w:top w:val="nil"/>
              <w:left w:val="nil"/>
              <w:bottom w:val="nil"/>
              <w:right w:val="nil"/>
            </w:tcBorders>
            <w:shd w:val="clear" w:color="000000" w:fill="FFFFFF"/>
            <w:noWrap/>
            <w:vAlign w:val="bottom"/>
            <w:hideMark/>
          </w:tcPr>
          <w:p w14:paraId="76D9BCC5"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(0.186)</w:t>
            </w:r>
          </w:p>
        </w:tc>
        <w:tc>
          <w:tcPr>
            <w:tcW w:w="1275" w:type="pct"/>
            <w:tcBorders>
              <w:top w:val="nil"/>
              <w:left w:val="nil"/>
              <w:bottom w:val="nil"/>
              <w:right w:val="nil"/>
            </w:tcBorders>
            <w:shd w:val="clear" w:color="000000" w:fill="FFFFFF"/>
            <w:noWrap/>
            <w:vAlign w:val="bottom"/>
            <w:hideMark/>
          </w:tcPr>
          <w:p w14:paraId="1A2BCA94"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(0.234)</w:t>
            </w:r>
          </w:p>
        </w:tc>
      </w:tr>
      <w:tr w:rsidR="00F770FF" w:rsidRPr="00B950B0" w14:paraId="3F2794BC" w14:textId="77777777" w:rsidTr="00A00E73">
        <w:trPr>
          <w:trHeight w:val="245"/>
        </w:trPr>
        <w:tc>
          <w:tcPr>
            <w:tcW w:w="2653" w:type="pct"/>
            <w:tcBorders>
              <w:top w:val="single" w:sz="4" w:space="0" w:color="auto"/>
              <w:left w:val="nil"/>
              <w:bottom w:val="nil"/>
              <w:right w:val="nil"/>
            </w:tcBorders>
            <w:shd w:val="clear" w:color="000000" w:fill="FFFFFF"/>
            <w:noWrap/>
            <w:vAlign w:val="bottom"/>
            <w:hideMark/>
          </w:tcPr>
          <w:p w14:paraId="3CB0DBEB" w14:textId="77777777" w:rsidR="00F770FF" w:rsidRPr="00B950B0" w:rsidRDefault="00F770FF" w:rsidP="009704E4">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 xml:space="preserve">Industry, </w:t>
            </w:r>
            <w:r w:rsidRPr="00B950B0">
              <w:rPr>
                <w:rFonts w:ascii="Century Schoolbook" w:eastAsia="Times New Roman" w:hAnsi="Century Schoolbook" w:cs="Times New Roman"/>
                <w:color w:val="000000"/>
                <w:sz w:val="18"/>
                <w:szCs w:val="18"/>
              </w:rPr>
              <w:t>Year</w:t>
            </w:r>
            <w:r>
              <w:rPr>
                <w:rFonts w:ascii="Century Schoolbook" w:eastAsia="Times New Roman" w:hAnsi="Century Schoolbook" w:cs="Times New Roman"/>
                <w:color w:val="000000"/>
                <w:sz w:val="18"/>
                <w:szCs w:val="18"/>
              </w:rPr>
              <w:t>, and Broker</w:t>
            </w:r>
            <w:r w:rsidRPr="00B950B0">
              <w:rPr>
                <w:rFonts w:ascii="Century Schoolbook" w:eastAsia="Times New Roman" w:hAnsi="Century Schoolbook" w:cs="Times New Roman"/>
                <w:color w:val="000000"/>
                <w:sz w:val="18"/>
                <w:szCs w:val="18"/>
              </w:rPr>
              <w:t>-fixed effects</w:t>
            </w:r>
          </w:p>
        </w:tc>
        <w:tc>
          <w:tcPr>
            <w:tcW w:w="1072" w:type="pct"/>
            <w:tcBorders>
              <w:top w:val="single" w:sz="4" w:space="0" w:color="auto"/>
              <w:left w:val="nil"/>
              <w:bottom w:val="nil"/>
              <w:right w:val="nil"/>
            </w:tcBorders>
            <w:shd w:val="clear" w:color="000000" w:fill="FFFFFF"/>
            <w:noWrap/>
            <w:vAlign w:val="bottom"/>
            <w:hideMark/>
          </w:tcPr>
          <w:p w14:paraId="67F192DF"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Yes</w:t>
            </w:r>
          </w:p>
        </w:tc>
        <w:tc>
          <w:tcPr>
            <w:tcW w:w="1275" w:type="pct"/>
            <w:tcBorders>
              <w:top w:val="single" w:sz="4" w:space="0" w:color="auto"/>
              <w:left w:val="nil"/>
              <w:bottom w:val="nil"/>
              <w:right w:val="nil"/>
            </w:tcBorders>
            <w:shd w:val="clear" w:color="000000" w:fill="FFFFFF"/>
            <w:noWrap/>
            <w:vAlign w:val="bottom"/>
            <w:hideMark/>
          </w:tcPr>
          <w:p w14:paraId="399C604F"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Yes</w:t>
            </w:r>
          </w:p>
        </w:tc>
      </w:tr>
      <w:tr w:rsidR="00F770FF" w:rsidRPr="00B950B0" w14:paraId="543AD1E5" w14:textId="77777777" w:rsidTr="00A00E73">
        <w:trPr>
          <w:trHeight w:val="245"/>
        </w:trPr>
        <w:tc>
          <w:tcPr>
            <w:tcW w:w="2653" w:type="pct"/>
            <w:tcBorders>
              <w:top w:val="nil"/>
              <w:left w:val="nil"/>
              <w:bottom w:val="nil"/>
              <w:right w:val="nil"/>
            </w:tcBorders>
            <w:shd w:val="clear" w:color="000000" w:fill="FFFFFF"/>
            <w:noWrap/>
            <w:vAlign w:val="bottom"/>
            <w:hideMark/>
          </w:tcPr>
          <w:p w14:paraId="6C81C88F" w14:textId="77777777" w:rsidR="00F770FF" w:rsidRPr="00B950B0" w:rsidRDefault="00F770FF" w:rsidP="009704E4">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Firm-level c</w:t>
            </w:r>
            <w:r w:rsidRPr="00B950B0">
              <w:rPr>
                <w:rFonts w:ascii="Century Schoolbook" w:eastAsia="Times New Roman" w:hAnsi="Century Schoolbook" w:cs="Times New Roman"/>
                <w:color w:val="000000"/>
                <w:sz w:val="18"/>
                <w:szCs w:val="18"/>
              </w:rPr>
              <w:t xml:space="preserve">lustering </w:t>
            </w:r>
          </w:p>
        </w:tc>
        <w:tc>
          <w:tcPr>
            <w:tcW w:w="1072" w:type="pct"/>
            <w:tcBorders>
              <w:top w:val="nil"/>
              <w:left w:val="nil"/>
              <w:bottom w:val="nil"/>
              <w:right w:val="nil"/>
            </w:tcBorders>
            <w:shd w:val="clear" w:color="000000" w:fill="FFFFFF"/>
            <w:noWrap/>
            <w:vAlign w:val="bottom"/>
            <w:hideMark/>
          </w:tcPr>
          <w:p w14:paraId="49F8151A"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c>
          <w:tcPr>
            <w:tcW w:w="1275" w:type="pct"/>
            <w:tcBorders>
              <w:top w:val="nil"/>
              <w:left w:val="nil"/>
              <w:bottom w:val="nil"/>
              <w:right w:val="nil"/>
            </w:tcBorders>
            <w:shd w:val="clear" w:color="000000" w:fill="FFFFFF"/>
            <w:noWrap/>
            <w:vAlign w:val="bottom"/>
            <w:hideMark/>
          </w:tcPr>
          <w:p w14:paraId="4D4E69BA"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Yes</w:t>
            </w:r>
          </w:p>
        </w:tc>
      </w:tr>
      <w:tr w:rsidR="00F770FF" w:rsidRPr="00B950B0" w14:paraId="1A99629E" w14:textId="77777777" w:rsidTr="00A00E73">
        <w:trPr>
          <w:trHeight w:val="245"/>
        </w:trPr>
        <w:tc>
          <w:tcPr>
            <w:tcW w:w="2653" w:type="pct"/>
            <w:tcBorders>
              <w:top w:val="nil"/>
              <w:left w:val="nil"/>
              <w:right w:val="nil"/>
            </w:tcBorders>
            <w:shd w:val="clear" w:color="000000" w:fill="FFFFFF"/>
            <w:noWrap/>
            <w:vAlign w:val="bottom"/>
            <w:hideMark/>
          </w:tcPr>
          <w:p w14:paraId="6F932969" w14:textId="77777777" w:rsidR="00F770FF" w:rsidRPr="00B950B0" w:rsidRDefault="00F770FF" w:rsidP="009704E4">
            <w:pPr>
              <w:spacing w:after="0" w:line="240" w:lineRule="auto"/>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Nobs</w:t>
            </w:r>
          </w:p>
        </w:tc>
        <w:tc>
          <w:tcPr>
            <w:tcW w:w="1072" w:type="pct"/>
            <w:tcBorders>
              <w:top w:val="nil"/>
              <w:left w:val="nil"/>
              <w:right w:val="nil"/>
            </w:tcBorders>
            <w:shd w:val="clear" w:color="000000" w:fill="FFFFFF"/>
            <w:noWrap/>
            <w:vAlign w:val="bottom"/>
            <w:hideMark/>
          </w:tcPr>
          <w:p w14:paraId="7BA89E92"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15</w:t>
            </w:r>
            <w:r>
              <w:rPr>
                <w:rFonts w:ascii="Century Schoolbook" w:eastAsia="Times New Roman" w:hAnsi="Century Schoolbook" w:cs="Times New Roman"/>
                <w:color w:val="000000"/>
                <w:sz w:val="18"/>
                <w:szCs w:val="18"/>
              </w:rPr>
              <w:t>,</w:t>
            </w:r>
            <w:r w:rsidRPr="00B950B0">
              <w:rPr>
                <w:rFonts w:ascii="Century Schoolbook" w:eastAsia="Times New Roman" w:hAnsi="Century Schoolbook" w:cs="Times New Roman"/>
                <w:color w:val="000000"/>
                <w:sz w:val="18"/>
                <w:szCs w:val="18"/>
              </w:rPr>
              <w:t>328</w:t>
            </w:r>
          </w:p>
        </w:tc>
        <w:tc>
          <w:tcPr>
            <w:tcW w:w="1275" w:type="pct"/>
            <w:tcBorders>
              <w:top w:val="nil"/>
              <w:left w:val="nil"/>
              <w:right w:val="nil"/>
            </w:tcBorders>
            <w:shd w:val="clear" w:color="000000" w:fill="FFFFFF"/>
            <w:noWrap/>
            <w:vAlign w:val="bottom"/>
            <w:hideMark/>
          </w:tcPr>
          <w:p w14:paraId="0ED849F1"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17</w:t>
            </w:r>
            <w:r>
              <w:rPr>
                <w:rFonts w:ascii="Century Schoolbook" w:eastAsia="Times New Roman" w:hAnsi="Century Schoolbook" w:cs="Times New Roman"/>
                <w:color w:val="000000"/>
                <w:sz w:val="18"/>
                <w:szCs w:val="18"/>
              </w:rPr>
              <w:t>,</w:t>
            </w:r>
            <w:r w:rsidRPr="00B950B0">
              <w:rPr>
                <w:rFonts w:ascii="Century Schoolbook" w:eastAsia="Times New Roman" w:hAnsi="Century Schoolbook" w:cs="Times New Roman"/>
                <w:color w:val="000000"/>
                <w:sz w:val="18"/>
                <w:szCs w:val="18"/>
              </w:rPr>
              <w:t>657</w:t>
            </w:r>
          </w:p>
        </w:tc>
      </w:tr>
      <w:tr w:rsidR="00F770FF" w:rsidRPr="00B950B0" w14:paraId="4F0DB167" w14:textId="77777777" w:rsidTr="00A00E73">
        <w:trPr>
          <w:trHeight w:val="259"/>
        </w:trPr>
        <w:tc>
          <w:tcPr>
            <w:tcW w:w="2653" w:type="pct"/>
            <w:tcBorders>
              <w:top w:val="nil"/>
              <w:left w:val="nil"/>
              <w:bottom w:val="double" w:sz="4" w:space="0" w:color="auto"/>
              <w:right w:val="nil"/>
            </w:tcBorders>
            <w:shd w:val="clear" w:color="000000" w:fill="FFFFFF"/>
            <w:noWrap/>
            <w:vAlign w:val="bottom"/>
            <w:hideMark/>
          </w:tcPr>
          <w:p w14:paraId="0969067E" w14:textId="77777777" w:rsidR="00F770FF" w:rsidRPr="00B950B0" w:rsidRDefault="00F770FF" w:rsidP="009704E4">
            <w:pPr>
              <w:spacing w:after="0" w:line="240" w:lineRule="auto"/>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Adjusted R-squared</w:t>
            </w:r>
          </w:p>
        </w:tc>
        <w:tc>
          <w:tcPr>
            <w:tcW w:w="1072" w:type="pct"/>
            <w:tcBorders>
              <w:top w:val="nil"/>
              <w:left w:val="nil"/>
              <w:bottom w:val="double" w:sz="4" w:space="0" w:color="auto"/>
              <w:right w:val="nil"/>
            </w:tcBorders>
            <w:shd w:val="clear" w:color="000000" w:fill="FFFFFF"/>
            <w:noWrap/>
            <w:vAlign w:val="bottom"/>
            <w:hideMark/>
          </w:tcPr>
          <w:p w14:paraId="1D2AC101"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13.6%</w:t>
            </w:r>
          </w:p>
        </w:tc>
        <w:tc>
          <w:tcPr>
            <w:tcW w:w="1275" w:type="pct"/>
            <w:tcBorders>
              <w:top w:val="nil"/>
              <w:left w:val="nil"/>
              <w:bottom w:val="double" w:sz="4" w:space="0" w:color="auto"/>
              <w:right w:val="nil"/>
            </w:tcBorders>
            <w:shd w:val="clear" w:color="000000" w:fill="FFFFFF"/>
            <w:noWrap/>
            <w:vAlign w:val="bottom"/>
            <w:hideMark/>
          </w:tcPr>
          <w:p w14:paraId="0C3B03CE" w14:textId="77777777" w:rsidR="00F770FF" w:rsidRPr="00B950B0" w:rsidRDefault="00F770FF" w:rsidP="009704E4">
            <w:pPr>
              <w:spacing w:after="0" w:line="240" w:lineRule="auto"/>
              <w:jc w:val="center"/>
              <w:rPr>
                <w:rFonts w:ascii="Century Schoolbook" w:eastAsia="Times New Roman" w:hAnsi="Century Schoolbook" w:cs="Times New Roman"/>
                <w:color w:val="000000"/>
                <w:sz w:val="18"/>
                <w:szCs w:val="18"/>
              </w:rPr>
            </w:pPr>
            <w:r w:rsidRPr="00B950B0">
              <w:rPr>
                <w:rFonts w:ascii="Century Schoolbook" w:eastAsia="Times New Roman" w:hAnsi="Century Schoolbook" w:cs="Times New Roman"/>
                <w:color w:val="000000"/>
                <w:sz w:val="18"/>
                <w:szCs w:val="18"/>
              </w:rPr>
              <w:t>14.5%</w:t>
            </w:r>
          </w:p>
        </w:tc>
      </w:tr>
    </w:tbl>
    <w:p w14:paraId="221AEC5F" w14:textId="77777777" w:rsidR="00682671" w:rsidRDefault="00682671" w:rsidP="00F770FF">
      <w:pPr>
        <w:tabs>
          <w:tab w:val="left" w:pos="1490"/>
          <w:tab w:val="center" w:pos="4703"/>
        </w:tabs>
        <w:spacing w:line="240" w:lineRule="auto"/>
        <w:jc w:val="center"/>
        <w:rPr>
          <w:rFonts w:ascii="Century Schoolbook" w:hAnsi="Century Schoolbook" w:cs="Times New Roman"/>
          <w:b/>
          <w:sz w:val="20"/>
          <w:szCs w:val="20"/>
        </w:rPr>
      </w:pPr>
    </w:p>
    <w:p w14:paraId="5B5BA5C4" w14:textId="2C285393" w:rsidR="00F770FF" w:rsidRPr="000F4D18" w:rsidRDefault="00F770FF" w:rsidP="00F770FF">
      <w:pPr>
        <w:tabs>
          <w:tab w:val="left" w:pos="1490"/>
          <w:tab w:val="center" w:pos="4703"/>
        </w:tabs>
        <w:spacing w:line="240" w:lineRule="auto"/>
        <w:jc w:val="center"/>
        <w:rPr>
          <w:rFonts w:ascii="Century Schoolbook" w:eastAsia="Times New Roman" w:hAnsi="Century Schoolbook" w:cs="Times New Roman"/>
          <w:b/>
          <w:sz w:val="20"/>
          <w:szCs w:val="20"/>
          <w:lang w:eastAsia="fr-FR"/>
        </w:rPr>
      </w:pPr>
      <w:r w:rsidRPr="000F4D18">
        <w:rPr>
          <w:rFonts w:ascii="Century Schoolbook" w:hAnsi="Century Schoolbook" w:cs="Times New Roman"/>
          <w:b/>
          <w:sz w:val="20"/>
          <w:szCs w:val="20"/>
        </w:rPr>
        <w:t>T</w:t>
      </w:r>
      <w:r w:rsidRPr="000F4D18">
        <w:rPr>
          <w:rFonts w:ascii="Century Schoolbook" w:eastAsia="Times New Roman" w:hAnsi="Century Schoolbook" w:cs="Times New Roman"/>
          <w:b/>
          <w:sz w:val="20"/>
          <w:szCs w:val="20"/>
          <w:lang w:eastAsia="fr-FR"/>
        </w:rPr>
        <w:t xml:space="preserve">able </w:t>
      </w:r>
      <w:r w:rsidR="00B773EE">
        <w:rPr>
          <w:rFonts w:ascii="Century Schoolbook" w:eastAsia="Times New Roman" w:hAnsi="Century Schoolbook" w:cs="Times New Roman"/>
          <w:b/>
          <w:sz w:val="20"/>
          <w:szCs w:val="20"/>
          <w:lang w:eastAsia="fr-FR"/>
        </w:rPr>
        <w:t>6</w:t>
      </w:r>
    </w:p>
    <w:p w14:paraId="65F338E0" w14:textId="77777777" w:rsidR="00F770FF" w:rsidRDefault="00F770FF" w:rsidP="00F770FF">
      <w:pPr>
        <w:spacing w:line="240" w:lineRule="auto"/>
        <w:jc w:val="center"/>
        <w:rPr>
          <w:rFonts w:ascii="Century Schoolbook" w:eastAsia="Times New Roman" w:hAnsi="Century Schoolbook" w:cs="Times New Roman"/>
          <w:b/>
          <w:i/>
          <w:sz w:val="20"/>
          <w:szCs w:val="20"/>
          <w:lang w:eastAsia="fr-FR"/>
        </w:rPr>
      </w:pPr>
      <w:r w:rsidRPr="000F4D18">
        <w:rPr>
          <w:rFonts w:ascii="Century Schoolbook" w:eastAsia="Times New Roman" w:hAnsi="Century Schoolbook" w:cs="Times New Roman"/>
          <w:b/>
          <w:i/>
          <w:sz w:val="20"/>
          <w:szCs w:val="20"/>
          <w:lang w:eastAsia="fr-FR"/>
        </w:rPr>
        <w:t>Real</w:t>
      </w:r>
      <w:r>
        <w:rPr>
          <w:rFonts w:ascii="Century Schoolbook" w:eastAsia="Times New Roman" w:hAnsi="Century Schoolbook" w:cs="Times New Roman"/>
          <w:color w:val="000000"/>
          <w:sz w:val="18"/>
          <w:szCs w:val="18"/>
          <w:lang w:eastAsia="en-CA"/>
        </w:rPr>
        <w:t>-</w:t>
      </w:r>
      <w:r w:rsidRPr="000F4D18">
        <w:rPr>
          <w:rFonts w:ascii="Century Schoolbook" w:eastAsia="Times New Roman" w:hAnsi="Century Schoolbook" w:cs="Times New Roman"/>
          <w:b/>
          <w:i/>
          <w:sz w:val="20"/>
          <w:szCs w:val="20"/>
          <w:lang w:eastAsia="fr-FR"/>
        </w:rPr>
        <w:t>calendar time Portfolio Results</w:t>
      </w:r>
    </w:p>
    <w:p w14:paraId="3ED9E010" w14:textId="28B05F56" w:rsidR="00F770FF" w:rsidRPr="00F24E35" w:rsidRDefault="00F770FF" w:rsidP="00F770FF">
      <w:pPr>
        <w:spacing w:line="240" w:lineRule="auto"/>
        <w:jc w:val="both"/>
        <w:rPr>
          <w:rFonts w:ascii="Century Schoolbook" w:eastAsia="Times New Roman" w:hAnsi="Century Schoolbook" w:cs="Times New Roman"/>
          <w:b/>
          <w:i/>
          <w:sz w:val="21"/>
          <w:szCs w:val="21"/>
          <w:lang w:eastAsia="fr-FR"/>
        </w:rPr>
      </w:pPr>
      <w:r w:rsidRPr="00F24E35">
        <w:rPr>
          <w:rFonts w:ascii="Century Schoolbook" w:eastAsia="Times New Roman" w:hAnsi="Century Schoolbook" w:cs="Times New Roman"/>
          <w:sz w:val="21"/>
          <w:szCs w:val="21"/>
          <w:lang w:eastAsia="fr-FR"/>
        </w:rPr>
        <w:t>This table presents annualized risk-adjusted returns of calendar</w:t>
      </w:r>
      <w:r w:rsidRPr="00F24E35">
        <w:rPr>
          <w:rFonts w:ascii="Century Schoolbook" w:eastAsia="Times New Roman" w:hAnsi="Century Schoolbook" w:cs="Times New Roman"/>
          <w:color w:val="000000"/>
          <w:sz w:val="21"/>
          <w:szCs w:val="21"/>
          <w:lang w:eastAsia="en-CA"/>
        </w:rPr>
        <w:t>-</w:t>
      </w:r>
      <w:r w:rsidRPr="00F24E35">
        <w:rPr>
          <w:rFonts w:ascii="Century Schoolbook" w:eastAsia="Times New Roman" w:hAnsi="Century Schoolbook" w:cs="Times New Roman"/>
          <w:sz w:val="21"/>
          <w:szCs w:val="21"/>
          <w:lang w:eastAsia="fr-FR"/>
        </w:rPr>
        <w:t>time portfolios earned by investors trading on analyst recommendations. We report annualized alphas of 30, 60, and 120-day holding period returns earned by an investor who invests $1 on a stock at the closing</w:t>
      </w:r>
      <w:r w:rsidRPr="00F24E35">
        <w:rPr>
          <w:rFonts w:ascii="Times New Roman" w:eastAsia="Times New Roman" w:hAnsi="Times New Roman" w:cs="Times New Roman"/>
          <w:sz w:val="21"/>
          <w:szCs w:val="21"/>
          <w:lang w:eastAsia="fr-FR"/>
        </w:rPr>
        <w:t>-</w:t>
      </w:r>
      <w:r w:rsidRPr="00F24E35">
        <w:rPr>
          <w:rFonts w:ascii="Century Schoolbook" w:eastAsia="Times New Roman" w:hAnsi="Century Schoolbook" w:cs="Times New Roman"/>
          <w:sz w:val="21"/>
          <w:szCs w:val="21"/>
          <w:lang w:eastAsia="fr-FR"/>
        </w:rPr>
        <w:t xml:space="preserve">day price </w:t>
      </w:r>
      <w:r w:rsidRPr="00F24E35">
        <w:rPr>
          <w:rFonts w:ascii="Century Schoolbook" w:eastAsia="Times New Roman" w:hAnsi="Century Schoolbook" w:cs="Times New Roman"/>
          <w:i/>
          <w:sz w:val="21"/>
          <w:szCs w:val="21"/>
          <w:lang w:eastAsia="fr-FR"/>
        </w:rPr>
        <w:t>after</w:t>
      </w:r>
      <w:r w:rsidRPr="00F24E35">
        <w:rPr>
          <w:rFonts w:ascii="Century Schoolbook" w:eastAsia="Times New Roman" w:hAnsi="Century Schoolbook" w:cs="Times New Roman"/>
          <w:sz w:val="21"/>
          <w:szCs w:val="21"/>
          <w:lang w:eastAsia="fr-FR"/>
        </w:rPr>
        <w:t xml:space="preserve"> the recommendation upgrade and sells $1 on a stock at the closing</w:t>
      </w:r>
      <w:r w:rsidRPr="00F24E35">
        <w:rPr>
          <w:rFonts w:ascii="Times New Roman" w:eastAsia="Times New Roman" w:hAnsi="Times New Roman" w:cs="Times New Roman"/>
          <w:sz w:val="21"/>
          <w:szCs w:val="21"/>
          <w:lang w:eastAsia="fr-FR"/>
        </w:rPr>
        <w:t>-</w:t>
      </w:r>
      <w:r w:rsidRPr="00F24E35">
        <w:rPr>
          <w:rFonts w:ascii="Century Schoolbook" w:eastAsia="Times New Roman" w:hAnsi="Century Schoolbook" w:cs="Times New Roman"/>
          <w:sz w:val="21"/>
          <w:szCs w:val="21"/>
          <w:lang w:eastAsia="fr-FR"/>
        </w:rPr>
        <w:t xml:space="preserve">day price </w:t>
      </w:r>
      <w:r w:rsidRPr="00F24E35">
        <w:rPr>
          <w:rFonts w:ascii="Century Schoolbook" w:eastAsia="Times New Roman" w:hAnsi="Century Schoolbook" w:cs="Times New Roman"/>
          <w:i/>
          <w:sz w:val="21"/>
          <w:szCs w:val="21"/>
          <w:lang w:eastAsia="fr-FR"/>
        </w:rPr>
        <w:t>after</w:t>
      </w:r>
      <w:r w:rsidRPr="00F24E35">
        <w:rPr>
          <w:rFonts w:ascii="Century Schoolbook" w:eastAsia="Times New Roman" w:hAnsi="Century Schoolbook" w:cs="Times New Roman"/>
          <w:sz w:val="21"/>
          <w:szCs w:val="21"/>
          <w:lang w:eastAsia="fr-FR"/>
        </w:rPr>
        <w:t xml:space="preserve"> the recommendation downgrade. The sample consists of recommendation changes issued by slow and fast</w:t>
      </w:r>
      <w:r w:rsidRPr="00F24E35">
        <w:rPr>
          <w:rFonts w:ascii="Century Schoolbook" w:eastAsia="Times New Roman" w:hAnsi="Century Schoolbook" w:cs="Times New Roman"/>
          <w:i/>
          <w:sz w:val="21"/>
          <w:szCs w:val="21"/>
          <w:lang w:eastAsia="fr-FR"/>
        </w:rPr>
        <w:t>-</w:t>
      </w:r>
      <w:r w:rsidRPr="00F24E35">
        <w:rPr>
          <w:rFonts w:ascii="Century Schoolbook" w:eastAsia="Times New Roman" w:hAnsi="Century Schoolbook" w:cs="Times New Roman"/>
          <w:sz w:val="21"/>
          <w:szCs w:val="21"/>
          <w:lang w:eastAsia="fr-FR"/>
        </w:rPr>
        <w:t>turnover analysts in our classification sample (see Table 2) from 1996 through 2013. Portfolios are formed over the 1996</w:t>
      </w:r>
      <w:r w:rsidRPr="00F24E35">
        <w:rPr>
          <w:rFonts w:ascii="Century Schoolbook" w:eastAsia="Times New Roman" w:hAnsi="Century Schoolbook" w:cs="Times New Roman"/>
          <w:color w:val="000000"/>
          <w:sz w:val="21"/>
          <w:szCs w:val="21"/>
          <w:lang w:eastAsia="en-CA"/>
        </w:rPr>
        <w:t>–</w:t>
      </w:r>
      <w:r w:rsidRPr="00F24E35">
        <w:rPr>
          <w:rFonts w:ascii="Century Schoolbook" w:eastAsia="Times New Roman" w:hAnsi="Century Schoolbook" w:cs="Times New Roman"/>
          <w:sz w:val="21"/>
          <w:szCs w:val="21"/>
          <w:lang w:eastAsia="fr-FR"/>
        </w:rPr>
        <w:t>2013 period and their returns are calculated daily.</w:t>
      </w:r>
      <w:r w:rsidR="001F7BB4" w:rsidRPr="00F24E35">
        <w:rPr>
          <w:rFonts w:ascii="Century Schoolbook" w:eastAsia="Times New Roman" w:hAnsi="Century Schoolbook" w:cs="Times New Roman"/>
          <w:sz w:val="21"/>
          <w:szCs w:val="21"/>
          <w:lang w:eastAsia="fr-FR"/>
        </w:rPr>
        <w:t xml:space="preserve"> We report results for three holding periods:</w:t>
      </w:r>
      <w:r w:rsidRPr="00F24E35">
        <w:rPr>
          <w:rFonts w:ascii="Century Schoolbook" w:eastAsia="Times New Roman" w:hAnsi="Century Schoolbook" w:cs="Times New Roman"/>
          <w:sz w:val="21"/>
          <w:szCs w:val="21"/>
          <w:lang w:eastAsia="fr-FR"/>
        </w:rPr>
        <w:t xml:space="preserve"> 30, 60, and 120 trading days. We report portfolio alphas from the trading strategy that follows two groups of analysts: </w:t>
      </w:r>
      <w:r w:rsidRPr="00F24E35">
        <w:rPr>
          <w:rFonts w:ascii="Century Schoolbook" w:eastAsia="Times New Roman" w:hAnsi="Century Schoolbook" w:cs="Times New Roman"/>
          <w:i/>
          <w:sz w:val="21"/>
          <w:szCs w:val="21"/>
          <w:lang w:eastAsia="fr-FR"/>
        </w:rPr>
        <w:t>Slow-turnover analyst</w:t>
      </w:r>
      <w:r w:rsidRPr="00F24E35">
        <w:rPr>
          <w:rFonts w:ascii="Century Schoolbook" w:eastAsia="Times New Roman" w:hAnsi="Century Schoolbook" w:cs="Times New Roman"/>
          <w:sz w:val="21"/>
          <w:szCs w:val="21"/>
          <w:lang w:eastAsia="fr-FR"/>
        </w:rPr>
        <w:t xml:space="preserve">, and </w:t>
      </w:r>
      <w:r w:rsidRPr="00F24E35">
        <w:rPr>
          <w:rFonts w:ascii="Century Schoolbook" w:eastAsia="Times New Roman" w:hAnsi="Century Schoolbook" w:cs="Times New Roman"/>
          <w:i/>
          <w:sz w:val="21"/>
          <w:szCs w:val="21"/>
          <w:lang w:eastAsia="fr-FR"/>
        </w:rPr>
        <w:t>Fast-turnover analyst</w:t>
      </w:r>
      <w:r w:rsidRPr="00F24E35">
        <w:rPr>
          <w:rFonts w:ascii="Century Schoolbook" w:eastAsia="Times New Roman" w:hAnsi="Century Schoolbook" w:cs="Times New Roman"/>
          <w:sz w:val="21"/>
          <w:szCs w:val="21"/>
          <w:lang w:eastAsia="fr-FR"/>
        </w:rPr>
        <w:t xml:space="preserve">. Abnormal returns are calculated using three benchmarks: CAPM, the </w:t>
      </w:r>
      <w:proofErr w:type="spellStart"/>
      <w:r w:rsidRPr="00F24E35">
        <w:rPr>
          <w:rFonts w:ascii="Century Schoolbook" w:eastAsia="Times New Roman" w:hAnsi="Century Schoolbook" w:cs="Times New Roman"/>
          <w:sz w:val="21"/>
          <w:szCs w:val="21"/>
          <w:lang w:eastAsia="fr-FR"/>
        </w:rPr>
        <w:t>Fama</w:t>
      </w:r>
      <w:proofErr w:type="spellEnd"/>
      <w:r w:rsidRPr="00F24E35">
        <w:rPr>
          <w:rFonts w:ascii="Century Schoolbook" w:eastAsia="Times New Roman" w:hAnsi="Century Schoolbook" w:cs="Times New Roman"/>
          <w:sz w:val="21"/>
          <w:szCs w:val="21"/>
          <w:lang w:eastAsia="fr-FR"/>
        </w:rPr>
        <w:t xml:space="preserve">-French three-factor model, and the Carhart four-factor model. For each model, we report the constant alpha expressed in annualized percentage terms together with its </w:t>
      </w:r>
      <w:r w:rsidRPr="00F24E35">
        <w:rPr>
          <w:rFonts w:ascii="Century Schoolbook" w:eastAsia="Times New Roman" w:hAnsi="Century Schoolbook" w:cs="Times New Roman"/>
          <w:i/>
          <w:sz w:val="21"/>
          <w:szCs w:val="21"/>
          <w:lang w:eastAsia="fr-FR"/>
        </w:rPr>
        <w:t>t</w:t>
      </w:r>
      <w:r w:rsidRPr="00F24E35">
        <w:rPr>
          <w:rFonts w:ascii="Century Schoolbook" w:eastAsia="Times New Roman" w:hAnsi="Century Schoolbook" w:cs="Times New Roman"/>
          <w:color w:val="000000"/>
          <w:sz w:val="21"/>
          <w:szCs w:val="21"/>
          <w:lang w:eastAsia="en-CA"/>
        </w:rPr>
        <w:t>–</w:t>
      </w:r>
      <w:r w:rsidRPr="00F24E35">
        <w:rPr>
          <w:rFonts w:ascii="Century Schoolbook" w:eastAsia="Times New Roman" w:hAnsi="Century Schoolbook" w:cs="Times New Roman"/>
          <w:sz w:val="21"/>
          <w:szCs w:val="21"/>
          <w:lang w:eastAsia="fr-FR"/>
        </w:rPr>
        <w:t>stat. The rows labeled “Slow vs. Fast” report the difference in annualized alphas from portfolios earned by investing following recommendation changes of slow-turnover analysts minus fast-turnover analysts.</w:t>
      </w:r>
    </w:p>
    <w:p w14:paraId="477594DD" w14:textId="77777777" w:rsidR="00F770FF" w:rsidRDefault="00F770FF" w:rsidP="00F770FF">
      <w:pPr>
        <w:rPr>
          <w:sz w:val="16"/>
        </w:rPr>
      </w:pPr>
    </w:p>
    <w:tbl>
      <w:tblPr>
        <w:tblW w:w="5000" w:type="pct"/>
        <w:tblLook w:val="04A0" w:firstRow="1" w:lastRow="0" w:firstColumn="1" w:lastColumn="0" w:noHBand="0" w:noVBand="1"/>
      </w:tblPr>
      <w:tblGrid>
        <w:gridCol w:w="1555"/>
        <w:gridCol w:w="278"/>
        <w:gridCol w:w="1544"/>
        <w:gridCol w:w="271"/>
        <w:gridCol w:w="766"/>
        <w:gridCol w:w="670"/>
        <w:gridCol w:w="271"/>
        <w:gridCol w:w="1351"/>
        <w:gridCol w:w="671"/>
        <w:gridCol w:w="271"/>
        <w:gridCol w:w="1103"/>
        <w:gridCol w:w="667"/>
      </w:tblGrid>
      <w:tr w:rsidR="00F770FF" w:rsidRPr="003C18B5" w14:paraId="021E3951" w14:textId="77777777" w:rsidTr="009704E4">
        <w:trPr>
          <w:trHeight w:val="276"/>
        </w:trPr>
        <w:tc>
          <w:tcPr>
            <w:tcW w:w="834" w:type="pct"/>
            <w:vMerge w:val="restart"/>
            <w:tcBorders>
              <w:top w:val="single" w:sz="4" w:space="0" w:color="auto"/>
              <w:left w:val="nil"/>
              <w:bottom w:val="single" w:sz="4" w:space="0" w:color="000000"/>
              <w:right w:val="nil"/>
            </w:tcBorders>
            <w:shd w:val="clear" w:color="auto" w:fill="auto"/>
            <w:vAlign w:val="center"/>
            <w:hideMark/>
          </w:tcPr>
          <w:p w14:paraId="04DCADF7" w14:textId="77777777" w:rsidR="00F770FF" w:rsidRPr="003C18B5" w:rsidRDefault="00F770FF" w:rsidP="004E33BA">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Analyst turnover type</w:t>
            </w:r>
          </w:p>
        </w:tc>
        <w:tc>
          <w:tcPr>
            <w:tcW w:w="152" w:type="pct"/>
            <w:tcBorders>
              <w:top w:val="single" w:sz="4" w:space="0" w:color="auto"/>
              <w:left w:val="nil"/>
              <w:bottom w:val="nil"/>
              <w:right w:val="nil"/>
            </w:tcBorders>
            <w:shd w:val="clear" w:color="auto" w:fill="auto"/>
            <w:noWrap/>
            <w:vAlign w:val="bottom"/>
            <w:hideMark/>
          </w:tcPr>
          <w:p w14:paraId="210AA1BE" w14:textId="77777777" w:rsidR="00F770FF" w:rsidRPr="003C18B5" w:rsidRDefault="00F770FF" w:rsidP="009704E4">
            <w:pPr>
              <w:spacing w:after="0" w:line="240" w:lineRule="auto"/>
              <w:rPr>
                <w:rFonts w:ascii="Century Schoolbook" w:eastAsia="Times New Roman" w:hAnsi="Century Schoolbook" w:cs="Times New Roman"/>
                <w:color w:val="000000"/>
              </w:rPr>
            </w:pPr>
            <w:r w:rsidRPr="003C18B5">
              <w:rPr>
                <w:rFonts w:ascii="Century Schoolbook" w:eastAsia="Times New Roman" w:hAnsi="Century Schoolbook" w:cs="Times New Roman"/>
                <w:color w:val="000000"/>
              </w:rPr>
              <w:t> </w:t>
            </w:r>
          </w:p>
        </w:tc>
        <w:tc>
          <w:tcPr>
            <w:tcW w:w="832" w:type="pct"/>
            <w:vMerge w:val="restart"/>
            <w:tcBorders>
              <w:top w:val="single" w:sz="4" w:space="0" w:color="auto"/>
              <w:left w:val="nil"/>
              <w:bottom w:val="single" w:sz="4" w:space="0" w:color="000000"/>
              <w:right w:val="nil"/>
            </w:tcBorders>
            <w:shd w:val="clear" w:color="auto" w:fill="auto"/>
            <w:vAlign w:val="center"/>
            <w:hideMark/>
          </w:tcPr>
          <w:p w14:paraId="2FEBB4AA"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Holding period (trading days)</w:t>
            </w:r>
          </w:p>
        </w:tc>
        <w:tc>
          <w:tcPr>
            <w:tcW w:w="148" w:type="pct"/>
            <w:tcBorders>
              <w:top w:val="single" w:sz="4" w:space="0" w:color="auto"/>
              <w:left w:val="nil"/>
              <w:bottom w:val="nil"/>
              <w:right w:val="nil"/>
            </w:tcBorders>
            <w:shd w:val="clear" w:color="auto" w:fill="auto"/>
            <w:noWrap/>
            <w:vAlign w:val="bottom"/>
            <w:hideMark/>
          </w:tcPr>
          <w:p w14:paraId="007EB1E8"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p>
        </w:tc>
        <w:tc>
          <w:tcPr>
            <w:tcW w:w="3034" w:type="pct"/>
            <w:gridSpan w:val="8"/>
            <w:tcBorders>
              <w:top w:val="single" w:sz="4" w:space="0" w:color="auto"/>
              <w:left w:val="nil"/>
              <w:bottom w:val="single" w:sz="4" w:space="0" w:color="auto"/>
              <w:right w:val="nil"/>
            </w:tcBorders>
            <w:shd w:val="clear" w:color="auto" w:fill="auto"/>
            <w:vAlign w:val="center"/>
            <w:hideMark/>
          </w:tcPr>
          <w:p w14:paraId="177BC416"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Annualized portfolio alpha (%)</w:t>
            </w:r>
          </w:p>
        </w:tc>
      </w:tr>
      <w:tr w:rsidR="00F770FF" w:rsidRPr="003C18B5" w14:paraId="220604B0" w14:textId="77777777" w:rsidTr="009704E4">
        <w:trPr>
          <w:trHeight w:val="456"/>
        </w:trPr>
        <w:tc>
          <w:tcPr>
            <w:tcW w:w="834" w:type="pct"/>
            <w:vMerge/>
            <w:tcBorders>
              <w:top w:val="single" w:sz="4" w:space="0" w:color="auto"/>
              <w:left w:val="nil"/>
              <w:bottom w:val="single" w:sz="4" w:space="0" w:color="000000"/>
              <w:right w:val="nil"/>
            </w:tcBorders>
            <w:vAlign w:val="center"/>
            <w:hideMark/>
          </w:tcPr>
          <w:p w14:paraId="5C8995AE"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p>
        </w:tc>
        <w:tc>
          <w:tcPr>
            <w:tcW w:w="152" w:type="pct"/>
            <w:tcBorders>
              <w:top w:val="nil"/>
              <w:left w:val="nil"/>
              <w:bottom w:val="single" w:sz="4" w:space="0" w:color="auto"/>
              <w:right w:val="nil"/>
            </w:tcBorders>
            <w:shd w:val="clear" w:color="auto" w:fill="auto"/>
            <w:noWrap/>
            <w:vAlign w:val="bottom"/>
            <w:hideMark/>
          </w:tcPr>
          <w:p w14:paraId="25400DB8"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832" w:type="pct"/>
            <w:vMerge/>
            <w:tcBorders>
              <w:top w:val="single" w:sz="4" w:space="0" w:color="auto"/>
              <w:left w:val="nil"/>
              <w:bottom w:val="single" w:sz="4" w:space="0" w:color="000000"/>
              <w:right w:val="nil"/>
            </w:tcBorders>
            <w:vAlign w:val="center"/>
            <w:hideMark/>
          </w:tcPr>
          <w:p w14:paraId="255B01F2"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p>
        </w:tc>
        <w:tc>
          <w:tcPr>
            <w:tcW w:w="148" w:type="pct"/>
            <w:tcBorders>
              <w:left w:val="nil"/>
              <w:bottom w:val="nil"/>
              <w:right w:val="nil"/>
            </w:tcBorders>
            <w:shd w:val="clear" w:color="auto" w:fill="auto"/>
            <w:noWrap/>
            <w:vAlign w:val="bottom"/>
            <w:hideMark/>
          </w:tcPr>
          <w:p w14:paraId="2F6659F0"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418" w:type="pct"/>
            <w:tcBorders>
              <w:top w:val="nil"/>
              <w:left w:val="nil"/>
              <w:bottom w:val="single" w:sz="4" w:space="0" w:color="auto"/>
              <w:right w:val="nil"/>
            </w:tcBorders>
            <w:shd w:val="clear" w:color="auto" w:fill="auto"/>
            <w:vAlign w:val="center"/>
            <w:hideMark/>
          </w:tcPr>
          <w:p w14:paraId="0495086F"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CAPM</w:t>
            </w:r>
          </w:p>
        </w:tc>
        <w:tc>
          <w:tcPr>
            <w:tcW w:w="364" w:type="pct"/>
            <w:tcBorders>
              <w:top w:val="nil"/>
              <w:left w:val="nil"/>
              <w:bottom w:val="single" w:sz="4" w:space="0" w:color="auto"/>
              <w:right w:val="nil"/>
            </w:tcBorders>
            <w:shd w:val="clear" w:color="auto" w:fill="auto"/>
            <w:vAlign w:val="center"/>
            <w:hideMark/>
          </w:tcPr>
          <w:p w14:paraId="64713F4C"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i/>
                <w:iCs/>
                <w:color w:val="000000"/>
                <w:sz w:val="18"/>
                <w:szCs w:val="18"/>
              </w:rPr>
              <w:t>t-</w:t>
            </w:r>
            <w:r w:rsidRPr="003C18B5">
              <w:rPr>
                <w:rFonts w:ascii="Century Schoolbook" w:eastAsia="Times New Roman" w:hAnsi="Century Schoolbook" w:cs="Times New Roman"/>
                <w:color w:val="000000"/>
                <w:sz w:val="18"/>
                <w:szCs w:val="18"/>
              </w:rPr>
              <w:t>stat</w:t>
            </w:r>
          </w:p>
        </w:tc>
        <w:tc>
          <w:tcPr>
            <w:tcW w:w="148" w:type="pct"/>
            <w:tcBorders>
              <w:top w:val="nil"/>
              <w:left w:val="nil"/>
              <w:bottom w:val="nil"/>
              <w:right w:val="nil"/>
            </w:tcBorders>
            <w:shd w:val="clear" w:color="auto" w:fill="auto"/>
            <w:vAlign w:val="center"/>
            <w:hideMark/>
          </w:tcPr>
          <w:p w14:paraId="6796308E"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729" w:type="pct"/>
            <w:tcBorders>
              <w:top w:val="nil"/>
              <w:left w:val="nil"/>
              <w:bottom w:val="single" w:sz="4" w:space="0" w:color="auto"/>
              <w:right w:val="nil"/>
            </w:tcBorders>
            <w:shd w:val="clear" w:color="auto" w:fill="auto"/>
            <w:vAlign w:val="center"/>
            <w:hideMark/>
          </w:tcPr>
          <w:p w14:paraId="07D1B1A6" w14:textId="1E7A1A43" w:rsidR="00F770FF" w:rsidRPr="003C18B5" w:rsidRDefault="00F770FF" w:rsidP="004E33BA">
            <w:pPr>
              <w:spacing w:after="0" w:line="240" w:lineRule="auto"/>
              <w:jc w:val="center"/>
              <w:rPr>
                <w:rFonts w:ascii="Century Schoolbook" w:eastAsia="Times New Roman" w:hAnsi="Century Schoolbook" w:cs="Times New Roman"/>
                <w:color w:val="000000"/>
                <w:sz w:val="18"/>
                <w:szCs w:val="18"/>
              </w:rPr>
            </w:pPr>
            <w:proofErr w:type="spellStart"/>
            <w:r w:rsidRPr="003C18B5">
              <w:rPr>
                <w:rFonts w:ascii="Century Schoolbook" w:eastAsia="Times New Roman" w:hAnsi="Century Schoolbook" w:cs="Times New Roman"/>
                <w:color w:val="000000"/>
                <w:sz w:val="18"/>
                <w:szCs w:val="18"/>
              </w:rPr>
              <w:t>Fama</w:t>
            </w:r>
            <w:proofErr w:type="spellEnd"/>
            <w:r w:rsidR="004E33BA">
              <w:rPr>
                <w:rFonts w:ascii="Century Schoolbook" w:eastAsia="Times New Roman" w:hAnsi="Century Schoolbook" w:cs="Times New Roman"/>
                <w:color w:val="000000"/>
                <w:sz w:val="18"/>
                <w:szCs w:val="18"/>
              </w:rPr>
              <w:t>-</w:t>
            </w:r>
            <w:r w:rsidRPr="003C18B5">
              <w:rPr>
                <w:rFonts w:ascii="Century Schoolbook" w:eastAsia="Times New Roman" w:hAnsi="Century Schoolbook" w:cs="Times New Roman"/>
                <w:color w:val="000000"/>
                <w:sz w:val="18"/>
                <w:szCs w:val="18"/>
              </w:rPr>
              <w:t xml:space="preserve">French </w:t>
            </w:r>
            <w:r w:rsidRPr="003C18B5">
              <w:rPr>
                <w:rFonts w:ascii="Century Schoolbook" w:eastAsia="Times New Roman" w:hAnsi="Century Schoolbook" w:cs="Times New Roman"/>
                <w:color w:val="000000"/>
                <w:sz w:val="18"/>
                <w:szCs w:val="18"/>
              </w:rPr>
              <w:br/>
              <w:t>three-factor</w:t>
            </w:r>
          </w:p>
        </w:tc>
        <w:tc>
          <w:tcPr>
            <w:tcW w:w="364" w:type="pct"/>
            <w:tcBorders>
              <w:top w:val="nil"/>
              <w:left w:val="nil"/>
              <w:bottom w:val="single" w:sz="4" w:space="0" w:color="auto"/>
              <w:right w:val="nil"/>
            </w:tcBorders>
            <w:shd w:val="clear" w:color="auto" w:fill="auto"/>
            <w:vAlign w:val="center"/>
            <w:hideMark/>
          </w:tcPr>
          <w:p w14:paraId="1298DCAA"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i/>
                <w:iCs/>
                <w:color w:val="000000"/>
                <w:sz w:val="18"/>
                <w:szCs w:val="18"/>
              </w:rPr>
              <w:t>t-</w:t>
            </w:r>
            <w:r w:rsidRPr="003C18B5">
              <w:rPr>
                <w:rFonts w:ascii="Century Schoolbook" w:eastAsia="Times New Roman" w:hAnsi="Century Schoolbook" w:cs="Times New Roman"/>
                <w:color w:val="000000"/>
                <w:sz w:val="18"/>
                <w:szCs w:val="18"/>
              </w:rPr>
              <w:t>stat</w:t>
            </w:r>
          </w:p>
        </w:tc>
        <w:tc>
          <w:tcPr>
            <w:tcW w:w="148" w:type="pct"/>
            <w:tcBorders>
              <w:top w:val="nil"/>
              <w:left w:val="nil"/>
              <w:bottom w:val="nil"/>
              <w:right w:val="nil"/>
            </w:tcBorders>
            <w:shd w:val="clear" w:color="auto" w:fill="auto"/>
            <w:vAlign w:val="center"/>
            <w:hideMark/>
          </w:tcPr>
          <w:p w14:paraId="0D561172"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597" w:type="pct"/>
            <w:tcBorders>
              <w:top w:val="nil"/>
              <w:left w:val="nil"/>
              <w:bottom w:val="single" w:sz="4" w:space="0" w:color="auto"/>
              <w:right w:val="nil"/>
            </w:tcBorders>
            <w:shd w:val="clear" w:color="auto" w:fill="auto"/>
            <w:vAlign w:val="center"/>
            <w:hideMark/>
          </w:tcPr>
          <w:p w14:paraId="39E7F1EB"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xml:space="preserve">Carhart </w:t>
            </w:r>
            <w:r w:rsidRPr="003C18B5">
              <w:rPr>
                <w:rFonts w:ascii="Century Schoolbook" w:eastAsia="Times New Roman" w:hAnsi="Century Schoolbook" w:cs="Times New Roman"/>
                <w:color w:val="000000"/>
                <w:sz w:val="18"/>
                <w:szCs w:val="18"/>
              </w:rPr>
              <w:br/>
              <w:t>four-factor</w:t>
            </w:r>
          </w:p>
        </w:tc>
        <w:tc>
          <w:tcPr>
            <w:tcW w:w="266" w:type="pct"/>
            <w:tcBorders>
              <w:top w:val="nil"/>
              <w:left w:val="nil"/>
              <w:bottom w:val="single" w:sz="4" w:space="0" w:color="auto"/>
              <w:right w:val="nil"/>
            </w:tcBorders>
            <w:shd w:val="clear" w:color="auto" w:fill="auto"/>
            <w:vAlign w:val="center"/>
            <w:hideMark/>
          </w:tcPr>
          <w:p w14:paraId="1238A45B"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i/>
                <w:iCs/>
                <w:color w:val="000000"/>
                <w:sz w:val="18"/>
                <w:szCs w:val="18"/>
              </w:rPr>
              <w:t>t-</w:t>
            </w:r>
            <w:r w:rsidRPr="003C18B5">
              <w:rPr>
                <w:rFonts w:ascii="Century Schoolbook" w:eastAsia="Times New Roman" w:hAnsi="Century Schoolbook" w:cs="Times New Roman"/>
                <w:color w:val="000000"/>
                <w:sz w:val="18"/>
                <w:szCs w:val="18"/>
              </w:rPr>
              <w:t>stat</w:t>
            </w:r>
          </w:p>
        </w:tc>
      </w:tr>
      <w:tr w:rsidR="00F770FF" w:rsidRPr="00BA2CB1" w14:paraId="104FEF03" w14:textId="77777777" w:rsidTr="009704E4">
        <w:trPr>
          <w:trHeight w:val="58"/>
        </w:trPr>
        <w:tc>
          <w:tcPr>
            <w:tcW w:w="834" w:type="pct"/>
            <w:tcBorders>
              <w:top w:val="nil"/>
              <w:left w:val="nil"/>
              <w:bottom w:val="nil"/>
              <w:right w:val="nil"/>
            </w:tcBorders>
            <w:shd w:val="clear" w:color="auto" w:fill="auto"/>
            <w:noWrap/>
            <w:vAlign w:val="bottom"/>
            <w:hideMark/>
          </w:tcPr>
          <w:p w14:paraId="5BEE8E4E"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4"/>
                <w:szCs w:val="4"/>
              </w:rPr>
            </w:pPr>
          </w:p>
        </w:tc>
        <w:tc>
          <w:tcPr>
            <w:tcW w:w="152" w:type="pct"/>
            <w:tcBorders>
              <w:top w:val="nil"/>
              <w:left w:val="nil"/>
              <w:bottom w:val="nil"/>
              <w:right w:val="nil"/>
            </w:tcBorders>
            <w:shd w:val="clear" w:color="auto" w:fill="auto"/>
            <w:noWrap/>
            <w:vAlign w:val="bottom"/>
            <w:hideMark/>
          </w:tcPr>
          <w:p w14:paraId="69D63348" w14:textId="77777777" w:rsidR="00F770FF" w:rsidRPr="003C18B5" w:rsidRDefault="00F770FF" w:rsidP="009704E4">
            <w:pPr>
              <w:spacing w:after="0" w:line="240" w:lineRule="auto"/>
              <w:rPr>
                <w:rFonts w:ascii="Times New Roman" w:eastAsia="Times New Roman" w:hAnsi="Times New Roman" w:cs="Times New Roman"/>
                <w:sz w:val="4"/>
                <w:szCs w:val="4"/>
              </w:rPr>
            </w:pPr>
          </w:p>
        </w:tc>
        <w:tc>
          <w:tcPr>
            <w:tcW w:w="832" w:type="pct"/>
            <w:tcBorders>
              <w:top w:val="nil"/>
              <w:left w:val="nil"/>
              <w:bottom w:val="nil"/>
              <w:right w:val="nil"/>
            </w:tcBorders>
            <w:shd w:val="clear" w:color="auto" w:fill="auto"/>
            <w:noWrap/>
            <w:vAlign w:val="bottom"/>
            <w:hideMark/>
          </w:tcPr>
          <w:p w14:paraId="597A2F0A" w14:textId="77777777" w:rsidR="00F770FF" w:rsidRPr="003C18B5" w:rsidRDefault="00F770FF" w:rsidP="009704E4">
            <w:pPr>
              <w:spacing w:after="0" w:line="240" w:lineRule="auto"/>
              <w:rPr>
                <w:rFonts w:ascii="Times New Roman" w:eastAsia="Times New Roman" w:hAnsi="Times New Roman" w:cs="Times New Roman"/>
                <w:sz w:val="4"/>
                <w:szCs w:val="4"/>
              </w:rPr>
            </w:pPr>
          </w:p>
        </w:tc>
        <w:tc>
          <w:tcPr>
            <w:tcW w:w="148" w:type="pct"/>
            <w:tcBorders>
              <w:top w:val="nil"/>
              <w:left w:val="nil"/>
              <w:bottom w:val="nil"/>
              <w:right w:val="nil"/>
            </w:tcBorders>
            <w:shd w:val="clear" w:color="auto" w:fill="auto"/>
            <w:noWrap/>
            <w:vAlign w:val="bottom"/>
            <w:hideMark/>
          </w:tcPr>
          <w:p w14:paraId="3F6B8353" w14:textId="77777777" w:rsidR="00F770FF" w:rsidRPr="003C18B5" w:rsidRDefault="00F770FF" w:rsidP="009704E4">
            <w:pPr>
              <w:spacing w:after="0" w:line="240" w:lineRule="auto"/>
              <w:jc w:val="center"/>
              <w:rPr>
                <w:rFonts w:ascii="Times New Roman" w:eastAsia="Times New Roman" w:hAnsi="Times New Roman" w:cs="Times New Roman"/>
                <w:sz w:val="4"/>
                <w:szCs w:val="4"/>
              </w:rPr>
            </w:pPr>
          </w:p>
        </w:tc>
        <w:tc>
          <w:tcPr>
            <w:tcW w:w="418" w:type="pct"/>
            <w:tcBorders>
              <w:top w:val="nil"/>
              <w:left w:val="nil"/>
              <w:bottom w:val="nil"/>
              <w:right w:val="nil"/>
            </w:tcBorders>
            <w:shd w:val="clear" w:color="auto" w:fill="auto"/>
            <w:noWrap/>
            <w:vAlign w:val="bottom"/>
            <w:hideMark/>
          </w:tcPr>
          <w:p w14:paraId="1A99E830" w14:textId="77777777" w:rsidR="00F770FF" w:rsidRPr="003C18B5" w:rsidRDefault="00F770FF" w:rsidP="009704E4">
            <w:pPr>
              <w:spacing w:after="0" w:line="240" w:lineRule="auto"/>
              <w:rPr>
                <w:rFonts w:ascii="Times New Roman" w:eastAsia="Times New Roman" w:hAnsi="Times New Roman" w:cs="Times New Roman"/>
                <w:sz w:val="4"/>
                <w:szCs w:val="4"/>
              </w:rPr>
            </w:pPr>
          </w:p>
        </w:tc>
        <w:tc>
          <w:tcPr>
            <w:tcW w:w="364" w:type="pct"/>
            <w:tcBorders>
              <w:top w:val="nil"/>
              <w:left w:val="nil"/>
              <w:bottom w:val="nil"/>
              <w:right w:val="nil"/>
            </w:tcBorders>
            <w:shd w:val="clear" w:color="auto" w:fill="auto"/>
            <w:noWrap/>
            <w:vAlign w:val="bottom"/>
            <w:hideMark/>
          </w:tcPr>
          <w:p w14:paraId="1D6D3588" w14:textId="77777777" w:rsidR="00F770FF" w:rsidRPr="003C18B5" w:rsidRDefault="00F770FF" w:rsidP="009704E4">
            <w:pPr>
              <w:spacing w:after="0" w:line="240" w:lineRule="auto"/>
              <w:rPr>
                <w:rFonts w:ascii="Times New Roman" w:eastAsia="Times New Roman" w:hAnsi="Times New Roman" w:cs="Times New Roman"/>
                <w:sz w:val="4"/>
                <w:szCs w:val="4"/>
              </w:rPr>
            </w:pPr>
          </w:p>
        </w:tc>
        <w:tc>
          <w:tcPr>
            <w:tcW w:w="148" w:type="pct"/>
            <w:tcBorders>
              <w:top w:val="nil"/>
              <w:left w:val="nil"/>
              <w:bottom w:val="nil"/>
              <w:right w:val="nil"/>
            </w:tcBorders>
            <w:shd w:val="clear" w:color="auto" w:fill="auto"/>
            <w:noWrap/>
            <w:vAlign w:val="bottom"/>
            <w:hideMark/>
          </w:tcPr>
          <w:p w14:paraId="01AB6FD0" w14:textId="77777777" w:rsidR="00F770FF" w:rsidRPr="003C18B5" w:rsidRDefault="00F770FF" w:rsidP="009704E4">
            <w:pPr>
              <w:spacing w:after="0" w:line="240" w:lineRule="auto"/>
              <w:rPr>
                <w:rFonts w:ascii="Times New Roman" w:eastAsia="Times New Roman" w:hAnsi="Times New Roman" w:cs="Times New Roman"/>
                <w:sz w:val="4"/>
                <w:szCs w:val="4"/>
              </w:rPr>
            </w:pPr>
          </w:p>
        </w:tc>
        <w:tc>
          <w:tcPr>
            <w:tcW w:w="729" w:type="pct"/>
            <w:tcBorders>
              <w:top w:val="nil"/>
              <w:left w:val="nil"/>
              <w:bottom w:val="nil"/>
              <w:right w:val="nil"/>
            </w:tcBorders>
            <w:shd w:val="clear" w:color="auto" w:fill="auto"/>
            <w:noWrap/>
            <w:vAlign w:val="bottom"/>
            <w:hideMark/>
          </w:tcPr>
          <w:p w14:paraId="28ED2407" w14:textId="77777777" w:rsidR="00F770FF" w:rsidRPr="003C18B5" w:rsidRDefault="00F770FF" w:rsidP="009704E4">
            <w:pPr>
              <w:spacing w:after="0" w:line="240" w:lineRule="auto"/>
              <w:rPr>
                <w:rFonts w:ascii="Times New Roman" w:eastAsia="Times New Roman" w:hAnsi="Times New Roman" w:cs="Times New Roman"/>
                <w:sz w:val="4"/>
                <w:szCs w:val="4"/>
              </w:rPr>
            </w:pPr>
          </w:p>
        </w:tc>
        <w:tc>
          <w:tcPr>
            <w:tcW w:w="364" w:type="pct"/>
            <w:tcBorders>
              <w:top w:val="nil"/>
              <w:left w:val="nil"/>
              <w:bottom w:val="nil"/>
              <w:right w:val="nil"/>
            </w:tcBorders>
            <w:shd w:val="clear" w:color="auto" w:fill="auto"/>
            <w:noWrap/>
            <w:vAlign w:val="bottom"/>
            <w:hideMark/>
          </w:tcPr>
          <w:p w14:paraId="2C8BF37E" w14:textId="77777777" w:rsidR="00F770FF" w:rsidRPr="003C18B5" w:rsidRDefault="00F770FF" w:rsidP="009704E4">
            <w:pPr>
              <w:spacing w:after="0" w:line="240" w:lineRule="auto"/>
              <w:rPr>
                <w:rFonts w:ascii="Times New Roman" w:eastAsia="Times New Roman" w:hAnsi="Times New Roman" w:cs="Times New Roman"/>
                <w:sz w:val="4"/>
                <w:szCs w:val="4"/>
              </w:rPr>
            </w:pPr>
          </w:p>
        </w:tc>
        <w:tc>
          <w:tcPr>
            <w:tcW w:w="148" w:type="pct"/>
            <w:tcBorders>
              <w:top w:val="nil"/>
              <w:left w:val="nil"/>
              <w:bottom w:val="nil"/>
              <w:right w:val="nil"/>
            </w:tcBorders>
            <w:shd w:val="clear" w:color="auto" w:fill="auto"/>
            <w:noWrap/>
            <w:vAlign w:val="bottom"/>
            <w:hideMark/>
          </w:tcPr>
          <w:p w14:paraId="1008F62D" w14:textId="77777777" w:rsidR="00F770FF" w:rsidRPr="003C18B5" w:rsidRDefault="00F770FF" w:rsidP="009704E4">
            <w:pPr>
              <w:spacing w:after="0" w:line="240" w:lineRule="auto"/>
              <w:rPr>
                <w:rFonts w:ascii="Times New Roman" w:eastAsia="Times New Roman" w:hAnsi="Times New Roman" w:cs="Times New Roman"/>
                <w:sz w:val="4"/>
                <w:szCs w:val="4"/>
              </w:rPr>
            </w:pPr>
          </w:p>
        </w:tc>
        <w:tc>
          <w:tcPr>
            <w:tcW w:w="597" w:type="pct"/>
            <w:tcBorders>
              <w:top w:val="nil"/>
              <w:left w:val="nil"/>
              <w:bottom w:val="nil"/>
              <w:right w:val="nil"/>
            </w:tcBorders>
            <w:shd w:val="clear" w:color="auto" w:fill="auto"/>
            <w:vAlign w:val="bottom"/>
            <w:hideMark/>
          </w:tcPr>
          <w:p w14:paraId="42D8E82D" w14:textId="77777777" w:rsidR="00F770FF" w:rsidRPr="003C18B5" w:rsidRDefault="00F770FF" w:rsidP="009704E4">
            <w:pPr>
              <w:spacing w:after="0" w:line="240" w:lineRule="auto"/>
              <w:rPr>
                <w:rFonts w:ascii="Times New Roman" w:eastAsia="Times New Roman" w:hAnsi="Times New Roman" w:cs="Times New Roman"/>
                <w:sz w:val="4"/>
                <w:szCs w:val="4"/>
              </w:rPr>
            </w:pPr>
          </w:p>
        </w:tc>
        <w:tc>
          <w:tcPr>
            <w:tcW w:w="266" w:type="pct"/>
            <w:tcBorders>
              <w:top w:val="nil"/>
              <w:left w:val="nil"/>
              <w:bottom w:val="nil"/>
              <w:right w:val="nil"/>
            </w:tcBorders>
            <w:shd w:val="clear" w:color="auto" w:fill="auto"/>
            <w:noWrap/>
            <w:vAlign w:val="bottom"/>
            <w:hideMark/>
          </w:tcPr>
          <w:p w14:paraId="164FD94C" w14:textId="77777777" w:rsidR="00F770FF" w:rsidRPr="003C18B5" w:rsidRDefault="00F770FF" w:rsidP="009704E4">
            <w:pPr>
              <w:spacing w:after="0" w:line="240" w:lineRule="auto"/>
              <w:jc w:val="center"/>
              <w:rPr>
                <w:rFonts w:ascii="Times New Roman" w:eastAsia="Times New Roman" w:hAnsi="Times New Roman" w:cs="Times New Roman"/>
                <w:sz w:val="4"/>
                <w:szCs w:val="4"/>
              </w:rPr>
            </w:pPr>
          </w:p>
        </w:tc>
      </w:tr>
      <w:tr w:rsidR="00F770FF" w:rsidRPr="003C18B5" w14:paraId="0522F4EF" w14:textId="77777777" w:rsidTr="009704E4">
        <w:trPr>
          <w:trHeight w:val="276"/>
        </w:trPr>
        <w:tc>
          <w:tcPr>
            <w:tcW w:w="834" w:type="pct"/>
            <w:tcBorders>
              <w:top w:val="nil"/>
              <w:left w:val="nil"/>
              <w:bottom w:val="nil"/>
              <w:right w:val="nil"/>
            </w:tcBorders>
            <w:shd w:val="clear" w:color="000000" w:fill="FFFFFF"/>
            <w:noWrap/>
            <w:vAlign w:val="bottom"/>
            <w:hideMark/>
          </w:tcPr>
          <w:p w14:paraId="6590F49E"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Slow</w:t>
            </w:r>
          </w:p>
        </w:tc>
        <w:tc>
          <w:tcPr>
            <w:tcW w:w="152" w:type="pct"/>
            <w:tcBorders>
              <w:top w:val="nil"/>
              <w:left w:val="nil"/>
              <w:bottom w:val="nil"/>
              <w:right w:val="nil"/>
            </w:tcBorders>
            <w:shd w:val="clear" w:color="000000" w:fill="FFFFFF"/>
            <w:noWrap/>
            <w:vAlign w:val="bottom"/>
            <w:hideMark/>
          </w:tcPr>
          <w:p w14:paraId="050549E3"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832" w:type="pct"/>
            <w:tcBorders>
              <w:top w:val="nil"/>
              <w:left w:val="nil"/>
              <w:bottom w:val="nil"/>
              <w:right w:val="nil"/>
            </w:tcBorders>
            <w:shd w:val="clear" w:color="000000" w:fill="FFFFFF"/>
            <w:noWrap/>
            <w:vAlign w:val="bottom"/>
            <w:hideMark/>
          </w:tcPr>
          <w:p w14:paraId="36F03FF0"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30</w:t>
            </w:r>
          </w:p>
        </w:tc>
        <w:tc>
          <w:tcPr>
            <w:tcW w:w="148" w:type="pct"/>
            <w:tcBorders>
              <w:top w:val="nil"/>
              <w:left w:val="nil"/>
              <w:bottom w:val="nil"/>
              <w:right w:val="nil"/>
            </w:tcBorders>
            <w:shd w:val="clear" w:color="000000" w:fill="FFFFFF"/>
            <w:noWrap/>
            <w:vAlign w:val="bottom"/>
            <w:hideMark/>
          </w:tcPr>
          <w:p w14:paraId="39D1B60D"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418" w:type="pct"/>
            <w:tcBorders>
              <w:top w:val="nil"/>
              <w:left w:val="nil"/>
              <w:bottom w:val="nil"/>
              <w:right w:val="nil"/>
            </w:tcBorders>
            <w:shd w:val="clear" w:color="000000" w:fill="FFFFFF"/>
            <w:noWrap/>
            <w:vAlign w:val="bottom"/>
            <w:hideMark/>
          </w:tcPr>
          <w:p w14:paraId="3D41DEB9"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27.9</w:t>
            </w:r>
          </w:p>
        </w:tc>
        <w:tc>
          <w:tcPr>
            <w:tcW w:w="364" w:type="pct"/>
            <w:tcBorders>
              <w:top w:val="nil"/>
              <w:left w:val="nil"/>
              <w:bottom w:val="nil"/>
              <w:right w:val="nil"/>
            </w:tcBorders>
            <w:shd w:val="clear" w:color="000000" w:fill="FFFFFF"/>
            <w:noWrap/>
            <w:vAlign w:val="bottom"/>
            <w:hideMark/>
          </w:tcPr>
          <w:p w14:paraId="230A3C6B"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9.95</w:t>
            </w:r>
          </w:p>
        </w:tc>
        <w:tc>
          <w:tcPr>
            <w:tcW w:w="148" w:type="pct"/>
            <w:tcBorders>
              <w:top w:val="nil"/>
              <w:left w:val="nil"/>
              <w:bottom w:val="nil"/>
              <w:right w:val="nil"/>
            </w:tcBorders>
            <w:shd w:val="clear" w:color="000000" w:fill="FFFFFF"/>
            <w:noWrap/>
            <w:vAlign w:val="bottom"/>
            <w:hideMark/>
          </w:tcPr>
          <w:p w14:paraId="5ABCAD36"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729" w:type="pct"/>
            <w:tcBorders>
              <w:top w:val="nil"/>
              <w:left w:val="nil"/>
              <w:bottom w:val="nil"/>
              <w:right w:val="nil"/>
            </w:tcBorders>
            <w:shd w:val="clear" w:color="000000" w:fill="FFFFFF"/>
            <w:noWrap/>
            <w:vAlign w:val="bottom"/>
            <w:hideMark/>
          </w:tcPr>
          <w:p w14:paraId="134DD061"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27.7</w:t>
            </w:r>
          </w:p>
        </w:tc>
        <w:tc>
          <w:tcPr>
            <w:tcW w:w="364" w:type="pct"/>
            <w:tcBorders>
              <w:top w:val="nil"/>
              <w:left w:val="nil"/>
              <w:bottom w:val="nil"/>
              <w:right w:val="nil"/>
            </w:tcBorders>
            <w:shd w:val="clear" w:color="000000" w:fill="FFFFFF"/>
            <w:noWrap/>
            <w:vAlign w:val="bottom"/>
            <w:hideMark/>
          </w:tcPr>
          <w:p w14:paraId="2B3FD1F6"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7.32</w:t>
            </w:r>
          </w:p>
        </w:tc>
        <w:tc>
          <w:tcPr>
            <w:tcW w:w="148" w:type="pct"/>
            <w:tcBorders>
              <w:top w:val="nil"/>
              <w:left w:val="nil"/>
              <w:bottom w:val="nil"/>
              <w:right w:val="nil"/>
            </w:tcBorders>
            <w:shd w:val="clear" w:color="000000" w:fill="FFFFFF"/>
            <w:noWrap/>
            <w:vAlign w:val="bottom"/>
            <w:hideMark/>
          </w:tcPr>
          <w:p w14:paraId="4A669119"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597" w:type="pct"/>
            <w:tcBorders>
              <w:top w:val="nil"/>
              <w:left w:val="nil"/>
              <w:bottom w:val="nil"/>
              <w:right w:val="nil"/>
            </w:tcBorders>
            <w:shd w:val="clear" w:color="000000" w:fill="FFFFFF"/>
            <w:noWrap/>
            <w:vAlign w:val="bottom"/>
            <w:hideMark/>
          </w:tcPr>
          <w:p w14:paraId="5BD957E7"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25.8</w:t>
            </w:r>
          </w:p>
        </w:tc>
        <w:tc>
          <w:tcPr>
            <w:tcW w:w="266" w:type="pct"/>
            <w:tcBorders>
              <w:top w:val="nil"/>
              <w:left w:val="nil"/>
              <w:bottom w:val="nil"/>
              <w:right w:val="nil"/>
            </w:tcBorders>
            <w:shd w:val="clear" w:color="000000" w:fill="FFFFFF"/>
            <w:noWrap/>
            <w:vAlign w:val="bottom"/>
            <w:hideMark/>
          </w:tcPr>
          <w:p w14:paraId="3C0E215E"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7.57</w:t>
            </w:r>
          </w:p>
        </w:tc>
      </w:tr>
      <w:tr w:rsidR="00F770FF" w:rsidRPr="003C18B5" w14:paraId="35150352" w14:textId="77777777" w:rsidTr="009704E4">
        <w:trPr>
          <w:trHeight w:val="276"/>
        </w:trPr>
        <w:tc>
          <w:tcPr>
            <w:tcW w:w="834" w:type="pct"/>
            <w:tcBorders>
              <w:top w:val="nil"/>
              <w:left w:val="nil"/>
              <w:bottom w:val="nil"/>
              <w:right w:val="nil"/>
            </w:tcBorders>
            <w:shd w:val="clear" w:color="auto" w:fill="auto"/>
            <w:noWrap/>
            <w:vAlign w:val="bottom"/>
            <w:hideMark/>
          </w:tcPr>
          <w:p w14:paraId="291B29E0"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Fast</w:t>
            </w:r>
          </w:p>
        </w:tc>
        <w:tc>
          <w:tcPr>
            <w:tcW w:w="152" w:type="pct"/>
            <w:tcBorders>
              <w:top w:val="nil"/>
              <w:left w:val="nil"/>
              <w:bottom w:val="nil"/>
              <w:right w:val="nil"/>
            </w:tcBorders>
            <w:shd w:val="clear" w:color="auto" w:fill="auto"/>
            <w:noWrap/>
            <w:vAlign w:val="bottom"/>
            <w:hideMark/>
          </w:tcPr>
          <w:p w14:paraId="122240EF"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832" w:type="pct"/>
            <w:tcBorders>
              <w:top w:val="nil"/>
              <w:left w:val="nil"/>
              <w:bottom w:val="nil"/>
              <w:right w:val="nil"/>
            </w:tcBorders>
            <w:shd w:val="clear" w:color="auto" w:fill="auto"/>
            <w:noWrap/>
            <w:vAlign w:val="bottom"/>
            <w:hideMark/>
          </w:tcPr>
          <w:p w14:paraId="4721BA09"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30</w:t>
            </w:r>
          </w:p>
        </w:tc>
        <w:tc>
          <w:tcPr>
            <w:tcW w:w="148" w:type="pct"/>
            <w:tcBorders>
              <w:top w:val="nil"/>
              <w:left w:val="nil"/>
              <w:bottom w:val="nil"/>
              <w:right w:val="nil"/>
            </w:tcBorders>
            <w:shd w:val="clear" w:color="auto" w:fill="auto"/>
            <w:noWrap/>
            <w:vAlign w:val="bottom"/>
            <w:hideMark/>
          </w:tcPr>
          <w:p w14:paraId="73EAC15C"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418" w:type="pct"/>
            <w:tcBorders>
              <w:top w:val="nil"/>
              <w:left w:val="nil"/>
              <w:bottom w:val="nil"/>
              <w:right w:val="nil"/>
            </w:tcBorders>
            <w:shd w:val="clear" w:color="auto" w:fill="auto"/>
            <w:noWrap/>
            <w:vAlign w:val="bottom"/>
            <w:hideMark/>
          </w:tcPr>
          <w:p w14:paraId="1008DB50"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18.4</w:t>
            </w:r>
          </w:p>
        </w:tc>
        <w:tc>
          <w:tcPr>
            <w:tcW w:w="364" w:type="pct"/>
            <w:tcBorders>
              <w:top w:val="nil"/>
              <w:left w:val="nil"/>
              <w:bottom w:val="nil"/>
              <w:right w:val="nil"/>
            </w:tcBorders>
            <w:shd w:val="clear" w:color="auto" w:fill="auto"/>
            <w:noWrap/>
            <w:vAlign w:val="bottom"/>
            <w:hideMark/>
          </w:tcPr>
          <w:p w14:paraId="3ED24D53"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7.48</w:t>
            </w:r>
          </w:p>
        </w:tc>
        <w:tc>
          <w:tcPr>
            <w:tcW w:w="148" w:type="pct"/>
            <w:tcBorders>
              <w:top w:val="nil"/>
              <w:left w:val="nil"/>
              <w:bottom w:val="nil"/>
              <w:right w:val="nil"/>
            </w:tcBorders>
            <w:shd w:val="clear" w:color="auto" w:fill="auto"/>
            <w:noWrap/>
            <w:vAlign w:val="bottom"/>
            <w:hideMark/>
          </w:tcPr>
          <w:p w14:paraId="24ED4B03"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729" w:type="pct"/>
            <w:tcBorders>
              <w:top w:val="nil"/>
              <w:left w:val="nil"/>
              <w:bottom w:val="nil"/>
              <w:right w:val="nil"/>
            </w:tcBorders>
            <w:shd w:val="clear" w:color="auto" w:fill="auto"/>
            <w:noWrap/>
            <w:vAlign w:val="bottom"/>
            <w:hideMark/>
          </w:tcPr>
          <w:p w14:paraId="3E636E1C"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18.5</w:t>
            </w:r>
          </w:p>
        </w:tc>
        <w:tc>
          <w:tcPr>
            <w:tcW w:w="364" w:type="pct"/>
            <w:tcBorders>
              <w:top w:val="nil"/>
              <w:left w:val="nil"/>
              <w:bottom w:val="nil"/>
              <w:right w:val="nil"/>
            </w:tcBorders>
            <w:shd w:val="clear" w:color="auto" w:fill="auto"/>
            <w:noWrap/>
            <w:vAlign w:val="bottom"/>
            <w:hideMark/>
          </w:tcPr>
          <w:p w14:paraId="0783EE9C"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7.51</w:t>
            </w:r>
          </w:p>
        </w:tc>
        <w:tc>
          <w:tcPr>
            <w:tcW w:w="148" w:type="pct"/>
            <w:tcBorders>
              <w:top w:val="nil"/>
              <w:left w:val="nil"/>
              <w:bottom w:val="nil"/>
              <w:right w:val="nil"/>
            </w:tcBorders>
            <w:shd w:val="clear" w:color="auto" w:fill="auto"/>
            <w:noWrap/>
            <w:vAlign w:val="bottom"/>
            <w:hideMark/>
          </w:tcPr>
          <w:p w14:paraId="6B658041"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597" w:type="pct"/>
            <w:tcBorders>
              <w:top w:val="nil"/>
              <w:left w:val="nil"/>
              <w:bottom w:val="nil"/>
              <w:right w:val="nil"/>
            </w:tcBorders>
            <w:shd w:val="clear" w:color="auto" w:fill="auto"/>
            <w:noWrap/>
            <w:vAlign w:val="bottom"/>
            <w:hideMark/>
          </w:tcPr>
          <w:p w14:paraId="2FF6368D"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17.3</w:t>
            </w:r>
          </w:p>
        </w:tc>
        <w:tc>
          <w:tcPr>
            <w:tcW w:w="266" w:type="pct"/>
            <w:tcBorders>
              <w:top w:val="nil"/>
              <w:left w:val="nil"/>
              <w:bottom w:val="nil"/>
              <w:right w:val="nil"/>
            </w:tcBorders>
            <w:shd w:val="clear" w:color="auto" w:fill="auto"/>
            <w:noWrap/>
            <w:vAlign w:val="bottom"/>
            <w:hideMark/>
          </w:tcPr>
          <w:p w14:paraId="1397794C"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7.14</w:t>
            </w:r>
          </w:p>
        </w:tc>
      </w:tr>
      <w:tr w:rsidR="00F770FF" w:rsidRPr="003C18B5" w14:paraId="2310C10C" w14:textId="77777777" w:rsidTr="009704E4">
        <w:trPr>
          <w:trHeight w:val="276"/>
        </w:trPr>
        <w:tc>
          <w:tcPr>
            <w:tcW w:w="986" w:type="pct"/>
            <w:gridSpan w:val="2"/>
            <w:tcBorders>
              <w:top w:val="nil"/>
              <w:left w:val="nil"/>
              <w:right w:val="nil"/>
            </w:tcBorders>
            <w:shd w:val="clear" w:color="000000" w:fill="FFFFFF"/>
            <w:noWrap/>
            <w:vAlign w:val="bottom"/>
            <w:hideMark/>
          </w:tcPr>
          <w:p w14:paraId="022D28CD" w14:textId="77777777" w:rsidR="00F770FF" w:rsidRPr="003C18B5" w:rsidRDefault="00F770FF" w:rsidP="009704E4">
            <w:pPr>
              <w:spacing w:after="0" w:line="240" w:lineRule="auto"/>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Slow vs. Fast</w:t>
            </w:r>
          </w:p>
        </w:tc>
        <w:tc>
          <w:tcPr>
            <w:tcW w:w="832" w:type="pct"/>
            <w:tcBorders>
              <w:top w:val="nil"/>
              <w:left w:val="nil"/>
              <w:right w:val="nil"/>
            </w:tcBorders>
            <w:shd w:val="clear" w:color="000000" w:fill="FFFFFF"/>
            <w:noWrap/>
            <w:vAlign w:val="bottom"/>
            <w:hideMark/>
          </w:tcPr>
          <w:p w14:paraId="1982E2F1"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30</w:t>
            </w:r>
          </w:p>
        </w:tc>
        <w:tc>
          <w:tcPr>
            <w:tcW w:w="148" w:type="pct"/>
            <w:tcBorders>
              <w:top w:val="nil"/>
              <w:left w:val="nil"/>
              <w:right w:val="nil"/>
            </w:tcBorders>
            <w:shd w:val="clear" w:color="000000" w:fill="FFFFFF"/>
            <w:noWrap/>
            <w:vAlign w:val="bottom"/>
            <w:hideMark/>
          </w:tcPr>
          <w:p w14:paraId="4D49004F" w14:textId="77777777" w:rsidR="00F770FF" w:rsidRPr="003C18B5" w:rsidRDefault="00F770FF" w:rsidP="009704E4">
            <w:pPr>
              <w:spacing w:after="0" w:line="240" w:lineRule="auto"/>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 </w:t>
            </w:r>
          </w:p>
        </w:tc>
        <w:tc>
          <w:tcPr>
            <w:tcW w:w="418" w:type="pct"/>
            <w:tcBorders>
              <w:top w:val="nil"/>
              <w:left w:val="nil"/>
              <w:right w:val="nil"/>
            </w:tcBorders>
            <w:shd w:val="clear" w:color="000000" w:fill="FFFFFF"/>
            <w:noWrap/>
            <w:vAlign w:val="bottom"/>
            <w:hideMark/>
          </w:tcPr>
          <w:p w14:paraId="049DAF7E"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9.5</w:t>
            </w:r>
          </w:p>
        </w:tc>
        <w:tc>
          <w:tcPr>
            <w:tcW w:w="364" w:type="pct"/>
            <w:tcBorders>
              <w:top w:val="nil"/>
              <w:left w:val="nil"/>
              <w:right w:val="nil"/>
            </w:tcBorders>
            <w:shd w:val="clear" w:color="000000" w:fill="FFFFFF"/>
            <w:noWrap/>
            <w:vAlign w:val="bottom"/>
            <w:hideMark/>
          </w:tcPr>
          <w:p w14:paraId="3062319E"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2.54</w:t>
            </w:r>
          </w:p>
        </w:tc>
        <w:tc>
          <w:tcPr>
            <w:tcW w:w="148" w:type="pct"/>
            <w:tcBorders>
              <w:top w:val="nil"/>
              <w:left w:val="nil"/>
              <w:right w:val="nil"/>
            </w:tcBorders>
            <w:shd w:val="clear" w:color="000000" w:fill="FFFFFF"/>
            <w:noWrap/>
            <w:vAlign w:val="bottom"/>
            <w:hideMark/>
          </w:tcPr>
          <w:p w14:paraId="421640C2"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 </w:t>
            </w:r>
          </w:p>
        </w:tc>
        <w:tc>
          <w:tcPr>
            <w:tcW w:w="729" w:type="pct"/>
            <w:tcBorders>
              <w:top w:val="nil"/>
              <w:left w:val="nil"/>
              <w:right w:val="nil"/>
            </w:tcBorders>
            <w:shd w:val="clear" w:color="000000" w:fill="FFFFFF"/>
            <w:noWrap/>
            <w:vAlign w:val="bottom"/>
            <w:hideMark/>
          </w:tcPr>
          <w:p w14:paraId="6ABF1B74"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9.2</w:t>
            </w:r>
          </w:p>
        </w:tc>
        <w:tc>
          <w:tcPr>
            <w:tcW w:w="364" w:type="pct"/>
            <w:tcBorders>
              <w:top w:val="nil"/>
              <w:left w:val="nil"/>
              <w:right w:val="nil"/>
            </w:tcBorders>
            <w:shd w:val="clear" w:color="000000" w:fill="FFFFFF"/>
            <w:noWrap/>
            <w:vAlign w:val="bottom"/>
            <w:hideMark/>
          </w:tcPr>
          <w:p w14:paraId="408D2E32"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2.47</w:t>
            </w:r>
          </w:p>
        </w:tc>
        <w:tc>
          <w:tcPr>
            <w:tcW w:w="148" w:type="pct"/>
            <w:tcBorders>
              <w:top w:val="nil"/>
              <w:left w:val="nil"/>
              <w:right w:val="nil"/>
            </w:tcBorders>
            <w:shd w:val="clear" w:color="000000" w:fill="FFFFFF"/>
            <w:noWrap/>
            <w:vAlign w:val="bottom"/>
            <w:hideMark/>
          </w:tcPr>
          <w:p w14:paraId="03321414"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 </w:t>
            </w:r>
          </w:p>
        </w:tc>
        <w:tc>
          <w:tcPr>
            <w:tcW w:w="597" w:type="pct"/>
            <w:tcBorders>
              <w:top w:val="nil"/>
              <w:left w:val="nil"/>
              <w:right w:val="nil"/>
            </w:tcBorders>
            <w:shd w:val="clear" w:color="000000" w:fill="FFFFFF"/>
            <w:noWrap/>
            <w:vAlign w:val="bottom"/>
            <w:hideMark/>
          </w:tcPr>
          <w:p w14:paraId="3338E390"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8.5</w:t>
            </w:r>
          </w:p>
        </w:tc>
        <w:tc>
          <w:tcPr>
            <w:tcW w:w="266" w:type="pct"/>
            <w:tcBorders>
              <w:top w:val="nil"/>
              <w:left w:val="nil"/>
              <w:right w:val="nil"/>
            </w:tcBorders>
            <w:shd w:val="clear" w:color="000000" w:fill="FFFFFF"/>
            <w:noWrap/>
            <w:vAlign w:val="bottom"/>
            <w:hideMark/>
          </w:tcPr>
          <w:p w14:paraId="287EC9CF"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2.35</w:t>
            </w:r>
          </w:p>
        </w:tc>
      </w:tr>
      <w:tr w:rsidR="00F770FF" w:rsidRPr="003C18B5" w14:paraId="5BE5BFDA" w14:textId="77777777" w:rsidTr="009704E4">
        <w:trPr>
          <w:trHeight w:val="68"/>
        </w:trPr>
        <w:tc>
          <w:tcPr>
            <w:tcW w:w="834" w:type="pct"/>
            <w:tcBorders>
              <w:top w:val="nil"/>
              <w:left w:val="nil"/>
              <w:bottom w:val="single" w:sz="4" w:space="0" w:color="auto"/>
              <w:right w:val="nil"/>
            </w:tcBorders>
            <w:shd w:val="clear" w:color="000000" w:fill="FFFFFF"/>
            <w:noWrap/>
            <w:vAlign w:val="bottom"/>
            <w:hideMark/>
          </w:tcPr>
          <w:p w14:paraId="54CAC1B3" w14:textId="77777777" w:rsidR="00F770FF" w:rsidRPr="003C18B5" w:rsidRDefault="00F770FF" w:rsidP="009704E4">
            <w:pPr>
              <w:spacing w:after="0" w:line="240" w:lineRule="auto"/>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152" w:type="pct"/>
            <w:tcBorders>
              <w:top w:val="nil"/>
              <w:left w:val="nil"/>
              <w:bottom w:val="single" w:sz="4" w:space="0" w:color="auto"/>
              <w:right w:val="nil"/>
            </w:tcBorders>
            <w:shd w:val="clear" w:color="000000" w:fill="FFFFFF"/>
            <w:noWrap/>
            <w:vAlign w:val="bottom"/>
            <w:hideMark/>
          </w:tcPr>
          <w:p w14:paraId="0175CFCA" w14:textId="77777777" w:rsidR="00F770FF" w:rsidRPr="003C18B5" w:rsidRDefault="00F770FF" w:rsidP="009704E4">
            <w:pPr>
              <w:spacing w:after="0" w:line="240" w:lineRule="auto"/>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832" w:type="pct"/>
            <w:tcBorders>
              <w:top w:val="nil"/>
              <w:left w:val="nil"/>
              <w:bottom w:val="single" w:sz="4" w:space="0" w:color="auto"/>
              <w:right w:val="nil"/>
            </w:tcBorders>
            <w:shd w:val="clear" w:color="000000" w:fill="FFFFFF"/>
            <w:noWrap/>
            <w:vAlign w:val="bottom"/>
            <w:hideMark/>
          </w:tcPr>
          <w:p w14:paraId="1FB1311B"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148" w:type="pct"/>
            <w:tcBorders>
              <w:top w:val="nil"/>
              <w:left w:val="nil"/>
              <w:bottom w:val="single" w:sz="4" w:space="0" w:color="auto"/>
              <w:right w:val="nil"/>
            </w:tcBorders>
            <w:shd w:val="clear" w:color="000000" w:fill="FFFFFF"/>
            <w:noWrap/>
            <w:vAlign w:val="bottom"/>
            <w:hideMark/>
          </w:tcPr>
          <w:p w14:paraId="6BB59F8A" w14:textId="77777777" w:rsidR="00F770FF" w:rsidRPr="003C18B5" w:rsidRDefault="00F770FF" w:rsidP="009704E4">
            <w:pPr>
              <w:spacing w:after="0" w:line="240" w:lineRule="auto"/>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418" w:type="pct"/>
            <w:tcBorders>
              <w:top w:val="nil"/>
              <w:left w:val="nil"/>
              <w:bottom w:val="single" w:sz="4" w:space="0" w:color="auto"/>
              <w:right w:val="nil"/>
            </w:tcBorders>
            <w:shd w:val="clear" w:color="000000" w:fill="FFFFFF"/>
            <w:noWrap/>
            <w:vAlign w:val="bottom"/>
            <w:hideMark/>
          </w:tcPr>
          <w:p w14:paraId="31B66875"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364" w:type="pct"/>
            <w:tcBorders>
              <w:top w:val="nil"/>
              <w:left w:val="nil"/>
              <w:bottom w:val="single" w:sz="4" w:space="0" w:color="auto"/>
              <w:right w:val="nil"/>
            </w:tcBorders>
            <w:shd w:val="clear" w:color="000000" w:fill="FFFFFF"/>
            <w:noWrap/>
            <w:vAlign w:val="bottom"/>
            <w:hideMark/>
          </w:tcPr>
          <w:p w14:paraId="3DD2215A"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148" w:type="pct"/>
            <w:tcBorders>
              <w:top w:val="nil"/>
              <w:left w:val="nil"/>
              <w:bottom w:val="single" w:sz="4" w:space="0" w:color="auto"/>
              <w:right w:val="nil"/>
            </w:tcBorders>
            <w:shd w:val="clear" w:color="000000" w:fill="FFFFFF"/>
            <w:noWrap/>
            <w:vAlign w:val="bottom"/>
            <w:hideMark/>
          </w:tcPr>
          <w:p w14:paraId="41565329"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729" w:type="pct"/>
            <w:tcBorders>
              <w:top w:val="nil"/>
              <w:left w:val="nil"/>
              <w:bottom w:val="single" w:sz="4" w:space="0" w:color="auto"/>
              <w:right w:val="nil"/>
            </w:tcBorders>
            <w:shd w:val="clear" w:color="000000" w:fill="FFFFFF"/>
            <w:noWrap/>
            <w:vAlign w:val="bottom"/>
            <w:hideMark/>
          </w:tcPr>
          <w:p w14:paraId="27C12117"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364" w:type="pct"/>
            <w:tcBorders>
              <w:top w:val="nil"/>
              <w:left w:val="nil"/>
              <w:bottom w:val="single" w:sz="4" w:space="0" w:color="auto"/>
              <w:right w:val="nil"/>
            </w:tcBorders>
            <w:shd w:val="clear" w:color="000000" w:fill="FFFFFF"/>
            <w:noWrap/>
            <w:vAlign w:val="bottom"/>
            <w:hideMark/>
          </w:tcPr>
          <w:p w14:paraId="371F36FD"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148" w:type="pct"/>
            <w:tcBorders>
              <w:top w:val="nil"/>
              <w:left w:val="nil"/>
              <w:bottom w:val="single" w:sz="4" w:space="0" w:color="auto"/>
              <w:right w:val="nil"/>
            </w:tcBorders>
            <w:shd w:val="clear" w:color="000000" w:fill="FFFFFF"/>
            <w:noWrap/>
            <w:vAlign w:val="bottom"/>
            <w:hideMark/>
          </w:tcPr>
          <w:p w14:paraId="438D5443"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597" w:type="pct"/>
            <w:tcBorders>
              <w:top w:val="nil"/>
              <w:left w:val="nil"/>
              <w:bottom w:val="single" w:sz="4" w:space="0" w:color="auto"/>
              <w:right w:val="nil"/>
            </w:tcBorders>
            <w:shd w:val="clear" w:color="000000" w:fill="FFFFFF"/>
            <w:noWrap/>
            <w:vAlign w:val="bottom"/>
            <w:hideMark/>
          </w:tcPr>
          <w:p w14:paraId="1FE66BB4"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c>
          <w:tcPr>
            <w:tcW w:w="266" w:type="pct"/>
            <w:tcBorders>
              <w:top w:val="nil"/>
              <w:left w:val="nil"/>
              <w:bottom w:val="single" w:sz="4" w:space="0" w:color="auto"/>
              <w:right w:val="nil"/>
            </w:tcBorders>
            <w:shd w:val="clear" w:color="000000" w:fill="FFFFFF"/>
            <w:noWrap/>
            <w:vAlign w:val="bottom"/>
            <w:hideMark/>
          </w:tcPr>
          <w:p w14:paraId="65BE984D"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6"/>
                <w:szCs w:val="16"/>
              </w:rPr>
            </w:pPr>
            <w:r w:rsidRPr="003C18B5">
              <w:rPr>
                <w:rFonts w:ascii="Century Schoolbook" w:eastAsia="Times New Roman" w:hAnsi="Century Schoolbook" w:cs="Times New Roman"/>
                <w:color w:val="000000"/>
                <w:sz w:val="16"/>
                <w:szCs w:val="16"/>
              </w:rPr>
              <w:t> </w:t>
            </w:r>
          </w:p>
        </w:tc>
      </w:tr>
      <w:tr w:rsidR="00F770FF" w:rsidRPr="003C18B5" w14:paraId="5319DA3B" w14:textId="77777777" w:rsidTr="009704E4">
        <w:trPr>
          <w:trHeight w:val="240"/>
        </w:trPr>
        <w:tc>
          <w:tcPr>
            <w:tcW w:w="834" w:type="pct"/>
            <w:tcBorders>
              <w:top w:val="single" w:sz="4" w:space="0" w:color="auto"/>
              <w:left w:val="nil"/>
              <w:bottom w:val="nil"/>
              <w:right w:val="nil"/>
            </w:tcBorders>
            <w:shd w:val="clear" w:color="000000" w:fill="FFFFFF"/>
            <w:noWrap/>
            <w:vAlign w:val="bottom"/>
            <w:hideMark/>
          </w:tcPr>
          <w:p w14:paraId="17FDEE08"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Slow</w:t>
            </w:r>
          </w:p>
        </w:tc>
        <w:tc>
          <w:tcPr>
            <w:tcW w:w="152" w:type="pct"/>
            <w:tcBorders>
              <w:top w:val="single" w:sz="4" w:space="0" w:color="auto"/>
              <w:left w:val="nil"/>
              <w:bottom w:val="nil"/>
              <w:right w:val="nil"/>
            </w:tcBorders>
            <w:shd w:val="clear" w:color="000000" w:fill="FFFFFF"/>
            <w:noWrap/>
            <w:vAlign w:val="bottom"/>
            <w:hideMark/>
          </w:tcPr>
          <w:p w14:paraId="03A16899"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832" w:type="pct"/>
            <w:tcBorders>
              <w:top w:val="single" w:sz="4" w:space="0" w:color="auto"/>
              <w:left w:val="nil"/>
              <w:bottom w:val="nil"/>
              <w:right w:val="nil"/>
            </w:tcBorders>
            <w:shd w:val="clear" w:color="000000" w:fill="FFFFFF"/>
            <w:noWrap/>
            <w:vAlign w:val="bottom"/>
            <w:hideMark/>
          </w:tcPr>
          <w:p w14:paraId="62367831"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60</w:t>
            </w:r>
          </w:p>
        </w:tc>
        <w:tc>
          <w:tcPr>
            <w:tcW w:w="148" w:type="pct"/>
            <w:tcBorders>
              <w:top w:val="single" w:sz="4" w:space="0" w:color="auto"/>
              <w:left w:val="nil"/>
              <w:bottom w:val="nil"/>
              <w:right w:val="nil"/>
            </w:tcBorders>
            <w:shd w:val="clear" w:color="000000" w:fill="FFFFFF"/>
            <w:noWrap/>
            <w:vAlign w:val="bottom"/>
            <w:hideMark/>
          </w:tcPr>
          <w:p w14:paraId="5EADDBFF"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418" w:type="pct"/>
            <w:tcBorders>
              <w:top w:val="single" w:sz="4" w:space="0" w:color="auto"/>
              <w:left w:val="nil"/>
              <w:bottom w:val="nil"/>
              <w:right w:val="nil"/>
            </w:tcBorders>
            <w:shd w:val="clear" w:color="000000" w:fill="FFFFFF"/>
            <w:noWrap/>
            <w:vAlign w:val="bottom"/>
            <w:hideMark/>
          </w:tcPr>
          <w:p w14:paraId="4EDDAA91"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22.0</w:t>
            </w:r>
          </w:p>
        </w:tc>
        <w:tc>
          <w:tcPr>
            <w:tcW w:w="364" w:type="pct"/>
            <w:tcBorders>
              <w:top w:val="single" w:sz="4" w:space="0" w:color="auto"/>
              <w:left w:val="nil"/>
              <w:bottom w:val="nil"/>
              <w:right w:val="nil"/>
            </w:tcBorders>
            <w:shd w:val="clear" w:color="000000" w:fill="FFFFFF"/>
            <w:noWrap/>
            <w:vAlign w:val="bottom"/>
            <w:hideMark/>
          </w:tcPr>
          <w:p w14:paraId="28E549DB"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10.45</w:t>
            </w:r>
          </w:p>
        </w:tc>
        <w:tc>
          <w:tcPr>
            <w:tcW w:w="148" w:type="pct"/>
            <w:tcBorders>
              <w:top w:val="single" w:sz="4" w:space="0" w:color="auto"/>
              <w:left w:val="nil"/>
              <w:bottom w:val="nil"/>
              <w:right w:val="nil"/>
            </w:tcBorders>
            <w:shd w:val="clear" w:color="000000" w:fill="FFFFFF"/>
            <w:noWrap/>
            <w:vAlign w:val="bottom"/>
            <w:hideMark/>
          </w:tcPr>
          <w:p w14:paraId="7F4F0D7A"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729" w:type="pct"/>
            <w:tcBorders>
              <w:top w:val="single" w:sz="4" w:space="0" w:color="auto"/>
              <w:left w:val="nil"/>
              <w:bottom w:val="nil"/>
              <w:right w:val="nil"/>
            </w:tcBorders>
            <w:shd w:val="clear" w:color="000000" w:fill="FFFFFF"/>
            <w:noWrap/>
            <w:vAlign w:val="bottom"/>
            <w:hideMark/>
          </w:tcPr>
          <w:p w14:paraId="16C506FF"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21.9</w:t>
            </w:r>
          </w:p>
        </w:tc>
        <w:tc>
          <w:tcPr>
            <w:tcW w:w="364" w:type="pct"/>
            <w:tcBorders>
              <w:top w:val="single" w:sz="4" w:space="0" w:color="auto"/>
              <w:left w:val="nil"/>
              <w:bottom w:val="nil"/>
              <w:right w:val="nil"/>
            </w:tcBorders>
            <w:shd w:val="clear" w:color="000000" w:fill="FFFFFF"/>
            <w:noWrap/>
            <w:vAlign w:val="bottom"/>
            <w:hideMark/>
          </w:tcPr>
          <w:p w14:paraId="1FAA19EA"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10.39</w:t>
            </w:r>
          </w:p>
        </w:tc>
        <w:tc>
          <w:tcPr>
            <w:tcW w:w="148" w:type="pct"/>
            <w:tcBorders>
              <w:top w:val="single" w:sz="4" w:space="0" w:color="auto"/>
              <w:left w:val="nil"/>
              <w:bottom w:val="nil"/>
              <w:right w:val="nil"/>
            </w:tcBorders>
            <w:shd w:val="clear" w:color="000000" w:fill="FFFFFF"/>
            <w:noWrap/>
            <w:vAlign w:val="bottom"/>
            <w:hideMark/>
          </w:tcPr>
          <w:p w14:paraId="5BB0DF1A"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597" w:type="pct"/>
            <w:tcBorders>
              <w:top w:val="single" w:sz="4" w:space="0" w:color="auto"/>
              <w:left w:val="nil"/>
              <w:bottom w:val="nil"/>
              <w:right w:val="nil"/>
            </w:tcBorders>
            <w:shd w:val="clear" w:color="000000" w:fill="FFFFFF"/>
            <w:noWrap/>
            <w:vAlign w:val="bottom"/>
            <w:hideMark/>
          </w:tcPr>
          <w:p w14:paraId="2B6BD205"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20.1</w:t>
            </w:r>
          </w:p>
        </w:tc>
        <w:tc>
          <w:tcPr>
            <w:tcW w:w="266" w:type="pct"/>
            <w:tcBorders>
              <w:top w:val="single" w:sz="4" w:space="0" w:color="auto"/>
              <w:left w:val="nil"/>
              <w:bottom w:val="nil"/>
              <w:right w:val="nil"/>
            </w:tcBorders>
            <w:shd w:val="clear" w:color="000000" w:fill="FFFFFF"/>
            <w:noWrap/>
            <w:vAlign w:val="bottom"/>
            <w:hideMark/>
          </w:tcPr>
          <w:p w14:paraId="6264E108"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10.09</w:t>
            </w:r>
          </w:p>
        </w:tc>
      </w:tr>
      <w:tr w:rsidR="00F770FF" w:rsidRPr="003C18B5" w14:paraId="189647AA" w14:textId="77777777" w:rsidTr="009704E4">
        <w:trPr>
          <w:trHeight w:val="276"/>
        </w:trPr>
        <w:tc>
          <w:tcPr>
            <w:tcW w:w="834" w:type="pct"/>
            <w:tcBorders>
              <w:top w:val="nil"/>
              <w:left w:val="nil"/>
              <w:bottom w:val="nil"/>
              <w:right w:val="nil"/>
            </w:tcBorders>
            <w:shd w:val="clear" w:color="000000" w:fill="FFFFFF"/>
            <w:noWrap/>
            <w:vAlign w:val="bottom"/>
            <w:hideMark/>
          </w:tcPr>
          <w:p w14:paraId="21D5D99C"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Fast</w:t>
            </w:r>
          </w:p>
        </w:tc>
        <w:tc>
          <w:tcPr>
            <w:tcW w:w="152" w:type="pct"/>
            <w:tcBorders>
              <w:top w:val="nil"/>
              <w:left w:val="nil"/>
              <w:bottom w:val="nil"/>
              <w:right w:val="nil"/>
            </w:tcBorders>
            <w:shd w:val="clear" w:color="000000" w:fill="FFFFFF"/>
            <w:noWrap/>
            <w:vAlign w:val="bottom"/>
            <w:hideMark/>
          </w:tcPr>
          <w:p w14:paraId="2409F6C9"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832" w:type="pct"/>
            <w:tcBorders>
              <w:top w:val="nil"/>
              <w:left w:val="nil"/>
              <w:bottom w:val="nil"/>
              <w:right w:val="nil"/>
            </w:tcBorders>
            <w:shd w:val="clear" w:color="000000" w:fill="FFFFFF"/>
            <w:noWrap/>
            <w:vAlign w:val="bottom"/>
            <w:hideMark/>
          </w:tcPr>
          <w:p w14:paraId="2D4D50F1"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60</w:t>
            </w:r>
          </w:p>
        </w:tc>
        <w:tc>
          <w:tcPr>
            <w:tcW w:w="148" w:type="pct"/>
            <w:tcBorders>
              <w:top w:val="nil"/>
              <w:left w:val="nil"/>
              <w:bottom w:val="nil"/>
              <w:right w:val="nil"/>
            </w:tcBorders>
            <w:shd w:val="clear" w:color="000000" w:fill="FFFFFF"/>
            <w:noWrap/>
            <w:vAlign w:val="bottom"/>
            <w:hideMark/>
          </w:tcPr>
          <w:p w14:paraId="0A26F1D0"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418" w:type="pct"/>
            <w:tcBorders>
              <w:top w:val="nil"/>
              <w:left w:val="nil"/>
              <w:bottom w:val="nil"/>
              <w:right w:val="nil"/>
            </w:tcBorders>
            <w:shd w:val="clear" w:color="000000" w:fill="FFFFFF"/>
            <w:noWrap/>
            <w:vAlign w:val="bottom"/>
            <w:hideMark/>
          </w:tcPr>
          <w:p w14:paraId="13177E40"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9.9</w:t>
            </w:r>
          </w:p>
        </w:tc>
        <w:tc>
          <w:tcPr>
            <w:tcW w:w="364" w:type="pct"/>
            <w:tcBorders>
              <w:top w:val="nil"/>
              <w:left w:val="nil"/>
              <w:bottom w:val="nil"/>
              <w:right w:val="nil"/>
            </w:tcBorders>
            <w:shd w:val="clear" w:color="000000" w:fill="FFFFFF"/>
            <w:noWrap/>
            <w:vAlign w:val="bottom"/>
            <w:hideMark/>
          </w:tcPr>
          <w:p w14:paraId="07530DE2"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7.15</w:t>
            </w:r>
          </w:p>
        </w:tc>
        <w:tc>
          <w:tcPr>
            <w:tcW w:w="148" w:type="pct"/>
            <w:tcBorders>
              <w:top w:val="nil"/>
              <w:left w:val="nil"/>
              <w:bottom w:val="nil"/>
              <w:right w:val="nil"/>
            </w:tcBorders>
            <w:shd w:val="clear" w:color="000000" w:fill="FFFFFF"/>
            <w:noWrap/>
            <w:vAlign w:val="bottom"/>
            <w:hideMark/>
          </w:tcPr>
          <w:p w14:paraId="18484629"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729" w:type="pct"/>
            <w:tcBorders>
              <w:top w:val="nil"/>
              <w:left w:val="nil"/>
              <w:bottom w:val="nil"/>
              <w:right w:val="nil"/>
            </w:tcBorders>
            <w:shd w:val="clear" w:color="000000" w:fill="FFFFFF"/>
            <w:noWrap/>
            <w:vAlign w:val="bottom"/>
            <w:hideMark/>
          </w:tcPr>
          <w:p w14:paraId="27B84912"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13.1</w:t>
            </w:r>
          </w:p>
        </w:tc>
        <w:tc>
          <w:tcPr>
            <w:tcW w:w="364" w:type="pct"/>
            <w:tcBorders>
              <w:top w:val="nil"/>
              <w:left w:val="nil"/>
              <w:bottom w:val="nil"/>
              <w:right w:val="nil"/>
            </w:tcBorders>
            <w:shd w:val="clear" w:color="000000" w:fill="FFFFFF"/>
            <w:noWrap/>
            <w:vAlign w:val="bottom"/>
            <w:hideMark/>
          </w:tcPr>
          <w:p w14:paraId="63D7F787"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7.14</w:t>
            </w:r>
          </w:p>
        </w:tc>
        <w:tc>
          <w:tcPr>
            <w:tcW w:w="148" w:type="pct"/>
            <w:tcBorders>
              <w:top w:val="nil"/>
              <w:left w:val="nil"/>
              <w:bottom w:val="nil"/>
              <w:right w:val="nil"/>
            </w:tcBorders>
            <w:shd w:val="clear" w:color="000000" w:fill="FFFFFF"/>
            <w:noWrap/>
            <w:vAlign w:val="bottom"/>
            <w:hideMark/>
          </w:tcPr>
          <w:p w14:paraId="6F3FD486"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597" w:type="pct"/>
            <w:tcBorders>
              <w:top w:val="nil"/>
              <w:left w:val="nil"/>
              <w:bottom w:val="nil"/>
              <w:right w:val="nil"/>
            </w:tcBorders>
            <w:shd w:val="clear" w:color="000000" w:fill="FFFFFF"/>
            <w:noWrap/>
            <w:vAlign w:val="bottom"/>
            <w:hideMark/>
          </w:tcPr>
          <w:p w14:paraId="7EC91AC0"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11.9</w:t>
            </w:r>
          </w:p>
        </w:tc>
        <w:tc>
          <w:tcPr>
            <w:tcW w:w="266" w:type="pct"/>
            <w:tcBorders>
              <w:top w:val="nil"/>
              <w:left w:val="nil"/>
              <w:bottom w:val="nil"/>
              <w:right w:val="nil"/>
            </w:tcBorders>
            <w:shd w:val="clear" w:color="000000" w:fill="FFFFFF"/>
            <w:noWrap/>
            <w:vAlign w:val="bottom"/>
            <w:hideMark/>
          </w:tcPr>
          <w:p w14:paraId="0414448B"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6.68</w:t>
            </w:r>
          </w:p>
        </w:tc>
      </w:tr>
      <w:tr w:rsidR="00F770FF" w:rsidRPr="003C18B5" w14:paraId="48AB675D" w14:textId="77777777" w:rsidTr="009704E4">
        <w:trPr>
          <w:trHeight w:val="276"/>
        </w:trPr>
        <w:tc>
          <w:tcPr>
            <w:tcW w:w="986" w:type="pct"/>
            <w:gridSpan w:val="2"/>
            <w:tcBorders>
              <w:top w:val="nil"/>
              <w:left w:val="nil"/>
              <w:right w:val="nil"/>
            </w:tcBorders>
            <w:shd w:val="clear" w:color="000000" w:fill="FFFFFF"/>
            <w:noWrap/>
            <w:vAlign w:val="bottom"/>
            <w:hideMark/>
          </w:tcPr>
          <w:p w14:paraId="5847FCF4" w14:textId="77777777" w:rsidR="00F770FF" w:rsidRPr="003C18B5" w:rsidRDefault="00F770FF" w:rsidP="009704E4">
            <w:pPr>
              <w:spacing w:after="0" w:line="240" w:lineRule="auto"/>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Slow vs. Fast</w:t>
            </w:r>
          </w:p>
        </w:tc>
        <w:tc>
          <w:tcPr>
            <w:tcW w:w="832" w:type="pct"/>
            <w:tcBorders>
              <w:top w:val="nil"/>
              <w:left w:val="nil"/>
              <w:right w:val="nil"/>
            </w:tcBorders>
            <w:shd w:val="clear" w:color="000000" w:fill="FFFFFF"/>
            <w:noWrap/>
            <w:vAlign w:val="bottom"/>
            <w:hideMark/>
          </w:tcPr>
          <w:p w14:paraId="5CBFFF52"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60</w:t>
            </w:r>
          </w:p>
        </w:tc>
        <w:tc>
          <w:tcPr>
            <w:tcW w:w="148" w:type="pct"/>
            <w:tcBorders>
              <w:top w:val="nil"/>
              <w:left w:val="nil"/>
              <w:right w:val="nil"/>
            </w:tcBorders>
            <w:shd w:val="clear" w:color="000000" w:fill="FFFFFF"/>
            <w:noWrap/>
            <w:vAlign w:val="bottom"/>
            <w:hideMark/>
          </w:tcPr>
          <w:p w14:paraId="4CB2CF18" w14:textId="77777777" w:rsidR="00F770FF" w:rsidRPr="003C18B5" w:rsidRDefault="00F770FF" w:rsidP="009704E4">
            <w:pPr>
              <w:spacing w:after="0" w:line="240" w:lineRule="auto"/>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 </w:t>
            </w:r>
          </w:p>
        </w:tc>
        <w:tc>
          <w:tcPr>
            <w:tcW w:w="418" w:type="pct"/>
            <w:tcBorders>
              <w:top w:val="nil"/>
              <w:left w:val="nil"/>
              <w:right w:val="nil"/>
            </w:tcBorders>
            <w:shd w:val="clear" w:color="000000" w:fill="FFFFFF"/>
            <w:noWrap/>
            <w:vAlign w:val="bottom"/>
            <w:hideMark/>
          </w:tcPr>
          <w:p w14:paraId="02BFB18D"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12.2</w:t>
            </w:r>
          </w:p>
        </w:tc>
        <w:tc>
          <w:tcPr>
            <w:tcW w:w="364" w:type="pct"/>
            <w:tcBorders>
              <w:top w:val="nil"/>
              <w:left w:val="nil"/>
              <w:right w:val="nil"/>
            </w:tcBorders>
            <w:shd w:val="clear" w:color="000000" w:fill="FFFFFF"/>
            <w:noWrap/>
            <w:vAlign w:val="bottom"/>
            <w:hideMark/>
          </w:tcPr>
          <w:p w14:paraId="0F0B1BEF"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4.35</w:t>
            </w:r>
          </w:p>
        </w:tc>
        <w:tc>
          <w:tcPr>
            <w:tcW w:w="148" w:type="pct"/>
            <w:tcBorders>
              <w:top w:val="nil"/>
              <w:left w:val="nil"/>
              <w:right w:val="nil"/>
            </w:tcBorders>
            <w:shd w:val="clear" w:color="000000" w:fill="FFFFFF"/>
            <w:noWrap/>
            <w:vAlign w:val="bottom"/>
            <w:hideMark/>
          </w:tcPr>
          <w:p w14:paraId="383B4BA9"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 </w:t>
            </w:r>
          </w:p>
        </w:tc>
        <w:tc>
          <w:tcPr>
            <w:tcW w:w="729" w:type="pct"/>
            <w:tcBorders>
              <w:top w:val="nil"/>
              <w:left w:val="nil"/>
              <w:right w:val="nil"/>
            </w:tcBorders>
            <w:shd w:val="clear" w:color="000000" w:fill="FFFFFF"/>
            <w:noWrap/>
            <w:vAlign w:val="bottom"/>
            <w:hideMark/>
          </w:tcPr>
          <w:p w14:paraId="55D266D6"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8.8</w:t>
            </w:r>
          </w:p>
        </w:tc>
        <w:tc>
          <w:tcPr>
            <w:tcW w:w="364" w:type="pct"/>
            <w:tcBorders>
              <w:top w:val="nil"/>
              <w:left w:val="nil"/>
              <w:right w:val="nil"/>
            </w:tcBorders>
            <w:shd w:val="clear" w:color="000000" w:fill="FFFFFF"/>
            <w:noWrap/>
            <w:vAlign w:val="bottom"/>
            <w:hideMark/>
          </w:tcPr>
          <w:p w14:paraId="03C014C9"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3.14</w:t>
            </w:r>
          </w:p>
        </w:tc>
        <w:tc>
          <w:tcPr>
            <w:tcW w:w="148" w:type="pct"/>
            <w:tcBorders>
              <w:top w:val="nil"/>
              <w:left w:val="nil"/>
              <w:right w:val="nil"/>
            </w:tcBorders>
            <w:shd w:val="clear" w:color="000000" w:fill="FFFFFF"/>
            <w:noWrap/>
            <w:vAlign w:val="bottom"/>
            <w:hideMark/>
          </w:tcPr>
          <w:p w14:paraId="7AEA0BDA"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 </w:t>
            </w:r>
          </w:p>
        </w:tc>
        <w:tc>
          <w:tcPr>
            <w:tcW w:w="597" w:type="pct"/>
            <w:tcBorders>
              <w:top w:val="nil"/>
              <w:left w:val="nil"/>
              <w:right w:val="nil"/>
            </w:tcBorders>
            <w:shd w:val="clear" w:color="000000" w:fill="FFFFFF"/>
            <w:noWrap/>
            <w:vAlign w:val="bottom"/>
            <w:hideMark/>
          </w:tcPr>
          <w:p w14:paraId="7FD5AA2B"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8.3</w:t>
            </w:r>
          </w:p>
        </w:tc>
        <w:tc>
          <w:tcPr>
            <w:tcW w:w="266" w:type="pct"/>
            <w:tcBorders>
              <w:top w:val="nil"/>
              <w:left w:val="nil"/>
              <w:right w:val="nil"/>
            </w:tcBorders>
            <w:shd w:val="clear" w:color="000000" w:fill="FFFFFF"/>
            <w:noWrap/>
            <w:vAlign w:val="bottom"/>
            <w:hideMark/>
          </w:tcPr>
          <w:p w14:paraId="42EE3D1D"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3.09</w:t>
            </w:r>
          </w:p>
        </w:tc>
      </w:tr>
      <w:tr w:rsidR="00F770FF" w:rsidRPr="003C18B5" w14:paraId="1BD0DCE4" w14:textId="77777777" w:rsidTr="009704E4">
        <w:trPr>
          <w:trHeight w:val="72"/>
        </w:trPr>
        <w:tc>
          <w:tcPr>
            <w:tcW w:w="834" w:type="pct"/>
            <w:tcBorders>
              <w:top w:val="nil"/>
              <w:left w:val="nil"/>
              <w:bottom w:val="single" w:sz="4" w:space="0" w:color="auto"/>
              <w:right w:val="nil"/>
            </w:tcBorders>
            <w:shd w:val="clear" w:color="000000" w:fill="FFFFFF"/>
            <w:noWrap/>
            <w:vAlign w:val="bottom"/>
            <w:hideMark/>
          </w:tcPr>
          <w:p w14:paraId="72A92EDA" w14:textId="77777777" w:rsidR="00F770FF" w:rsidRPr="003C18B5" w:rsidRDefault="00F770FF" w:rsidP="009704E4">
            <w:pPr>
              <w:spacing w:after="0" w:line="240" w:lineRule="auto"/>
              <w:rPr>
                <w:rFonts w:ascii="Century Schoolbook" w:eastAsia="Times New Roman" w:hAnsi="Century Schoolbook" w:cs="Times New Roman"/>
                <w:color w:val="000000"/>
                <w:sz w:val="10"/>
                <w:szCs w:val="18"/>
              </w:rPr>
            </w:pPr>
            <w:r w:rsidRPr="003C18B5">
              <w:rPr>
                <w:rFonts w:ascii="Century Schoolbook" w:eastAsia="Times New Roman" w:hAnsi="Century Schoolbook" w:cs="Times New Roman"/>
                <w:color w:val="000000"/>
                <w:sz w:val="18"/>
                <w:szCs w:val="18"/>
              </w:rPr>
              <w:t> </w:t>
            </w:r>
          </w:p>
        </w:tc>
        <w:tc>
          <w:tcPr>
            <w:tcW w:w="152" w:type="pct"/>
            <w:tcBorders>
              <w:top w:val="nil"/>
              <w:left w:val="nil"/>
              <w:bottom w:val="single" w:sz="4" w:space="0" w:color="auto"/>
              <w:right w:val="nil"/>
            </w:tcBorders>
            <w:shd w:val="clear" w:color="000000" w:fill="FFFFFF"/>
            <w:noWrap/>
            <w:vAlign w:val="bottom"/>
            <w:hideMark/>
          </w:tcPr>
          <w:p w14:paraId="5F7759C1"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832" w:type="pct"/>
            <w:tcBorders>
              <w:top w:val="nil"/>
              <w:left w:val="nil"/>
              <w:bottom w:val="single" w:sz="4" w:space="0" w:color="auto"/>
              <w:right w:val="nil"/>
            </w:tcBorders>
            <w:shd w:val="clear" w:color="000000" w:fill="FFFFFF"/>
            <w:noWrap/>
            <w:vAlign w:val="bottom"/>
            <w:hideMark/>
          </w:tcPr>
          <w:p w14:paraId="00BB24FF"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148" w:type="pct"/>
            <w:tcBorders>
              <w:top w:val="nil"/>
              <w:left w:val="nil"/>
              <w:bottom w:val="single" w:sz="4" w:space="0" w:color="auto"/>
              <w:right w:val="nil"/>
            </w:tcBorders>
            <w:shd w:val="clear" w:color="000000" w:fill="FFFFFF"/>
            <w:noWrap/>
            <w:vAlign w:val="bottom"/>
            <w:hideMark/>
          </w:tcPr>
          <w:p w14:paraId="268702FC"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418" w:type="pct"/>
            <w:tcBorders>
              <w:top w:val="nil"/>
              <w:left w:val="nil"/>
              <w:bottom w:val="single" w:sz="4" w:space="0" w:color="auto"/>
              <w:right w:val="nil"/>
            </w:tcBorders>
            <w:shd w:val="clear" w:color="000000" w:fill="FFFFFF"/>
            <w:noWrap/>
            <w:vAlign w:val="bottom"/>
            <w:hideMark/>
          </w:tcPr>
          <w:p w14:paraId="248A47CE"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364" w:type="pct"/>
            <w:tcBorders>
              <w:top w:val="nil"/>
              <w:left w:val="nil"/>
              <w:bottom w:val="single" w:sz="4" w:space="0" w:color="auto"/>
              <w:right w:val="nil"/>
            </w:tcBorders>
            <w:shd w:val="clear" w:color="000000" w:fill="FFFFFF"/>
            <w:noWrap/>
            <w:vAlign w:val="bottom"/>
            <w:hideMark/>
          </w:tcPr>
          <w:p w14:paraId="67F16909"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148" w:type="pct"/>
            <w:tcBorders>
              <w:top w:val="nil"/>
              <w:left w:val="nil"/>
              <w:bottom w:val="single" w:sz="4" w:space="0" w:color="auto"/>
              <w:right w:val="nil"/>
            </w:tcBorders>
            <w:shd w:val="clear" w:color="000000" w:fill="FFFFFF"/>
            <w:noWrap/>
            <w:vAlign w:val="bottom"/>
            <w:hideMark/>
          </w:tcPr>
          <w:p w14:paraId="3357737F"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729" w:type="pct"/>
            <w:tcBorders>
              <w:top w:val="nil"/>
              <w:left w:val="nil"/>
              <w:bottom w:val="single" w:sz="4" w:space="0" w:color="auto"/>
              <w:right w:val="nil"/>
            </w:tcBorders>
            <w:shd w:val="clear" w:color="000000" w:fill="FFFFFF"/>
            <w:noWrap/>
            <w:vAlign w:val="bottom"/>
            <w:hideMark/>
          </w:tcPr>
          <w:p w14:paraId="3CF69C9D"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364" w:type="pct"/>
            <w:tcBorders>
              <w:top w:val="nil"/>
              <w:left w:val="nil"/>
              <w:bottom w:val="single" w:sz="4" w:space="0" w:color="auto"/>
              <w:right w:val="nil"/>
            </w:tcBorders>
            <w:shd w:val="clear" w:color="000000" w:fill="FFFFFF"/>
            <w:noWrap/>
            <w:vAlign w:val="bottom"/>
            <w:hideMark/>
          </w:tcPr>
          <w:p w14:paraId="5BE305D4"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148" w:type="pct"/>
            <w:tcBorders>
              <w:top w:val="nil"/>
              <w:left w:val="nil"/>
              <w:bottom w:val="single" w:sz="4" w:space="0" w:color="auto"/>
              <w:right w:val="nil"/>
            </w:tcBorders>
            <w:shd w:val="clear" w:color="000000" w:fill="FFFFFF"/>
            <w:noWrap/>
            <w:vAlign w:val="bottom"/>
            <w:hideMark/>
          </w:tcPr>
          <w:p w14:paraId="2F638B34"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597" w:type="pct"/>
            <w:tcBorders>
              <w:top w:val="nil"/>
              <w:left w:val="nil"/>
              <w:bottom w:val="single" w:sz="4" w:space="0" w:color="auto"/>
              <w:right w:val="nil"/>
            </w:tcBorders>
            <w:shd w:val="clear" w:color="000000" w:fill="FFFFFF"/>
            <w:noWrap/>
            <w:vAlign w:val="bottom"/>
            <w:hideMark/>
          </w:tcPr>
          <w:p w14:paraId="18E02707"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266" w:type="pct"/>
            <w:tcBorders>
              <w:top w:val="nil"/>
              <w:left w:val="nil"/>
              <w:bottom w:val="single" w:sz="4" w:space="0" w:color="auto"/>
              <w:right w:val="nil"/>
            </w:tcBorders>
            <w:shd w:val="clear" w:color="000000" w:fill="FFFFFF"/>
            <w:noWrap/>
            <w:vAlign w:val="bottom"/>
            <w:hideMark/>
          </w:tcPr>
          <w:p w14:paraId="6A4608EA"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r>
      <w:tr w:rsidR="00F770FF" w:rsidRPr="003C18B5" w14:paraId="0C86D585" w14:textId="77777777" w:rsidTr="009704E4">
        <w:trPr>
          <w:trHeight w:val="276"/>
        </w:trPr>
        <w:tc>
          <w:tcPr>
            <w:tcW w:w="834" w:type="pct"/>
            <w:tcBorders>
              <w:top w:val="single" w:sz="4" w:space="0" w:color="auto"/>
              <w:left w:val="nil"/>
              <w:bottom w:val="nil"/>
              <w:right w:val="nil"/>
            </w:tcBorders>
            <w:shd w:val="clear" w:color="000000" w:fill="FFFFFF"/>
            <w:noWrap/>
            <w:vAlign w:val="bottom"/>
            <w:hideMark/>
          </w:tcPr>
          <w:p w14:paraId="36B6CF2D"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Slow</w:t>
            </w:r>
          </w:p>
        </w:tc>
        <w:tc>
          <w:tcPr>
            <w:tcW w:w="152" w:type="pct"/>
            <w:tcBorders>
              <w:top w:val="single" w:sz="4" w:space="0" w:color="auto"/>
              <w:left w:val="nil"/>
              <w:bottom w:val="nil"/>
              <w:right w:val="nil"/>
            </w:tcBorders>
            <w:shd w:val="clear" w:color="000000" w:fill="FFFFFF"/>
            <w:noWrap/>
            <w:vAlign w:val="bottom"/>
            <w:hideMark/>
          </w:tcPr>
          <w:p w14:paraId="1E36BB9B"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832" w:type="pct"/>
            <w:tcBorders>
              <w:top w:val="single" w:sz="4" w:space="0" w:color="auto"/>
              <w:left w:val="nil"/>
              <w:bottom w:val="nil"/>
              <w:right w:val="nil"/>
            </w:tcBorders>
            <w:shd w:val="clear" w:color="000000" w:fill="FFFFFF"/>
            <w:noWrap/>
            <w:vAlign w:val="bottom"/>
            <w:hideMark/>
          </w:tcPr>
          <w:p w14:paraId="34C7DD03"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120</w:t>
            </w:r>
          </w:p>
        </w:tc>
        <w:tc>
          <w:tcPr>
            <w:tcW w:w="148" w:type="pct"/>
            <w:tcBorders>
              <w:top w:val="single" w:sz="4" w:space="0" w:color="auto"/>
              <w:left w:val="nil"/>
              <w:bottom w:val="nil"/>
              <w:right w:val="nil"/>
            </w:tcBorders>
            <w:shd w:val="clear" w:color="000000" w:fill="FFFFFF"/>
            <w:noWrap/>
            <w:vAlign w:val="bottom"/>
            <w:hideMark/>
          </w:tcPr>
          <w:p w14:paraId="72767C4D"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418" w:type="pct"/>
            <w:tcBorders>
              <w:top w:val="single" w:sz="4" w:space="0" w:color="auto"/>
              <w:left w:val="nil"/>
              <w:bottom w:val="nil"/>
              <w:right w:val="nil"/>
            </w:tcBorders>
            <w:shd w:val="clear" w:color="000000" w:fill="FFFFFF"/>
            <w:noWrap/>
            <w:vAlign w:val="bottom"/>
            <w:hideMark/>
          </w:tcPr>
          <w:p w14:paraId="468B895D"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14.7</w:t>
            </w:r>
          </w:p>
        </w:tc>
        <w:tc>
          <w:tcPr>
            <w:tcW w:w="364" w:type="pct"/>
            <w:tcBorders>
              <w:top w:val="single" w:sz="4" w:space="0" w:color="auto"/>
              <w:left w:val="nil"/>
              <w:bottom w:val="nil"/>
              <w:right w:val="nil"/>
            </w:tcBorders>
            <w:shd w:val="clear" w:color="000000" w:fill="FFFFFF"/>
            <w:noWrap/>
            <w:vAlign w:val="bottom"/>
            <w:hideMark/>
          </w:tcPr>
          <w:p w14:paraId="72218422"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9.47</w:t>
            </w:r>
          </w:p>
        </w:tc>
        <w:tc>
          <w:tcPr>
            <w:tcW w:w="148" w:type="pct"/>
            <w:tcBorders>
              <w:top w:val="single" w:sz="4" w:space="0" w:color="auto"/>
              <w:left w:val="nil"/>
              <w:bottom w:val="nil"/>
              <w:right w:val="nil"/>
            </w:tcBorders>
            <w:shd w:val="clear" w:color="000000" w:fill="FFFFFF"/>
            <w:noWrap/>
            <w:vAlign w:val="bottom"/>
            <w:hideMark/>
          </w:tcPr>
          <w:p w14:paraId="0AD6F3E8"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729" w:type="pct"/>
            <w:tcBorders>
              <w:top w:val="single" w:sz="4" w:space="0" w:color="auto"/>
              <w:left w:val="nil"/>
              <w:bottom w:val="nil"/>
              <w:right w:val="nil"/>
            </w:tcBorders>
            <w:shd w:val="clear" w:color="000000" w:fill="FFFFFF"/>
            <w:noWrap/>
            <w:vAlign w:val="bottom"/>
            <w:hideMark/>
          </w:tcPr>
          <w:p w14:paraId="7357BFF4"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14.7</w:t>
            </w:r>
          </w:p>
        </w:tc>
        <w:tc>
          <w:tcPr>
            <w:tcW w:w="364" w:type="pct"/>
            <w:tcBorders>
              <w:top w:val="single" w:sz="4" w:space="0" w:color="auto"/>
              <w:left w:val="nil"/>
              <w:bottom w:val="nil"/>
              <w:right w:val="nil"/>
            </w:tcBorders>
            <w:shd w:val="clear" w:color="000000" w:fill="FFFFFF"/>
            <w:noWrap/>
            <w:vAlign w:val="bottom"/>
            <w:hideMark/>
          </w:tcPr>
          <w:p w14:paraId="086BE815"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9.50</w:t>
            </w:r>
          </w:p>
        </w:tc>
        <w:tc>
          <w:tcPr>
            <w:tcW w:w="148" w:type="pct"/>
            <w:tcBorders>
              <w:top w:val="single" w:sz="4" w:space="0" w:color="auto"/>
              <w:left w:val="nil"/>
              <w:bottom w:val="nil"/>
              <w:right w:val="nil"/>
            </w:tcBorders>
            <w:shd w:val="clear" w:color="000000" w:fill="FFFFFF"/>
            <w:noWrap/>
            <w:vAlign w:val="bottom"/>
            <w:hideMark/>
          </w:tcPr>
          <w:p w14:paraId="2EB32B99"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597" w:type="pct"/>
            <w:tcBorders>
              <w:top w:val="single" w:sz="4" w:space="0" w:color="auto"/>
              <w:left w:val="nil"/>
              <w:bottom w:val="nil"/>
              <w:right w:val="nil"/>
            </w:tcBorders>
            <w:shd w:val="clear" w:color="000000" w:fill="FFFFFF"/>
            <w:noWrap/>
            <w:vAlign w:val="bottom"/>
            <w:hideMark/>
          </w:tcPr>
          <w:p w14:paraId="2A9C4860"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13.2</w:t>
            </w:r>
          </w:p>
        </w:tc>
        <w:tc>
          <w:tcPr>
            <w:tcW w:w="266" w:type="pct"/>
            <w:tcBorders>
              <w:top w:val="single" w:sz="4" w:space="0" w:color="auto"/>
              <w:left w:val="nil"/>
              <w:bottom w:val="nil"/>
              <w:right w:val="nil"/>
            </w:tcBorders>
            <w:shd w:val="clear" w:color="000000" w:fill="FFFFFF"/>
            <w:noWrap/>
            <w:vAlign w:val="bottom"/>
            <w:hideMark/>
          </w:tcPr>
          <w:p w14:paraId="489162C4"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9.19</w:t>
            </w:r>
          </w:p>
        </w:tc>
      </w:tr>
      <w:tr w:rsidR="00F770FF" w:rsidRPr="003C18B5" w14:paraId="49F1C278" w14:textId="77777777" w:rsidTr="009704E4">
        <w:trPr>
          <w:trHeight w:val="276"/>
        </w:trPr>
        <w:tc>
          <w:tcPr>
            <w:tcW w:w="834" w:type="pct"/>
            <w:tcBorders>
              <w:top w:val="nil"/>
              <w:left w:val="nil"/>
              <w:bottom w:val="nil"/>
              <w:right w:val="nil"/>
            </w:tcBorders>
            <w:shd w:val="clear" w:color="000000" w:fill="FFFFFF"/>
            <w:noWrap/>
            <w:vAlign w:val="bottom"/>
            <w:hideMark/>
          </w:tcPr>
          <w:p w14:paraId="2BB9FA67"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Fast</w:t>
            </w:r>
          </w:p>
        </w:tc>
        <w:tc>
          <w:tcPr>
            <w:tcW w:w="152" w:type="pct"/>
            <w:tcBorders>
              <w:top w:val="nil"/>
              <w:left w:val="nil"/>
              <w:bottom w:val="nil"/>
              <w:right w:val="nil"/>
            </w:tcBorders>
            <w:shd w:val="clear" w:color="000000" w:fill="FFFFFF"/>
            <w:noWrap/>
            <w:vAlign w:val="bottom"/>
            <w:hideMark/>
          </w:tcPr>
          <w:p w14:paraId="18C805E8"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832" w:type="pct"/>
            <w:tcBorders>
              <w:top w:val="nil"/>
              <w:left w:val="nil"/>
              <w:bottom w:val="nil"/>
              <w:right w:val="nil"/>
            </w:tcBorders>
            <w:shd w:val="clear" w:color="000000" w:fill="FFFFFF"/>
            <w:noWrap/>
            <w:vAlign w:val="bottom"/>
            <w:hideMark/>
          </w:tcPr>
          <w:p w14:paraId="4C974981"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120</w:t>
            </w:r>
          </w:p>
        </w:tc>
        <w:tc>
          <w:tcPr>
            <w:tcW w:w="148" w:type="pct"/>
            <w:tcBorders>
              <w:top w:val="nil"/>
              <w:left w:val="nil"/>
              <w:bottom w:val="nil"/>
              <w:right w:val="nil"/>
            </w:tcBorders>
            <w:shd w:val="clear" w:color="000000" w:fill="FFFFFF"/>
            <w:noWrap/>
            <w:vAlign w:val="bottom"/>
            <w:hideMark/>
          </w:tcPr>
          <w:p w14:paraId="62EBCADA"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418" w:type="pct"/>
            <w:tcBorders>
              <w:top w:val="nil"/>
              <w:left w:val="nil"/>
              <w:bottom w:val="nil"/>
              <w:right w:val="nil"/>
            </w:tcBorders>
            <w:shd w:val="clear" w:color="000000" w:fill="FFFFFF"/>
            <w:noWrap/>
            <w:vAlign w:val="bottom"/>
            <w:hideMark/>
          </w:tcPr>
          <w:p w14:paraId="0AD20A1B"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9.9</w:t>
            </w:r>
          </w:p>
        </w:tc>
        <w:tc>
          <w:tcPr>
            <w:tcW w:w="364" w:type="pct"/>
            <w:tcBorders>
              <w:top w:val="nil"/>
              <w:left w:val="nil"/>
              <w:bottom w:val="nil"/>
              <w:right w:val="nil"/>
            </w:tcBorders>
            <w:shd w:val="clear" w:color="000000" w:fill="FFFFFF"/>
            <w:noWrap/>
            <w:vAlign w:val="bottom"/>
            <w:hideMark/>
          </w:tcPr>
          <w:p w14:paraId="36DA596B"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7.25</w:t>
            </w:r>
          </w:p>
        </w:tc>
        <w:tc>
          <w:tcPr>
            <w:tcW w:w="148" w:type="pct"/>
            <w:tcBorders>
              <w:top w:val="nil"/>
              <w:left w:val="nil"/>
              <w:bottom w:val="nil"/>
              <w:right w:val="nil"/>
            </w:tcBorders>
            <w:shd w:val="clear" w:color="000000" w:fill="FFFFFF"/>
            <w:noWrap/>
            <w:vAlign w:val="bottom"/>
            <w:hideMark/>
          </w:tcPr>
          <w:p w14:paraId="71A52CC5"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729" w:type="pct"/>
            <w:tcBorders>
              <w:top w:val="nil"/>
              <w:left w:val="nil"/>
              <w:bottom w:val="nil"/>
              <w:right w:val="nil"/>
            </w:tcBorders>
            <w:shd w:val="clear" w:color="000000" w:fill="FFFFFF"/>
            <w:noWrap/>
            <w:vAlign w:val="bottom"/>
            <w:hideMark/>
          </w:tcPr>
          <w:p w14:paraId="68B365AB"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9.8</w:t>
            </w:r>
          </w:p>
        </w:tc>
        <w:tc>
          <w:tcPr>
            <w:tcW w:w="364" w:type="pct"/>
            <w:tcBorders>
              <w:top w:val="nil"/>
              <w:left w:val="nil"/>
              <w:bottom w:val="nil"/>
              <w:right w:val="nil"/>
            </w:tcBorders>
            <w:shd w:val="clear" w:color="000000" w:fill="FFFFFF"/>
            <w:noWrap/>
            <w:vAlign w:val="bottom"/>
            <w:hideMark/>
          </w:tcPr>
          <w:p w14:paraId="455044BC"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7.21</w:t>
            </w:r>
          </w:p>
        </w:tc>
        <w:tc>
          <w:tcPr>
            <w:tcW w:w="148" w:type="pct"/>
            <w:tcBorders>
              <w:top w:val="nil"/>
              <w:left w:val="nil"/>
              <w:bottom w:val="nil"/>
              <w:right w:val="nil"/>
            </w:tcBorders>
            <w:shd w:val="clear" w:color="000000" w:fill="FFFFFF"/>
            <w:noWrap/>
            <w:vAlign w:val="bottom"/>
            <w:hideMark/>
          </w:tcPr>
          <w:p w14:paraId="3369C48D"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597" w:type="pct"/>
            <w:tcBorders>
              <w:top w:val="nil"/>
              <w:left w:val="nil"/>
              <w:bottom w:val="nil"/>
              <w:right w:val="nil"/>
            </w:tcBorders>
            <w:shd w:val="clear" w:color="000000" w:fill="FFFFFF"/>
            <w:noWrap/>
            <w:vAlign w:val="bottom"/>
            <w:hideMark/>
          </w:tcPr>
          <w:p w14:paraId="7BA63068"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8.7</w:t>
            </w:r>
          </w:p>
        </w:tc>
        <w:tc>
          <w:tcPr>
            <w:tcW w:w="266" w:type="pct"/>
            <w:tcBorders>
              <w:top w:val="nil"/>
              <w:left w:val="nil"/>
              <w:bottom w:val="nil"/>
              <w:right w:val="nil"/>
            </w:tcBorders>
            <w:shd w:val="clear" w:color="000000" w:fill="FFFFFF"/>
            <w:noWrap/>
            <w:vAlign w:val="bottom"/>
            <w:hideMark/>
          </w:tcPr>
          <w:p w14:paraId="319C0828" w14:textId="77777777" w:rsidR="00F770FF" w:rsidRPr="003C18B5" w:rsidRDefault="00F770FF" w:rsidP="009704E4">
            <w:pPr>
              <w:spacing w:after="0" w:line="240" w:lineRule="auto"/>
              <w:jc w:val="center"/>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6.73</w:t>
            </w:r>
          </w:p>
        </w:tc>
      </w:tr>
      <w:tr w:rsidR="00F770FF" w:rsidRPr="003C18B5" w14:paraId="1566696D" w14:textId="77777777" w:rsidTr="009704E4">
        <w:trPr>
          <w:trHeight w:val="276"/>
        </w:trPr>
        <w:tc>
          <w:tcPr>
            <w:tcW w:w="986" w:type="pct"/>
            <w:gridSpan w:val="2"/>
            <w:tcBorders>
              <w:top w:val="nil"/>
              <w:left w:val="nil"/>
              <w:bottom w:val="nil"/>
              <w:right w:val="nil"/>
            </w:tcBorders>
            <w:shd w:val="clear" w:color="000000" w:fill="FFFFFF"/>
            <w:noWrap/>
            <w:vAlign w:val="bottom"/>
            <w:hideMark/>
          </w:tcPr>
          <w:p w14:paraId="5ABE4A90" w14:textId="77777777" w:rsidR="00F770FF" w:rsidRPr="003C18B5" w:rsidRDefault="00F770FF" w:rsidP="009704E4">
            <w:pPr>
              <w:spacing w:after="0" w:line="240" w:lineRule="auto"/>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Slow vs. Fast</w:t>
            </w:r>
          </w:p>
        </w:tc>
        <w:tc>
          <w:tcPr>
            <w:tcW w:w="832" w:type="pct"/>
            <w:tcBorders>
              <w:top w:val="nil"/>
              <w:left w:val="nil"/>
              <w:bottom w:val="nil"/>
              <w:right w:val="nil"/>
            </w:tcBorders>
            <w:shd w:val="clear" w:color="000000" w:fill="FFFFFF"/>
            <w:noWrap/>
            <w:vAlign w:val="bottom"/>
            <w:hideMark/>
          </w:tcPr>
          <w:p w14:paraId="513F4F67"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120</w:t>
            </w:r>
          </w:p>
        </w:tc>
        <w:tc>
          <w:tcPr>
            <w:tcW w:w="148" w:type="pct"/>
            <w:tcBorders>
              <w:top w:val="nil"/>
              <w:left w:val="nil"/>
              <w:bottom w:val="nil"/>
              <w:right w:val="nil"/>
            </w:tcBorders>
            <w:shd w:val="clear" w:color="000000" w:fill="FFFFFF"/>
            <w:noWrap/>
            <w:vAlign w:val="bottom"/>
            <w:hideMark/>
          </w:tcPr>
          <w:p w14:paraId="04D5FB23" w14:textId="77777777" w:rsidR="00F770FF" w:rsidRPr="003C18B5" w:rsidRDefault="00F770FF" w:rsidP="009704E4">
            <w:pPr>
              <w:spacing w:after="0" w:line="240" w:lineRule="auto"/>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 </w:t>
            </w:r>
          </w:p>
        </w:tc>
        <w:tc>
          <w:tcPr>
            <w:tcW w:w="418" w:type="pct"/>
            <w:tcBorders>
              <w:top w:val="nil"/>
              <w:left w:val="nil"/>
              <w:bottom w:val="nil"/>
              <w:right w:val="nil"/>
            </w:tcBorders>
            <w:shd w:val="clear" w:color="000000" w:fill="FFFFFF"/>
            <w:noWrap/>
            <w:vAlign w:val="bottom"/>
            <w:hideMark/>
          </w:tcPr>
          <w:p w14:paraId="20102397"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4.8</w:t>
            </w:r>
          </w:p>
        </w:tc>
        <w:tc>
          <w:tcPr>
            <w:tcW w:w="364" w:type="pct"/>
            <w:tcBorders>
              <w:top w:val="nil"/>
              <w:left w:val="nil"/>
              <w:bottom w:val="nil"/>
              <w:right w:val="nil"/>
            </w:tcBorders>
            <w:shd w:val="clear" w:color="000000" w:fill="FFFFFF"/>
            <w:noWrap/>
            <w:vAlign w:val="bottom"/>
            <w:hideMark/>
          </w:tcPr>
          <w:p w14:paraId="26322256"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2.35</w:t>
            </w:r>
          </w:p>
        </w:tc>
        <w:tc>
          <w:tcPr>
            <w:tcW w:w="148" w:type="pct"/>
            <w:tcBorders>
              <w:top w:val="nil"/>
              <w:left w:val="nil"/>
              <w:bottom w:val="nil"/>
              <w:right w:val="nil"/>
            </w:tcBorders>
            <w:shd w:val="clear" w:color="000000" w:fill="FFFFFF"/>
            <w:noWrap/>
            <w:vAlign w:val="bottom"/>
            <w:hideMark/>
          </w:tcPr>
          <w:p w14:paraId="6C5C05D8"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 </w:t>
            </w:r>
          </w:p>
        </w:tc>
        <w:tc>
          <w:tcPr>
            <w:tcW w:w="729" w:type="pct"/>
            <w:tcBorders>
              <w:top w:val="nil"/>
              <w:left w:val="nil"/>
              <w:bottom w:val="nil"/>
              <w:right w:val="nil"/>
            </w:tcBorders>
            <w:shd w:val="clear" w:color="000000" w:fill="FFFFFF"/>
            <w:noWrap/>
            <w:vAlign w:val="bottom"/>
            <w:hideMark/>
          </w:tcPr>
          <w:p w14:paraId="2159300C"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5.0</w:t>
            </w:r>
          </w:p>
        </w:tc>
        <w:tc>
          <w:tcPr>
            <w:tcW w:w="364" w:type="pct"/>
            <w:tcBorders>
              <w:top w:val="nil"/>
              <w:left w:val="nil"/>
              <w:bottom w:val="nil"/>
              <w:right w:val="nil"/>
            </w:tcBorders>
            <w:shd w:val="clear" w:color="000000" w:fill="FFFFFF"/>
            <w:noWrap/>
            <w:vAlign w:val="bottom"/>
            <w:hideMark/>
          </w:tcPr>
          <w:p w14:paraId="75950A82"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2.42</w:t>
            </w:r>
          </w:p>
        </w:tc>
        <w:tc>
          <w:tcPr>
            <w:tcW w:w="148" w:type="pct"/>
            <w:tcBorders>
              <w:top w:val="nil"/>
              <w:left w:val="nil"/>
              <w:bottom w:val="nil"/>
              <w:right w:val="nil"/>
            </w:tcBorders>
            <w:shd w:val="clear" w:color="000000" w:fill="FFFFFF"/>
            <w:noWrap/>
            <w:vAlign w:val="bottom"/>
            <w:hideMark/>
          </w:tcPr>
          <w:p w14:paraId="71C1085F"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 </w:t>
            </w:r>
          </w:p>
        </w:tc>
        <w:tc>
          <w:tcPr>
            <w:tcW w:w="597" w:type="pct"/>
            <w:tcBorders>
              <w:top w:val="nil"/>
              <w:left w:val="nil"/>
              <w:bottom w:val="nil"/>
              <w:right w:val="nil"/>
            </w:tcBorders>
            <w:shd w:val="clear" w:color="000000" w:fill="FFFFFF"/>
            <w:noWrap/>
            <w:vAlign w:val="bottom"/>
            <w:hideMark/>
          </w:tcPr>
          <w:p w14:paraId="156B1B20"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4.6</w:t>
            </w:r>
          </w:p>
        </w:tc>
        <w:tc>
          <w:tcPr>
            <w:tcW w:w="266" w:type="pct"/>
            <w:tcBorders>
              <w:top w:val="nil"/>
              <w:left w:val="nil"/>
              <w:bottom w:val="nil"/>
              <w:right w:val="nil"/>
            </w:tcBorders>
            <w:shd w:val="clear" w:color="000000" w:fill="FFFFFF"/>
            <w:noWrap/>
            <w:vAlign w:val="bottom"/>
            <w:hideMark/>
          </w:tcPr>
          <w:p w14:paraId="48FC62C8" w14:textId="77777777" w:rsidR="00F770FF" w:rsidRPr="003C18B5" w:rsidRDefault="00F770FF" w:rsidP="009704E4">
            <w:pPr>
              <w:spacing w:after="0" w:line="240" w:lineRule="auto"/>
              <w:jc w:val="center"/>
              <w:rPr>
                <w:rFonts w:ascii="Century Schoolbook" w:eastAsia="Times New Roman" w:hAnsi="Century Schoolbook" w:cs="Times New Roman"/>
                <w:b/>
                <w:bCs/>
                <w:color w:val="000000"/>
                <w:sz w:val="18"/>
                <w:szCs w:val="18"/>
              </w:rPr>
            </w:pPr>
            <w:r w:rsidRPr="003C18B5">
              <w:rPr>
                <w:rFonts w:ascii="Century Schoolbook" w:eastAsia="Times New Roman" w:hAnsi="Century Schoolbook" w:cs="Times New Roman"/>
                <w:b/>
                <w:bCs/>
                <w:color w:val="000000"/>
                <w:sz w:val="18"/>
                <w:szCs w:val="18"/>
              </w:rPr>
              <w:t>2.36</w:t>
            </w:r>
          </w:p>
        </w:tc>
      </w:tr>
      <w:tr w:rsidR="00F770FF" w:rsidRPr="003C18B5" w14:paraId="473209E2" w14:textId="77777777" w:rsidTr="009704E4">
        <w:trPr>
          <w:trHeight w:val="68"/>
        </w:trPr>
        <w:tc>
          <w:tcPr>
            <w:tcW w:w="834" w:type="pct"/>
            <w:tcBorders>
              <w:top w:val="nil"/>
              <w:left w:val="nil"/>
              <w:bottom w:val="double" w:sz="6" w:space="0" w:color="auto"/>
              <w:right w:val="nil"/>
            </w:tcBorders>
            <w:shd w:val="clear" w:color="auto" w:fill="auto"/>
            <w:noWrap/>
            <w:hideMark/>
          </w:tcPr>
          <w:p w14:paraId="14E73B1D" w14:textId="77777777" w:rsidR="00F770FF" w:rsidRPr="003C18B5" w:rsidRDefault="00F770FF" w:rsidP="009704E4">
            <w:pPr>
              <w:spacing w:after="0" w:line="240" w:lineRule="auto"/>
              <w:rPr>
                <w:rFonts w:ascii="Century Schoolbook" w:eastAsia="Times New Roman" w:hAnsi="Century Schoolbook" w:cs="Times New Roman"/>
                <w:color w:val="000000"/>
                <w:sz w:val="18"/>
                <w:szCs w:val="18"/>
              </w:rPr>
            </w:pPr>
            <w:r w:rsidRPr="003C18B5">
              <w:rPr>
                <w:rFonts w:ascii="Century Schoolbook" w:eastAsia="Times New Roman" w:hAnsi="Century Schoolbook" w:cs="Times New Roman"/>
                <w:color w:val="000000"/>
                <w:sz w:val="18"/>
                <w:szCs w:val="18"/>
              </w:rPr>
              <w:t> </w:t>
            </w:r>
          </w:p>
        </w:tc>
        <w:tc>
          <w:tcPr>
            <w:tcW w:w="152" w:type="pct"/>
            <w:tcBorders>
              <w:top w:val="nil"/>
              <w:left w:val="nil"/>
              <w:bottom w:val="double" w:sz="6" w:space="0" w:color="auto"/>
              <w:right w:val="nil"/>
            </w:tcBorders>
            <w:shd w:val="clear" w:color="auto" w:fill="auto"/>
            <w:noWrap/>
            <w:vAlign w:val="bottom"/>
            <w:hideMark/>
          </w:tcPr>
          <w:p w14:paraId="05D38A13"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832" w:type="pct"/>
            <w:tcBorders>
              <w:top w:val="nil"/>
              <w:left w:val="nil"/>
              <w:bottom w:val="double" w:sz="6" w:space="0" w:color="auto"/>
              <w:right w:val="nil"/>
            </w:tcBorders>
            <w:shd w:val="clear" w:color="auto" w:fill="auto"/>
            <w:noWrap/>
            <w:vAlign w:val="bottom"/>
            <w:hideMark/>
          </w:tcPr>
          <w:p w14:paraId="1F64B9C5"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148" w:type="pct"/>
            <w:tcBorders>
              <w:top w:val="nil"/>
              <w:left w:val="nil"/>
              <w:bottom w:val="double" w:sz="6" w:space="0" w:color="auto"/>
              <w:right w:val="nil"/>
            </w:tcBorders>
            <w:shd w:val="clear" w:color="auto" w:fill="auto"/>
            <w:noWrap/>
            <w:vAlign w:val="bottom"/>
            <w:hideMark/>
          </w:tcPr>
          <w:p w14:paraId="76377D40"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418" w:type="pct"/>
            <w:tcBorders>
              <w:top w:val="nil"/>
              <w:left w:val="nil"/>
              <w:bottom w:val="double" w:sz="6" w:space="0" w:color="auto"/>
              <w:right w:val="nil"/>
            </w:tcBorders>
            <w:shd w:val="clear" w:color="auto" w:fill="auto"/>
            <w:noWrap/>
            <w:vAlign w:val="bottom"/>
            <w:hideMark/>
          </w:tcPr>
          <w:p w14:paraId="49CCF36A"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364" w:type="pct"/>
            <w:tcBorders>
              <w:top w:val="nil"/>
              <w:left w:val="nil"/>
              <w:bottom w:val="double" w:sz="6" w:space="0" w:color="auto"/>
              <w:right w:val="nil"/>
            </w:tcBorders>
            <w:shd w:val="clear" w:color="auto" w:fill="auto"/>
            <w:noWrap/>
            <w:vAlign w:val="bottom"/>
            <w:hideMark/>
          </w:tcPr>
          <w:p w14:paraId="56A30A64"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148" w:type="pct"/>
            <w:tcBorders>
              <w:top w:val="nil"/>
              <w:left w:val="nil"/>
              <w:bottom w:val="double" w:sz="6" w:space="0" w:color="auto"/>
              <w:right w:val="nil"/>
            </w:tcBorders>
            <w:shd w:val="clear" w:color="auto" w:fill="auto"/>
            <w:noWrap/>
            <w:vAlign w:val="bottom"/>
            <w:hideMark/>
          </w:tcPr>
          <w:p w14:paraId="47D272D9"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729" w:type="pct"/>
            <w:tcBorders>
              <w:top w:val="nil"/>
              <w:left w:val="nil"/>
              <w:bottom w:val="double" w:sz="6" w:space="0" w:color="auto"/>
              <w:right w:val="nil"/>
            </w:tcBorders>
            <w:shd w:val="clear" w:color="auto" w:fill="auto"/>
            <w:noWrap/>
            <w:vAlign w:val="bottom"/>
            <w:hideMark/>
          </w:tcPr>
          <w:p w14:paraId="6F8CC479"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364" w:type="pct"/>
            <w:tcBorders>
              <w:top w:val="nil"/>
              <w:left w:val="nil"/>
              <w:bottom w:val="double" w:sz="6" w:space="0" w:color="auto"/>
              <w:right w:val="nil"/>
            </w:tcBorders>
            <w:shd w:val="clear" w:color="auto" w:fill="auto"/>
            <w:noWrap/>
            <w:vAlign w:val="bottom"/>
            <w:hideMark/>
          </w:tcPr>
          <w:p w14:paraId="065A4767"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148" w:type="pct"/>
            <w:tcBorders>
              <w:top w:val="nil"/>
              <w:left w:val="nil"/>
              <w:bottom w:val="double" w:sz="6" w:space="0" w:color="auto"/>
              <w:right w:val="nil"/>
            </w:tcBorders>
            <w:shd w:val="clear" w:color="auto" w:fill="auto"/>
            <w:noWrap/>
            <w:vAlign w:val="bottom"/>
            <w:hideMark/>
          </w:tcPr>
          <w:p w14:paraId="5071EE31"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597" w:type="pct"/>
            <w:tcBorders>
              <w:top w:val="nil"/>
              <w:left w:val="nil"/>
              <w:bottom w:val="double" w:sz="6" w:space="0" w:color="auto"/>
              <w:right w:val="nil"/>
            </w:tcBorders>
            <w:shd w:val="clear" w:color="auto" w:fill="auto"/>
            <w:noWrap/>
            <w:vAlign w:val="bottom"/>
            <w:hideMark/>
          </w:tcPr>
          <w:p w14:paraId="3DCBBB59"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c>
          <w:tcPr>
            <w:tcW w:w="266" w:type="pct"/>
            <w:tcBorders>
              <w:top w:val="nil"/>
              <w:left w:val="nil"/>
              <w:bottom w:val="double" w:sz="6" w:space="0" w:color="auto"/>
              <w:right w:val="nil"/>
            </w:tcBorders>
            <w:shd w:val="clear" w:color="auto" w:fill="auto"/>
            <w:noWrap/>
            <w:vAlign w:val="bottom"/>
            <w:hideMark/>
          </w:tcPr>
          <w:p w14:paraId="4BDF0E3D" w14:textId="77777777" w:rsidR="00F770FF" w:rsidRPr="003C18B5" w:rsidRDefault="00F770FF" w:rsidP="009704E4">
            <w:pPr>
              <w:spacing w:after="0" w:line="240" w:lineRule="auto"/>
              <w:rPr>
                <w:rFonts w:ascii="Times New Roman" w:eastAsia="Times New Roman" w:hAnsi="Times New Roman" w:cs="Times New Roman"/>
                <w:color w:val="000000"/>
              </w:rPr>
            </w:pPr>
            <w:r w:rsidRPr="003C18B5">
              <w:rPr>
                <w:rFonts w:ascii="Times New Roman" w:eastAsia="Times New Roman" w:hAnsi="Times New Roman" w:cs="Times New Roman"/>
                <w:color w:val="000000"/>
              </w:rPr>
              <w:t> </w:t>
            </w:r>
          </w:p>
        </w:tc>
      </w:tr>
    </w:tbl>
    <w:p w14:paraId="65B20721" w14:textId="77777777" w:rsidR="00F770FF" w:rsidRDefault="00F770FF" w:rsidP="00F770FF">
      <w:pPr>
        <w:rPr>
          <w:rFonts w:ascii="Century Schoolbook" w:eastAsia="Times New Roman" w:hAnsi="Century Schoolbook" w:cs="Times New Roman"/>
          <w:b/>
          <w:sz w:val="20"/>
          <w:szCs w:val="20"/>
          <w:lang w:eastAsia="fr-FR"/>
        </w:rPr>
      </w:pPr>
      <w:r>
        <w:rPr>
          <w:rFonts w:ascii="Century Schoolbook" w:eastAsia="Times New Roman" w:hAnsi="Century Schoolbook" w:cs="Times New Roman"/>
          <w:b/>
          <w:sz w:val="20"/>
          <w:szCs w:val="20"/>
          <w:lang w:eastAsia="fr-FR"/>
        </w:rPr>
        <w:br w:type="page"/>
      </w:r>
    </w:p>
    <w:p w14:paraId="79C869A2" w14:textId="2B5BB082" w:rsidR="00F770FF" w:rsidRPr="000505B4" w:rsidRDefault="00F770FF" w:rsidP="00F770FF">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r w:rsidRPr="000505B4">
        <w:rPr>
          <w:rFonts w:ascii="Century Schoolbook" w:eastAsia="Times New Roman" w:hAnsi="Century Schoolbook" w:cs="Times New Roman"/>
          <w:b/>
          <w:sz w:val="20"/>
          <w:szCs w:val="20"/>
          <w:lang w:eastAsia="fr-FR"/>
        </w:rPr>
        <w:lastRenderedPageBreak/>
        <w:t xml:space="preserve">Table </w:t>
      </w:r>
      <w:r w:rsidR="00B773EE">
        <w:rPr>
          <w:rFonts w:ascii="Century Schoolbook" w:eastAsia="Times New Roman" w:hAnsi="Century Schoolbook" w:cs="Times New Roman"/>
          <w:b/>
          <w:sz w:val="20"/>
          <w:szCs w:val="20"/>
          <w:lang w:eastAsia="fr-FR"/>
        </w:rPr>
        <w:t>7</w:t>
      </w:r>
    </w:p>
    <w:p w14:paraId="1889543B" w14:textId="77777777" w:rsidR="00F770FF" w:rsidRDefault="00F770FF" w:rsidP="00F770FF">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r w:rsidRPr="000505B4">
        <w:rPr>
          <w:rFonts w:ascii="Century Schoolbook" w:eastAsia="Times New Roman" w:hAnsi="Century Schoolbook" w:cs="Times New Roman"/>
          <w:b/>
          <w:i/>
          <w:sz w:val="20"/>
          <w:szCs w:val="20"/>
          <w:lang w:eastAsia="fr-FR"/>
        </w:rPr>
        <w:t>Analyst Reaction to News</w:t>
      </w:r>
    </w:p>
    <w:p w14:paraId="67710FF5" w14:textId="77777777" w:rsidR="00F770FF" w:rsidRPr="00AD785D" w:rsidRDefault="00F770FF" w:rsidP="00F770FF">
      <w:pPr>
        <w:autoSpaceDE w:val="0"/>
        <w:autoSpaceDN w:val="0"/>
        <w:adjustRightInd w:val="0"/>
        <w:spacing w:after="0" w:line="240" w:lineRule="auto"/>
        <w:jc w:val="center"/>
        <w:rPr>
          <w:rFonts w:ascii="Century Schoolbook" w:eastAsia="Times New Roman" w:hAnsi="Century Schoolbook" w:cs="Times New Roman"/>
          <w:b/>
          <w:i/>
          <w:sz w:val="10"/>
          <w:szCs w:val="20"/>
          <w:lang w:eastAsia="fr-FR"/>
        </w:rPr>
      </w:pPr>
    </w:p>
    <w:p w14:paraId="777E1081" w14:textId="16A560E2" w:rsidR="00F770FF" w:rsidRDefault="00F770FF" w:rsidP="00F770FF">
      <w:pPr>
        <w:autoSpaceDE w:val="0"/>
        <w:autoSpaceDN w:val="0"/>
        <w:adjustRightInd w:val="0"/>
        <w:spacing w:after="0"/>
        <w:jc w:val="both"/>
        <w:rPr>
          <w:rFonts w:ascii="Century Schoolbook" w:eastAsia="Times New Roman" w:hAnsi="Century Schoolbook" w:cs="Times New Roman"/>
          <w:sz w:val="21"/>
          <w:szCs w:val="21"/>
          <w:lang w:eastAsia="fr-FR"/>
        </w:rPr>
      </w:pPr>
      <w:r w:rsidRPr="00F24E35">
        <w:rPr>
          <w:rFonts w:ascii="Century Schoolbook" w:eastAsia="Times New Roman" w:hAnsi="Century Schoolbook" w:cs="Times New Roman"/>
          <w:sz w:val="21"/>
          <w:szCs w:val="21"/>
          <w:lang w:eastAsia="fr-FR"/>
        </w:rPr>
        <w:t xml:space="preserve">We report estimation results from a logistic model for the probability that a recommendation change is issued by a </w:t>
      </w:r>
      <w:r w:rsidRPr="00F24E35">
        <w:rPr>
          <w:rFonts w:ascii="Century Schoolbook" w:eastAsia="Times New Roman" w:hAnsi="Century Schoolbook" w:cs="Times New Roman"/>
          <w:i/>
          <w:sz w:val="21"/>
          <w:szCs w:val="21"/>
          <w:lang w:eastAsia="fr-FR"/>
        </w:rPr>
        <w:t>Slow</w:t>
      </w:r>
      <w:r w:rsidRPr="00F24E35">
        <w:rPr>
          <w:rFonts w:ascii="Century Schoolbook" w:eastAsia="Times New Roman" w:hAnsi="Century Schoolbook" w:cs="Times New Roman"/>
          <w:sz w:val="21"/>
          <w:szCs w:val="21"/>
          <w:lang w:eastAsia="fr-FR"/>
        </w:rPr>
        <w:t xml:space="preserve">-turnover analyst (Column (1)) or a </w:t>
      </w:r>
      <w:r w:rsidRPr="00F24E35">
        <w:rPr>
          <w:rFonts w:ascii="Century Schoolbook" w:eastAsia="Times New Roman" w:hAnsi="Century Schoolbook" w:cs="Times New Roman"/>
          <w:i/>
          <w:sz w:val="21"/>
          <w:szCs w:val="21"/>
          <w:lang w:eastAsia="fr-FR"/>
        </w:rPr>
        <w:t>Fast</w:t>
      </w:r>
      <w:r w:rsidRPr="00F24E35">
        <w:rPr>
          <w:rFonts w:ascii="Century Schoolbook" w:eastAsia="Times New Roman" w:hAnsi="Century Schoolbook" w:cs="Times New Roman"/>
          <w:sz w:val="21"/>
          <w:szCs w:val="21"/>
          <w:lang w:eastAsia="fr-FR"/>
        </w:rPr>
        <w:t>-turnover</w:t>
      </w:r>
      <w:r w:rsidRPr="00F24E35">
        <w:rPr>
          <w:rFonts w:ascii="Century Schoolbook" w:eastAsia="Times New Roman" w:hAnsi="Century Schoolbook" w:cs="Times New Roman"/>
          <w:i/>
          <w:sz w:val="21"/>
          <w:szCs w:val="21"/>
          <w:lang w:eastAsia="fr-FR"/>
        </w:rPr>
        <w:t xml:space="preserve"> </w:t>
      </w:r>
      <w:r w:rsidRPr="00F24E35">
        <w:rPr>
          <w:rFonts w:ascii="Century Schoolbook" w:eastAsia="Times New Roman" w:hAnsi="Century Schoolbook" w:cs="Times New Roman"/>
          <w:sz w:val="21"/>
          <w:szCs w:val="21"/>
          <w:lang w:eastAsia="fr-FR"/>
        </w:rPr>
        <w:t>analyst (Column (2)). The sample consists of recommendation changes by analysts across different recommendation speed-style from 2003–2013. The dependent variable is equal to 1 when the recommendation change is from a slow-turnover analyst (or fast-turnover analyst). All independent variables are indicator functions for various news type. Each independent variable</w:t>
      </w:r>
      <w:r w:rsidRPr="00F24E35">
        <w:rPr>
          <w:rFonts w:ascii="Century Schoolbook" w:eastAsia="Times New Roman" w:hAnsi="Century Schoolbook" w:cs="Times New Roman"/>
          <w:color w:val="000000"/>
          <w:sz w:val="21"/>
          <w:szCs w:val="21"/>
        </w:rPr>
        <w:t xml:space="preserve"> is equal to 1 if its corresponding news was issued </w:t>
      </w:r>
      <w:r w:rsidRPr="00F24E35">
        <w:rPr>
          <w:rFonts w:ascii="Century Schoolbook" w:eastAsia="Times New Roman" w:hAnsi="Century Schoolbook" w:cs="Times New Roman"/>
          <w:sz w:val="21"/>
          <w:szCs w:val="21"/>
          <w:lang w:eastAsia="fr-FR"/>
        </w:rPr>
        <w:t>in the [</w:t>
      </w:r>
      <w:r w:rsidRPr="00F24E35">
        <w:rPr>
          <w:rFonts w:ascii="Calibri" w:eastAsia="Times New Roman" w:hAnsi="Calibri" w:cs="Times New Roman"/>
          <w:sz w:val="21"/>
          <w:szCs w:val="21"/>
          <w:lang w:eastAsia="fr-FR"/>
        </w:rPr>
        <w:t>−</w:t>
      </w:r>
      <w:r w:rsidRPr="00F24E35">
        <w:rPr>
          <w:rFonts w:ascii="Century Schoolbook" w:eastAsia="Times New Roman" w:hAnsi="Century Schoolbook" w:cs="Times New Roman"/>
          <w:sz w:val="21"/>
          <w:szCs w:val="21"/>
          <w:lang w:eastAsia="fr-FR"/>
        </w:rPr>
        <w:t xml:space="preserve">15, 0] calendar-day window before the recommendation change, and 0 otherwise. We consider 9 different types of news leading to a recommendation change: </w:t>
      </w:r>
      <w:r w:rsidRPr="00F24E35">
        <w:rPr>
          <w:rFonts w:ascii="Century Schoolbook" w:eastAsia="Times New Roman" w:hAnsi="Century Schoolbook" w:cs="Times New Roman"/>
          <w:i/>
          <w:sz w:val="21"/>
          <w:szCs w:val="21"/>
          <w:lang w:eastAsia="fr-FR"/>
        </w:rPr>
        <w:t>Earnings announcement</w:t>
      </w:r>
      <w:r w:rsidRPr="00F24E35">
        <w:rPr>
          <w:rFonts w:ascii="Century Schoolbook" w:eastAsia="Times New Roman" w:hAnsi="Century Schoolbook" w:cs="Times New Roman"/>
          <w:sz w:val="21"/>
          <w:szCs w:val="21"/>
          <w:lang w:eastAsia="fr-FR"/>
        </w:rPr>
        <w:t xml:space="preserve">; </w:t>
      </w:r>
      <w:r w:rsidRPr="00F24E35">
        <w:rPr>
          <w:rFonts w:ascii="Century Schoolbook" w:eastAsia="Times New Roman" w:hAnsi="Century Schoolbook" w:cs="Times New Roman"/>
          <w:i/>
          <w:color w:val="000000"/>
          <w:sz w:val="21"/>
          <w:szCs w:val="21"/>
        </w:rPr>
        <w:t>Product market &amp; Operation</w:t>
      </w:r>
      <w:r w:rsidRPr="00F24E35">
        <w:rPr>
          <w:rFonts w:ascii="Century Schoolbook" w:eastAsia="Times New Roman" w:hAnsi="Century Schoolbook" w:cs="Times New Roman"/>
          <w:color w:val="000000"/>
          <w:sz w:val="21"/>
          <w:szCs w:val="21"/>
        </w:rPr>
        <w:t xml:space="preserve">; </w:t>
      </w:r>
      <w:r w:rsidR="00C9244E" w:rsidRPr="00F24E35">
        <w:rPr>
          <w:rFonts w:ascii="Century Schoolbook" w:eastAsia="Times New Roman" w:hAnsi="Century Schoolbook" w:cs="Times New Roman"/>
          <w:i/>
          <w:color w:val="000000"/>
          <w:sz w:val="21"/>
          <w:szCs w:val="21"/>
        </w:rPr>
        <w:t>Management forecasts</w:t>
      </w:r>
      <w:r w:rsidRPr="00F24E35">
        <w:rPr>
          <w:rFonts w:ascii="Century Schoolbook" w:eastAsia="Times New Roman" w:hAnsi="Century Schoolbook" w:cs="Times New Roman"/>
          <w:color w:val="000000"/>
          <w:sz w:val="21"/>
          <w:szCs w:val="21"/>
        </w:rPr>
        <w:t xml:space="preserve">; </w:t>
      </w:r>
      <w:r w:rsidRPr="00F24E35">
        <w:rPr>
          <w:rFonts w:ascii="Century Schoolbook" w:eastAsia="Times New Roman" w:hAnsi="Century Schoolbook" w:cs="Times New Roman"/>
          <w:i/>
          <w:color w:val="000000"/>
          <w:sz w:val="21"/>
          <w:szCs w:val="21"/>
        </w:rPr>
        <w:t>M&amp;A</w:t>
      </w:r>
      <w:r w:rsidRPr="00F24E35">
        <w:rPr>
          <w:rFonts w:ascii="Century Schoolbook" w:eastAsia="Times New Roman" w:hAnsi="Century Schoolbook" w:cs="Times New Roman"/>
          <w:color w:val="000000"/>
          <w:sz w:val="21"/>
          <w:szCs w:val="21"/>
        </w:rPr>
        <w:t xml:space="preserve">; </w:t>
      </w:r>
      <w:r w:rsidRPr="00F24E35">
        <w:rPr>
          <w:rFonts w:ascii="Century Schoolbook" w:eastAsia="Times New Roman" w:hAnsi="Century Schoolbook" w:cs="Times New Roman"/>
          <w:i/>
          <w:color w:val="000000"/>
          <w:sz w:val="21"/>
          <w:szCs w:val="21"/>
        </w:rPr>
        <w:t>Payout policy</w:t>
      </w:r>
      <w:r w:rsidRPr="00F24E35">
        <w:rPr>
          <w:rFonts w:ascii="Century Schoolbook" w:eastAsia="Times New Roman" w:hAnsi="Century Schoolbook" w:cs="Times New Roman"/>
          <w:color w:val="000000"/>
          <w:sz w:val="21"/>
          <w:szCs w:val="21"/>
        </w:rPr>
        <w:t xml:space="preserve">; </w:t>
      </w:r>
      <w:r w:rsidRPr="00F24E35">
        <w:rPr>
          <w:rFonts w:ascii="Century Schoolbook" w:eastAsia="Times New Roman" w:hAnsi="Century Schoolbook" w:cs="Times New Roman"/>
          <w:i/>
          <w:color w:val="000000"/>
          <w:sz w:val="21"/>
          <w:szCs w:val="21"/>
        </w:rPr>
        <w:t>Securities issuance</w:t>
      </w:r>
      <w:r w:rsidRPr="00F24E35">
        <w:rPr>
          <w:rFonts w:ascii="Century Schoolbook" w:eastAsia="Times New Roman" w:hAnsi="Century Schoolbook" w:cs="Times New Roman"/>
          <w:color w:val="000000"/>
          <w:sz w:val="21"/>
          <w:szCs w:val="21"/>
        </w:rPr>
        <w:t xml:space="preserve">; </w:t>
      </w:r>
      <w:r w:rsidRPr="00F24E35">
        <w:rPr>
          <w:rFonts w:ascii="Century Schoolbook" w:eastAsia="Times New Roman" w:hAnsi="Century Schoolbook" w:cs="Times New Roman"/>
          <w:i/>
          <w:color w:val="000000"/>
          <w:sz w:val="21"/>
          <w:szCs w:val="21"/>
        </w:rPr>
        <w:t>Legal issues</w:t>
      </w:r>
      <w:r w:rsidRPr="00F24E35">
        <w:rPr>
          <w:rFonts w:ascii="Century Schoolbook" w:eastAsia="Times New Roman" w:hAnsi="Century Schoolbook" w:cs="Times New Roman"/>
          <w:color w:val="000000"/>
          <w:sz w:val="21"/>
          <w:szCs w:val="21"/>
        </w:rPr>
        <w:t xml:space="preserve">; </w:t>
      </w:r>
      <w:r w:rsidRPr="00F24E35">
        <w:rPr>
          <w:rFonts w:ascii="Century Schoolbook" w:eastAsia="Times New Roman" w:hAnsi="Century Schoolbook" w:cs="Times New Roman"/>
          <w:i/>
          <w:color w:val="000000"/>
          <w:sz w:val="21"/>
          <w:szCs w:val="21"/>
        </w:rPr>
        <w:t>Security trading</w:t>
      </w:r>
      <w:r w:rsidRPr="00F24E35">
        <w:rPr>
          <w:rFonts w:ascii="Century Schoolbook" w:eastAsia="Times New Roman" w:hAnsi="Century Schoolbook" w:cs="Times New Roman"/>
          <w:color w:val="000000"/>
          <w:sz w:val="21"/>
          <w:szCs w:val="21"/>
        </w:rPr>
        <w:t xml:space="preserve">; </w:t>
      </w:r>
      <w:r w:rsidRPr="00F24E35">
        <w:rPr>
          <w:rFonts w:ascii="Century Schoolbook" w:eastAsia="Times New Roman" w:hAnsi="Century Schoolbook" w:cs="Times New Roman"/>
          <w:i/>
          <w:color w:val="000000"/>
          <w:sz w:val="21"/>
          <w:szCs w:val="21"/>
        </w:rPr>
        <w:t>Executive turnover</w:t>
      </w:r>
      <w:r w:rsidRPr="00F24E35">
        <w:rPr>
          <w:rFonts w:ascii="Century Schoolbook" w:eastAsia="Times New Roman" w:hAnsi="Century Schoolbook" w:cs="Times New Roman"/>
          <w:color w:val="000000"/>
          <w:sz w:val="21"/>
          <w:szCs w:val="21"/>
        </w:rPr>
        <w:t xml:space="preserve">. Earnings announcements and earnings guidance are from the I/B/E/S actual and guidance files, respectively. All other news </w:t>
      </w:r>
      <w:r w:rsidR="004E33BA" w:rsidRPr="00F24E35">
        <w:rPr>
          <w:rFonts w:ascii="Century Schoolbook" w:eastAsia="Times New Roman" w:hAnsi="Century Schoolbook" w:cs="Times New Roman"/>
          <w:color w:val="000000"/>
          <w:sz w:val="21"/>
          <w:szCs w:val="21"/>
        </w:rPr>
        <w:t xml:space="preserve">events </w:t>
      </w:r>
      <w:r w:rsidRPr="00F24E35">
        <w:rPr>
          <w:rFonts w:ascii="Century Schoolbook" w:eastAsia="Times New Roman" w:hAnsi="Century Schoolbook" w:cs="Times New Roman"/>
          <w:color w:val="000000"/>
          <w:sz w:val="21"/>
          <w:szCs w:val="21"/>
        </w:rPr>
        <w:t xml:space="preserve">are from the Capital IQ “key development” dataset. See Appendix Table </w:t>
      </w:r>
      <w:r w:rsidR="00A41E04" w:rsidRPr="00F24E35">
        <w:rPr>
          <w:rFonts w:ascii="Century Schoolbook" w:eastAsia="Times New Roman" w:hAnsi="Century Schoolbook" w:cs="Times New Roman"/>
          <w:color w:val="000000"/>
          <w:sz w:val="21"/>
          <w:szCs w:val="21"/>
        </w:rPr>
        <w:t xml:space="preserve">A3 </w:t>
      </w:r>
      <w:r w:rsidRPr="00F24E35">
        <w:rPr>
          <w:rFonts w:ascii="Century Schoolbook" w:eastAsia="Times New Roman" w:hAnsi="Century Schoolbook" w:cs="Times New Roman"/>
          <w:color w:val="000000"/>
          <w:sz w:val="21"/>
          <w:szCs w:val="21"/>
        </w:rPr>
        <w:t xml:space="preserve">for a definition of news from Capital IQ. </w:t>
      </w:r>
      <w:r w:rsidRPr="00F24E35">
        <w:rPr>
          <w:rFonts w:ascii="Century Schoolbook" w:eastAsia="Times New Roman" w:hAnsi="Century Schoolbook" w:cs="Times New Roman"/>
          <w:sz w:val="21"/>
          <w:szCs w:val="21"/>
          <w:lang w:eastAsia="fr-FR"/>
        </w:rPr>
        <w:t xml:space="preserve">Industry and year-fixed effects are included in the estimation. Robust standard error clustered at the firm level is reported in parenthesis below each estimate.  </w:t>
      </w:r>
      <w:r w:rsidRPr="00F24E35">
        <w:rPr>
          <w:rFonts w:ascii="Cambria Math" w:eastAsia="Times New Roman" w:hAnsi="Cambria Math" w:cs="Cambria Math"/>
          <w:sz w:val="21"/>
          <w:szCs w:val="21"/>
          <w:lang w:eastAsia="fr-FR"/>
        </w:rPr>
        <w:t>∗</w:t>
      </w:r>
      <w:r w:rsidRPr="00F24E35">
        <w:rPr>
          <w:rFonts w:ascii="Century Schoolbook" w:eastAsia="Times New Roman" w:hAnsi="Century Schoolbook" w:cs="Times New Roman"/>
          <w:sz w:val="21"/>
          <w:szCs w:val="21"/>
          <w:lang w:eastAsia="fr-FR"/>
        </w:rPr>
        <w:t xml:space="preserve">, </w:t>
      </w:r>
      <w:r w:rsidRPr="00F24E35">
        <w:rPr>
          <w:rFonts w:ascii="Cambria Math" w:eastAsia="Times New Roman" w:hAnsi="Cambria Math" w:cs="Cambria Math"/>
          <w:sz w:val="21"/>
          <w:szCs w:val="21"/>
          <w:lang w:eastAsia="fr-FR"/>
        </w:rPr>
        <w:t>∗∗</w:t>
      </w:r>
      <w:r w:rsidRPr="00F24E35">
        <w:rPr>
          <w:rFonts w:ascii="Century Schoolbook" w:eastAsia="Times New Roman" w:hAnsi="Century Schoolbook" w:cs="Times New Roman"/>
          <w:sz w:val="21"/>
          <w:szCs w:val="21"/>
          <w:lang w:eastAsia="fr-FR"/>
        </w:rPr>
        <w:t xml:space="preserve">, </w:t>
      </w:r>
      <w:r w:rsidRPr="00F24E35">
        <w:rPr>
          <w:rFonts w:ascii="Cambria Math" w:eastAsia="Times New Roman" w:hAnsi="Cambria Math" w:cs="Cambria Math"/>
          <w:sz w:val="21"/>
          <w:szCs w:val="21"/>
          <w:lang w:eastAsia="fr-FR"/>
        </w:rPr>
        <w:t>∗∗∗</w:t>
      </w:r>
      <w:r w:rsidRPr="00F24E35">
        <w:rPr>
          <w:rFonts w:ascii="Century Schoolbook" w:eastAsia="Times New Roman" w:hAnsi="Century Schoolbook" w:cs="Times New Roman"/>
          <w:sz w:val="21"/>
          <w:szCs w:val="21"/>
          <w:lang w:eastAsia="fr-FR"/>
        </w:rPr>
        <w:t xml:space="preserve"> indicate significance at the 10%, 5%, and 1% level, respectively.</w:t>
      </w:r>
    </w:p>
    <w:p w14:paraId="61827193" w14:textId="77777777" w:rsidR="00AD785D" w:rsidRPr="00F24E35" w:rsidRDefault="00AD785D" w:rsidP="00F770FF">
      <w:pPr>
        <w:autoSpaceDE w:val="0"/>
        <w:autoSpaceDN w:val="0"/>
        <w:adjustRightInd w:val="0"/>
        <w:spacing w:after="0"/>
        <w:jc w:val="both"/>
        <w:rPr>
          <w:rFonts w:ascii="Century Schoolbook" w:eastAsia="Times New Roman" w:hAnsi="Century Schoolbook" w:cs="Times New Roman"/>
          <w:sz w:val="21"/>
          <w:szCs w:val="21"/>
          <w:lang w:eastAsia="fr-FR"/>
        </w:rPr>
      </w:pPr>
    </w:p>
    <w:tbl>
      <w:tblPr>
        <w:tblW w:w="5000" w:type="pct"/>
        <w:tblLook w:val="04A0" w:firstRow="1" w:lastRow="0" w:firstColumn="1" w:lastColumn="0" w:noHBand="0" w:noVBand="1"/>
      </w:tblPr>
      <w:tblGrid>
        <w:gridCol w:w="3544"/>
        <w:gridCol w:w="2937"/>
        <w:gridCol w:w="2937"/>
      </w:tblGrid>
      <w:tr w:rsidR="00F770FF" w:rsidRPr="00644718" w14:paraId="5735F14B" w14:textId="77777777" w:rsidTr="009704E4">
        <w:trPr>
          <w:trHeight w:val="288"/>
        </w:trPr>
        <w:tc>
          <w:tcPr>
            <w:tcW w:w="1882" w:type="pct"/>
            <w:vMerge w:val="restart"/>
            <w:tcBorders>
              <w:top w:val="single" w:sz="4" w:space="0" w:color="auto"/>
              <w:left w:val="nil"/>
              <w:bottom w:val="single" w:sz="4" w:space="0" w:color="000000"/>
              <w:right w:val="nil"/>
            </w:tcBorders>
            <w:shd w:val="clear" w:color="auto" w:fill="auto"/>
            <w:vAlign w:val="center"/>
            <w:hideMark/>
          </w:tcPr>
          <w:p w14:paraId="133FF111"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 xml:space="preserve">News leading recommendation </w:t>
            </w:r>
          </w:p>
        </w:tc>
        <w:tc>
          <w:tcPr>
            <w:tcW w:w="3118" w:type="pct"/>
            <w:gridSpan w:val="2"/>
            <w:tcBorders>
              <w:top w:val="single" w:sz="4" w:space="0" w:color="auto"/>
              <w:left w:val="nil"/>
              <w:bottom w:val="single" w:sz="4" w:space="0" w:color="auto"/>
              <w:right w:val="nil"/>
            </w:tcBorders>
            <w:shd w:val="clear" w:color="auto" w:fill="auto"/>
            <w:vAlign w:val="center"/>
            <w:hideMark/>
          </w:tcPr>
          <w:p w14:paraId="170FE0F6"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Probability that the recommendation change is from:</w:t>
            </w:r>
          </w:p>
        </w:tc>
      </w:tr>
      <w:tr w:rsidR="00F770FF" w:rsidRPr="00644718" w14:paraId="7609E341" w14:textId="77777777" w:rsidTr="009704E4">
        <w:trPr>
          <w:trHeight w:val="288"/>
        </w:trPr>
        <w:tc>
          <w:tcPr>
            <w:tcW w:w="1882" w:type="pct"/>
            <w:vMerge/>
            <w:tcBorders>
              <w:top w:val="single" w:sz="4" w:space="0" w:color="auto"/>
              <w:left w:val="nil"/>
              <w:bottom w:val="single" w:sz="4" w:space="0" w:color="000000"/>
              <w:right w:val="nil"/>
            </w:tcBorders>
            <w:vAlign w:val="center"/>
            <w:hideMark/>
          </w:tcPr>
          <w:p w14:paraId="4B769F5D"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p>
        </w:tc>
        <w:tc>
          <w:tcPr>
            <w:tcW w:w="1559" w:type="pct"/>
            <w:tcBorders>
              <w:top w:val="nil"/>
              <w:left w:val="nil"/>
              <w:bottom w:val="single" w:sz="4" w:space="0" w:color="auto"/>
              <w:right w:val="nil"/>
            </w:tcBorders>
            <w:shd w:val="clear" w:color="auto" w:fill="auto"/>
            <w:vAlign w:val="center"/>
            <w:hideMark/>
          </w:tcPr>
          <w:p w14:paraId="20CC99D0"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Slow-turnover analyst</w:t>
            </w:r>
          </w:p>
        </w:tc>
        <w:tc>
          <w:tcPr>
            <w:tcW w:w="1559" w:type="pct"/>
            <w:tcBorders>
              <w:top w:val="nil"/>
              <w:left w:val="nil"/>
              <w:bottom w:val="single" w:sz="4" w:space="0" w:color="auto"/>
              <w:right w:val="nil"/>
            </w:tcBorders>
            <w:shd w:val="clear" w:color="auto" w:fill="auto"/>
            <w:vAlign w:val="center"/>
            <w:hideMark/>
          </w:tcPr>
          <w:p w14:paraId="64359109"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Fast-turnover analyst</w:t>
            </w:r>
          </w:p>
        </w:tc>
      </w:tr>
      <w:tr w:rsidR="00F770FF" w:rsidRPr="00644718" w14:paraId="3F75BEED" w14:textId="77777777" w:rsidTr="009704E4">
        <w:trPr>
          <w:trHeight w:val="288"/>
        </w:trPr>
        <w:tc>
          <w:tcPr>
            <w:tcW w:w="1882" w:type="pct"/>
            <w:vMerge/>
            <w:tcBorders>
              <w:top w:val="single" w:sz="4" w:space="0" w:color="auto"/>
              <w:left w:val="nil"/>
              <w:bottom w:val="single" w:sz="4" w:space="0" w:color="000000"/>
              <w:right w:val="nil"/>
            </w:tcBorders>
            <w:vAlign w:val="center"/>
            <w:hideMark/>
          </w:tcPr>
          <w:p w14:paraId="74601E69"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p>
        </w:tc>
        <w:tc>
          <w:tcPr>
            <w:tcW w:w="1559" w:type="pct"/>
            <w:tcBorders>
              <w:top w:val="nil"/>
              <w:left w:val="nil"/>
              <w:bottom w:val="single" w:sz="4" w:space="0" w:color="auto"/>
              <w:right w:val="nil"/>
            </w:tcBorders>
            <w:shd w:val="clear" w:color="auto" w:fill="auto"/>
            <w:noWrap/>
            <w:vAlign w:val="bottom"/>
            <w:hideMark/>
          </w:tcPr>
          <w:p w14:paraId="267B8E45"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(1)</w:t>
            </w:r>
          </w:p>
        </w:tc>
        <w:tc>
          <w:tcPr>
            <w:tcW w:w="1559" w:type="pct"/>
            <w:tcBorders>
              <w:top w:val="nil"/>
              <w:left w:val="nil"/>
              <w:bottom w:val="single" w:sz="4" w:space="0" w:color="auto"/>
              <w:right w:val="nil"/>
            </w:tcBorders>
            <w:shd w:val="clear" w:color="auto" w:fill="auto"/>
            <w:noWrap/>
            <w:vAlign w:val="bottom"/>
            <w:hideMark/>
          </w:tcPr>
          <w:p w14:paraId="6D0DA4BC"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(2)</w:t>
            </w:r>
          </w:p>
        </w:tc>
      </w:tr>
      <w:tr w:rsidR="00F770FF" w:rsidRPr="00644718" w14:paraId="1B50ECDB" w14:textId="77777777" w:rsidTr="009704E4">
        <w:trPr>
          <w:trHeight w:val="288"/>
        </w:trPr>
        <w:tc>
          <w:tcPr>
            <w:tcW w:w="1882" w:type="pct"/>
            <w:tcBorders>
              <w:top w:val="nil"/>
              <w:left w:val="nil"/>
              <w:bottom w:val="nil"/>
              <w:right w:val="nil"/>
            </w:tcBorders>
            <w:shd w:val="clear" w:color="auto" w:fill="auto"/>
            <w:noWrap/>
            <w:vAlign w:val="bottom"/>
            <w:hideMark/>
          </w:tcPr>
          <w:p w14:paraId="232A630A"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Earnings announcement</w:t>
            </w:r>
          </w:p>
        </w:tc>
        <w:tc>
          <w:tcPr>
            <w:tcW w:w="1559" w:type="pct"/>
            <w:tcBorders>
              <w:top w:val="nil"/>
              <w:left w:val="nil"/>
              <w:bottom w:val="nil"/>
              <w:right w:val="nil"/>
            </w:tcBorders>
            <w:shd w:val="clear" w:color="auto" w:fill="auto"/>
            <w:noWrap/>
            <w:vAlign w:val="bottom"/>
            <w:hideMark/>
          </w:tcPr>
          <w:p w14:paraId="2C26416A"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w:t>
            </w:r>
            <w:r w:rsidRPr="00644718">
              <w:rPr>
                <w:rFonts w:ascii="Century Schoolbook" w:eastAsia="Times New Roman" w:hAnsi="Century Schoolbook" w:cs="Times New Roman"/>
                <w:color w:val="000000"/>
                <w:sz w:val="20"/>
                <w:szCs w:val="20"/>
              </w:rPr>
              <w:t>0.079***</w:t>
            </w:r>
          </w:p>
        </w:tc>
        <w:tc>
          <w:tcPr>
            <w:tcW w:w="1559" w:type="pct"/>
            <w:tcBorders>
              <w:top w:val="nil"/>
              <w:left w:val="nil"/>
              <w:bottom w:val="nil"/>
              <w:right w:val="nil"/>
            </w:tcBorders>
            <w:shd w:val="clear" w:color="auto" w:fill="auto"/>
            <w:noWrap/>
            <w:vAlign w:val="bottom"/>
            <w:hideMark/>
          </w:tcPr>
          <w:p w14:paraId="52A83D9F"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0.045**</w:t>
            </w:r>
          </w:p>
        </w:tc>
      </w:tr>
      <w:tr w:rsidR="00F770FF" w:rsidRPr="00644718" w14:paraId="34855504" w14:textId="77777777" w:rsidTr="009704E4">
        <w:trPr>
          <w:trHeight w:val="288"/>
        </w:trPr>
        <w:tc>
          <w:tcPr>
            <w:tcW w:w="1882" w:type="pct"/>
            <w:tcBorders>
              <w:top w:val="nil"/>
              <w:left w:val="nil"/>
              <w:bottom w:val="nil"/>
              <w:right w:val="nil"/>
            </w:tcBorders>
            <w:shd w:val="clear" w:color="auto" w:fill="auto"/>
            <w:noWrap/>
            <w:vAlign w:val="bottom"/>
            <w:hideMark/>
          </w:tcPr>
          <w:p w14:paraId="0A9B5D36"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559" w:type="pct"/>
            <w:tcBorders>
              <w:top w:val="nil"/>
              <w:left w:val="nil"/>
              <w:bottom w:val="nil"/>
              <w:right w:val="nil"/>
            </w:tcBorders>
            <w:shd w:val="clear" w:color="auto" w:fill="auto"/>
            <w:noWrap/>
            <w:vAlign w:val="bottom"/>
            <w:hideMark/>
          </w:tcPr>
          <w:p w14:paraId="05539752"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(0.027)</w:t>
            </w:r>
          </w:p>
        </w:tc>
        <w:tc>
          <w:tcPr>
            <w:tcW w:w="1559" w:type="pct"/>
            <w:tcBorders>
              <w:top w:val="nil"/>
              <w:left w:val="nil"/>
              <w:bottom w:val="nil"/>
              <w:right w:val="nil"/>
            </w:tcBorders>
            <w:shd w:val="clear" w:color="auto" w:fill="auto"/>
            <w:noWrap/>
            <w:vAlign w:val="bottom"/>
            <w:hideMark/>
          </w:tcPr>
          <w:p w14:paraId="72E0C8D4"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(0.022)</w:t>
            </w:r>
          </w:p>
        </w:tc>
      </w:tr>
      <w:tr w:rsidR="00F770FF" w:rsidRPr="00644718" w14:paraId="564A04F9" w14:textId="77777777" w:rsidTr="009704E4">
        <w:trPr>
          <w:trHeight w:val="288"/>
        </w:trPr>
        <w:tc>
          <w:tcPr>
            <w:tcW w:w="1882" w:type="pct"/>
            <w:tcBorders>
              <w:top w:val="nil"/>
              <w:left w:val="nil"/>
              <w:bottom w:val="nil"/>
              <w:right w:val="nil"/>
            </w:tcBorders>
            <w:shd w:val="clear" w:color="auto" w:fill="auto"/>
            <w:noWrap/>
            <w:vAlign w:val="bottom"/>
            <w:hideMark/>
          </w:tcPr>
          <w:p w14:paraId="7A1B58C9"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Product market &amp; Operation</w:t>
            </w:r>
          </w:p>
        </w:tc>
        <w:tc>
          <w:tcPr>
            <w:tcW w:w="1559" w:type="pct"/>
            <w:tcBorders>
              <w:top w:val="nil"/>
              <w:left w:val="nil"/>
              <w:bottom w:val="nil"/>
              <w:right w:val="nil"/>
            </w:tcBorders>
            <w:shd w:val="clear" w:color="auto" w:fill="auto"/>
            <w:noWrap/>
            <w:vAlign w:val="bottom"/>
            <w:hideMark/>
          </w:tcPr>
          <w:p w14:paraId="062A0B2A"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0.097***</w:t>
            </w:r>
          </w:p>
        </w:tc>
        <w:tc>
          <w:tcPr>
            <w:tcW w:w="1559" w:type="pct"/>
            <w:tcBorders>
              <w:top w:val="nil"/>
              <w:left w:val="nil"/>
              <w:bottom w:val="nil"/>
              <w:right w:val="nil"/>
            </w:tcBorders>
            <w:shd w:val="clear" w:color="auto" w:fill="auto"/>
            <w:noWrap/>
            <w:vAlign w:val="bottom"/>
            <w:hideMark/>
          </w:tcPr>
          <w:p w14:paraId="15FAEC5A"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w:t>
            </w:r>
            <w:r w:rsidRPr="00644718">
              <w:rPr>
                <w:rFonts w:ascii="Century Schoolbook" w:eastAsia="Times New Roman" w:hAnsi="Century Schoolbook" w:cs="Times New Roman"/>
                <w:color w:val="000000"/>
                <w:sz w:val="20"/>
                <w:szCs w:val="20"/>
              </w:rPr>
              <w:t>0.065**</w:t>
            </w:r>
          </w:p>
        </w:tc>
      </w:tr>
      <w:tr w:rsidR="00F770FF" w:rsidRPr="00644718" w14:paraId="1E2A49C2" w14:textId="77777777" w:rsidTr="009704E4">
        <w:trPr>
          <w:trHeight w:val="288"/>
        </w:trPr>
        <w:tc>
          <w:tcPr>
            <w:tcW w:w="1882" w:type="pct"/>
            <w:tcBorders>
              <w:top w:val="nil"/>
              <w:left w:val="nil"/>
              <w:bottom w:val="nil"/>
              <w:right w:val="nil"/>
            </w:tcBorders>
            <w:shd w:val="clear" w:color="auto" w:fill="auto"/>
            <w:noWrap/>
            <w:vAlign w:val="bottom"/>
            <w:hideMark/>
          </w:tcPr>
          <w:p w14:paraId="70AD9AD9"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559" w:type="pct"/>
            <w:tcBorders>
              <w:top w:val="nil"/>
              <w:left w:val="nil"/>
              <w:bottom w:val="nil"/>
              <w:right w:val="nil"/>
            </w:tcBorders>
            <w:shd w:val="clear" w:color="auto" w:fill="auto"/>
            <w:noWrap/>
            <w:vAlign w:val="bottom"/>
            <w:hideMark/>
          </w:tcPr>
          <w:p w14:paraId="4F1A613B"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(0.025)</w:t>
            </w:r>
          </w:p>
        </w:tc>
        <w:tc>
          <w:tcPr>
            <w:tcW w:w="1559" w:type="pct"/>
            <w:tcBorders>
              <w:top w:val="nil"/>
              <w:left w:val="nil"/>
              <w:bottom w:val="nil"/>
              <w:right w:val="nil"/>
            </w:tcBorders>
            <w:shd w:val="clear" w:color="auto" w:fill="auto"/>
            <w:noWrap/>
            <w:vAlign w:val="bottom"/>
            <w:hideMark/>
          </w:tcPr>
          <w:p w14:paraId="4210EB93"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(0.033)</w:t>
            </w:r>
          </w:p>
        </w:tc>
      </w:tr>
      <w:tr w:rsidR="00F770FF" w:rsidRPr="00644718" w14:paraId="01368B2E" w14:textId="77777777" w:rsidTr="009704E4">
        <w:trPr>
          <w:trHeight w:val="288"/>
        </w:trPr>
        <w:tc>
          <w:tcPr>
            <w:tcW w:w="1882" w:type="pct"/>
            <w:tcBorders>
              <w:top w:val="nil"/>
              <w:left w:val="nil"/>
              <w:bottom w:val="nil"/>
              <w:right w:val="nil"/>
            </w:tcBorders>
            <w:shd w:val="clear" w:color="auto" w:fill="auto"/>
            <w:noWrap/>
            <w:vAlign w:val="bottom"/>
            <w:hideMark/>
          </w:tcPr>
          <w:p w14:paraId="575C6BC5" w14:textId="39643E72" w:rsidR="00F770FF" w:rsidRPr="00644718" w:rsidRDefault="00C9244E" w:rsidP="009704E4">
            <w:pPr>
              <w:spacing w:after="0" w:line="240" w:lineRule="auto"/>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Management forecasts</w:t>
            </w:r>
          </w:p>
        </w:tc>
        <w:tc>
          <w:tcPr>
            <w:tcW w:w="1559" w:type="pct"/>
            <w:tcBorders>
              <w:top w:val="nil"/>
              <w:left w:val="nil"/>
              <w:bottom w:val="nil"/>
              <w:right w:val="nil"/>
            </w:tcBorders>
            <w:shd w:val="clear" w:color="auto" w:fill="auto"/>
            <w:noWrap/>
            <w:vAlign w:val="bottom"/>
            <w:hideMark/>
          </w:tcPr>
          <w:p w14:paraId="0F9F4BAC"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0.067**</w:t>
            </w:r>
          </w:p>
        </w:tc>
        <w:tc>
          <w:tcPr>
            <w:tcW w:w="1559" w:type="pct"/>
            <w:tcBorders>
              <w:top w:val="nil"/>
              <w:left w:val="nil"/>
              <w:bottom w:val="nil"/>
              <w:right w:val="nil"/>
            </w:tcBorders>
            <w:shd w:val="clear" w:color="auto" w:fill="auto"/>
            <w:noWrap/>
            <w:vAlign w:val="bottom"/>
            <w:hideMark/>
          </w:tcPr>
          <w:p w14:paraId="6D26B68F"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w:t>
            </w:r>
            <w:r w:rsidRPr="00644718">
              <w:rPr>
                <w:rFonts w:ascii="Century Schoolbook" w:eastAsia="Times New Roman" w:hAnsi="Century Schoolbook" w:cs="Times New Roman"/>
                <w:color w:val="000000"/>
                <w:sz w:val="20"/>
                <w:szCs w:val="20"/>
              </w:rPr>
              <w:t>0.124***</w:t>
            </w:r>
          </w:p>
        </w:tc>
      </w:tr>
      <w:tr w:rsidR="00F770FF" w:rsidRPr="00644718" w14:paraId="02C75856" w14:textId="77777777" w:rsidTr="009704E4">
        <w:trPr>
          <w:trHeight w:val="288"/>
        </w:trPr>
        <w:tc>
          <w:tcPr>
            <w:tcW w:w="1882" w:type="pct"/>
            <w:tcBorders>
              <w:top w:val="nil"/>
              <w:left w:val="nil"/>
              <w:bottom w:val="nil"/>
              <w:right w:val="nil"/>
            </w:tcBorders>
            <w:shd w:val="clear" w:color="auto" w:fill="auto"/>
            <w:noWrap/>
            <w:vAlign w:val="bottom"/>
            <w:hideMark/>
          </w:tcPr>
          <w:p w14:paraId="248627AC"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559" w:type="pct"/>
            <w:tcBorders>
              <w:top w:val="nil"/>
              <w:left w:val="nil"/>
              <w:bottom w:val="nil"/>
              <w:right w:val="nil"/>
            </w:tcBorders>
            <w:shd w:val="clear" w:color="auto" w:fill="auto"/>
            <w:noWrap/>
            <w:vAlign w:val="bottom"/>
            <w:hideMark/>
          </w:tcPr>
          <w:p w14:paraId="49ACC1A9"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(0.028)</w:t>
            </w:r>
          </w:p>
        </w:tc>
        <w:tc>
          <w:tcPr>
            <w:tcW w:w="1559" w:type="pct"/>
            <w:tcBorders>
              <w:top w:val="nil"/>
              <w:left w:val="nil"/>
              <w:bottom w:val="nil"/>
              <w:right w:val="nil"/>
            </w:tcBorders>
            <w:shd w:val="clear" w:color="auto" w:fill="auto"/>
            <w:noWrap/>
            <w:vAlign w:val="bottom"/>
            <w:hideMark/>
          </w:tcPr>
          <w:p w14:paraId="038E3D03"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(0.034)</w:t>
            </w:r>
          </w:p>
        </w:tc>
      </w:tr>
      <w:tr w:rsidR="00F770FF" w:rsidRPr="00644718" w14:paraId="73A4818B" w14:textId="77777777" w:rsidTr="009704E4">
        <w:trPr>
          <w:trHeight w:val="288"/>
        </w:trPr>
        <w:tc>
          <w:tcPr>
            <w:tcW w:w="1882" w:type="pct"/>
            <w:tcBorders>
              <w:top w:val="nil"/>
              <w:left w:val="nil"/>
              <w:bottom w:val="nil"/>
              <w:right w:val="nil"/>
            </w:tcBorders>
            <w:shd w:val="clear" w:color="auto" w:fill="auto"/>
            <w:noWrap/>
            <w:vAlign w:val="bottom"/>
            <w:hideMark/>
          </w:tcPr>
          <w:p w14:paraId="34949038"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M&amp;A</w:t>
            </w:r>
          </w:p>
        </w:tc>
        <w:tc>
          <w:tcPr>
            <w:tcW w:w="1559" w:type="pct"/>
            <w:tcBorders>
              <w:top w:val="nil"/>
              <w:left w:val="nil"/>
              <w:bottom w:val="nil"/>
              <w:right w:val="nil"/>
            </w:tcBorders>
            <w:shd w:val="clear" w:color="auto" w:fill="auto"/>
            <w:noWrap/>
            <w:vAlign w:val="bottom"/>
            <w:hideMark/>
          </w:tcPr>
          <w:p w14:paraId="426D77EE"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0.046*</w:t>
            </w:r>
          </w:p>
        </w:tc>
        <w:tc>
          <w:tcPr>
            <w:tcW w:w="1559" w:type="pct"/>
            <w:tcBorders>
              <w:top w:val="nil"/>
              <w:left w:val="nil"/>
              <w:bottom w:val="nil"/>
              <w:right w:val="nil"/>
            </w:tcBorders>
            <w:shd w:val="clear" w:color="auto" w:fill="auto"/>
            <w:noWrap/>
            <w:vAlign w:val="bottom"/>
            <w:hideMark/>
          </w:tcPr>
          <w:p w14:paraId="7C9ED028"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w:t>
            </w:r>
            <w:r w:rsidRPr="00644718">
              <w:rPr>
                <w:rFonts w:ascii="Century Schoolbook" w:eastAsia="Times New Roman" w:hAnsi="Century Schoolbook" w:cs="Times New Roman"/>
                <w:color w:val="000000"/>
                <w:sz w:val="20"/>
                <w:szCs w:val="20"/>
              </w:rPr>
              <w:t>0.084**</w:t>
            </w:r>
          </w:p>
        </w:tc>
      </w:tr>
      <w:tr w:rsidR="00F770FF" w:rsidRPr="00644718" w14:paraId="7799237B" w14:textId="77777777" w:rsidTr="009704E4">
        <w:trPr>
          <w:trHeight w:val="288"/>
        </w:trPr>
        <w:tc>
          <w:tcPr>
            <w:tcW w:w="1882" w:type="pct"/>
            <w:tcBorders>
              <w:top w:val="nil"/>
              <w:left w:val="nil"/>
              <w:bottom w:val="nil"/>
              <w:right w:val="nil"/>
            </w:tcBorders>
            <w:shd w:val="clear" w:color="auto" w:fill="auto"/>
            <w:noWrap/>
            <w:vAlign w:val="bottom"/>
            <w:hideMark/>
          </w:tcPr>
          <w:p w14:paraId="090AAACF"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 xml:space="preserve"> </w:t>
            </w:r>
          </w:p>
        </w:tc>
        <w:tc>
          <w:tcPr>
            <w:tcW w:w="1559" w:type="pct"/>
            <w:tcBorders>
              <w:top w:val="nil"/>
              <w:left w:val="nil"/>
              <w:bottom w:val="nil"/>
              <w:right w:val="nil"/>
            </w:tcBorders>
            <w:shd w:val="clear" w:color="auto" w:fill="auto"/>
            <w:noWrap/>
            <w:vAlign w:val="bottom"/>
            <w:hideMark/>
          </w:tcPr>
          <w:p w14:paraId="79477DAB"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(0.028)</w:t>
            </w:r>
          </w:p>
        </w:tc>
        <w:tc>
          <w:tcPr>
            <w:tcW w:w="1559" w:type="pct"/>
            <w:tcBorders>
              <w:top w:val="nil"/>
              <w:left w:val="nil"/>
              <w:bottom w:val="nil"/>
              <w:right w:val="nil"/>
            </w:tcBorders>
            <w:shd w:val="clear" w:color="auto" w:fill="auto"/>
            <w:noWrap/>
            <w:vAlign w:val="bottom"/>
            <w:hideMark/>
          </w:tcPr>
          <w:p w14:paraId="46AD0B59"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(0.035)</w:t>
            </w:r>
          </w:p>
        </w:tc>
      </w:tr>
      <w:tr w:rsidR="00F770FF" w:rsidRPr="00644718" w14:paraId="54681BD6" w14:textId="77777777" w:rsidTr="009704E4">
        <w:trPr>
          <w:trHeight w:val="288"/>
        </w:trPr>
        <w:tc>
          <w:tcPr>
            <w:tcW w:w="1882" w:type="pct"/>
            <w:tcBorders>
              <w:top w:val="nil"/>
              <w:left w:val="nil"/>
              <w:bottom w:val="nil"/>
              <w:right w:val="nil"/>
            </w:tcBorders>
            <w:shd w:val="clear" w:color="auto" w:fill="auto"/>
            <w:noWrap/>
            <w:vAlign w:val="bottom"/>
            <w:hideMark/>
          </w:tcPr>
          <w:p w14:paraId="48F310D5"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Legal issues</w:t>
            </w:r>
          </w:p>
        </w:tc>
        <w:tc>
          <w:tcPr>
            <w:tcW w:w="1559" w:type="pct"/>
            <w:tcBorders>
              <w:top w:val="nil"/>
              <w:left w:val="nil"/>
              <w:bottom w:val="nil"/>
              <w:right w:val="nil"/>
            </w:tcBorders>
            <w:shd w:val="clear" w:color="auto" w:fill="auto"/>
            <w:noWrap/>
            <w:vAlign w:val="bottom"/>
            <w:hideMark/>
          </w:tcPr>
          <w:p w14:paraId="2FD98BA1"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0.122***</w:t>
            </w:r>
          </w:p>
        </w:tc>
        <w:tc>
          <w:tcPr>
            <w:tcW w:w="1559" w:type="pct"/>
            <w:tcBorders>
              <w:top w:val="nil"/>
              <w:left w:val="nil"/>
              <w:bottom w:val="nil"/>
              <w:right w:val="nil"/>
            </w:tcBorders>
            <w:shd w:val="clear" w:color="auto" w:fill="auto"/>
            <w:noWrap/>
            <w:vAlign w:val="bottom"/>
            <w:hideMark/>
          </w:tcPr>
          <w:p w14:paraId="47CE6792"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w:t>
            </w:r>
            <w:r w:rsidRPr="00644718">
              <w:rPr>
                <w:rFonts w:ascii="Century Schoolbook" w:eastAsia="Times New Roman" w:hAnsi="Century Schoolbook" w:cs="Times New Roman"/>
                <w:color w:val="000000"/>
                <w:sz w:val="20"/>
                <w:szCs w:val="20"/>
              </w:rPr>
              <w:t>0.116**</w:t>
            </w:r>
          </w:p>
        </w:tc>
      </w:tr>
      <w:tr w:rsidR="00F770FF" w:rsidRPr="00644718" w14:paraId="3D080718" w14:textId="77777777" w:rsidTr="009704E4">
        <w:trPr>
          <w:trHeight w:val="288"/>
        </w:trPr>
        <w:tc>
          <w:tcPr>
            <w:tcW w:w="1882" w:type="pct"/>
            <w:tcBorders>
              <w:top w:val="nil"/>
              <w:left w:val="nil"/>
              <w:bottom w:val="nil"/>
              <w:right w:val="nil"/>
            </w:tcBorders>
            <w:shd w:val="clear" w:color="auto" w:fill="auto"/>
            <w:noWrap/>
            <w:vAlign w:val="bottom"/>
            <w:hideMark/>
          </w:tcPr>
          <w:p w14:paraId="3900CBBE"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559" w:type="pct"/>
            <w:tcBorders>
              <w:top w:val="nil"/>
              <w:left w:val="nil"/>
              <w:bottom w:val="nil"/>
              <w:right w:val="nil"/>
            </w:tcBorders>
            <w:shd w:val="clear" w:color="auto" w:fill="auto"/>
            <w:noWrap/>
            <w:vAlign w:val="bottom"/>
            <w:hideMark/>
          </w:tcPr>
          <w:p w14:paraId="6E94FA2F"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(0.044)</w:t>
            </w:r>
          </w:p>
        </w:tc>
        <w:tc>
          <w:tcPr>
            <w:tcW w:w="1559" w:type="pct"/>
            <w:tcBorders>
              <w:top w:val="nil"/>
              <w:left w:val="nil"/>
              <w:bottom w:val="nil"/>
              <w:right w:val="nil"/>
            </w:tcBorders>
            <w:shd w:val="clear" w:color="auto" w:fill="auto"/>
            <w:noWrap/>
            <w:vAlign w:val="bottom"/>
            <w:hideMark/>
          </w:tcPr>
          <w:p w14:paraId="644EC5D2"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(0.057)</w:t>
            </w:r>
          </w:p>
        </w:tc>
      </w:tr>
      <w:tr w:rsidR="00F770FF" w:rsidRPr="00644718" w14:paraId="1A5DB4B5" w14:textId="77777777" w:rsidTr="009704E4">
        <w:trPr>
          <w:trHeight w:val="288"/>
        </w:trPr>
        <w:tc>
          <w:tcPr>
            <w:tcW w:w="1882" w:type="pct"/>
            <w:tcBorders>
              <w:top w:val="nil"/>
              <w:left w:val="nil"/>
              <w:bottom w:val="nil"/>
              <w:right w:val="nil"/>
            </w:tcBorders>
            <w:shd w:val="clear" w:color="auto" w:fill="auto"/>
            <w:noWrap/>
            <w:vAlign w:val="bottom"/>
            <w:hideMark/>
          </w:tcPr>
          <w:p w14:paraId="7804FC95"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Executive turnover</w:t>
            </w:r>
          </w:p>
        </w:tc>
        <w:tc>
          <w:tcPr>
            <w:tcW w:w="1559" w:type="pct"/>
            <w:tcBorders>
              <w:top w:val="nil"/>
              <w:left w:val="nil"/>
              <w:bottom w:val="nil"/>
              <w:right w:val="nil"/>
            </w:tcBorders>
            <w:shd w:val="clear" w:color="auto" w:fill="auto"/>
            <w:noWrap/>
            <w:vAlign w:val="bottom"/>
            <w:hideMark/>
          </w:tcPr>
          <w:p w14:paraId="725ACA4D"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0.057*</w:t>
            </w:r>
          </w:p>
        </w:tc>
        <w:tc>
          <w:tcPr>
            <w:tcW w:w="1559" w:type="pct"/>
            <w:tcBorders>
              <w:top w:val="nil"/>
              <w:left w:val="nil"/>
              <w:bottom w:val="nil"/>
              <w:right w:val="nil"/>
            </w:tcBorders>
            <w:shd w:val="clear" w:color="auto" w:fill="auto"/>
            <w:noWrap/>
            <w:vAlign w:val="bottom"/>
            <w:hideMark/>
          </w:tcPr>
          <w:p w14:paraId="200FD4A6"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w:t>
            </w:r>
            <w:r w:rsidRPr="00644718">
              <w:rPr>
                <w:rFonts w:ascii="Century Schoolbook" w:eastAsia="Times New Roman" w:hAnsi="Century Schoolbook" w:cs="Times New Roman"/>
                <w:color w:val="000000"/>
                <w:sz w:val="20"/>
                <w:szCs w:val="20"/>
              </w:rPr>
              <w:t>0.002</w:t>
            </w:r>
          </w:p>
        </w:tc>
      </w:tr>
      <w:tr w:rsidR="00F770FF" w:rsidRPr="00644718" w14:paraId="6A536D69" w14:textId="77777777" w:rsidTr="009704E4">
        <w:trPr>
          <w:trHeight w:val="288"/>
        </w:trPr>
        <w:tc>
          <w:tcPr>
            <w:tcW w:w="1882" w:type="pct"/>
            <w:tcBorders>
              <w:top w:val="nil"/>
              <w:left w:val="nil"/>
              <w:bottom w:val="nil"/>
              <w:right w:val="nil"/>
            </w:tcBorders>
            <w:shd w:val="clear" w:color="auto" w:fill="auto"/>
            <w:noWrap/>
            <w:vAlign w:val="bottom"/>
            <w:hideMark/>
          </w:tcPr>
          <w:p w14:paraId="17EA3369"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559" w:type="pct"/>
            <w:tcBorders>
              <w:top w:val="nil"/>
              <w:left w:val="nil"/>
              <w:bottom w:val="nil"/>
              <w:right w:val="nil"/>
            </w:tcBorders>
            <w:shd w:val="clear" w:color="auto" w:fill="auto"/>
            <w:noWrap/>
            <w:vAlign w:val="bottom"/>
            <w:hideMark/>
          </w:tcPr>
          <w:p w14:paraId="0EC30AB4"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(0.031)</w:t>
            </w:r>
          </w:p>
        </w:tc>
        <w:tc>
          <w:tcPr>
            <w:tcW w:w="1559" w:type="pct"/>
            <w:tcBorders>
              <w:top w:val="nil"/>
              <w:left w:val="nil"/>
              <w:bottom w:val="nil"/>
              <w:right w:val="nil"/>
            </w:tcBorders>
            <w:shd w:val="clear" w:color="auto" w:fill="auto"/>
            <w:noWrap/>
            <w:vAlign w:val="bottom"/>
            <w:hideMark/>
          </w:tcPr>
          <w:p w14:paraId="6B7E60C6"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(0.036)</w:t>
            </w:r>
          </w:p>
        </w:tc>
      </w:tr>
      <w:tr w:rsidR="00F770FF" w:rsidRPr="00644718" w14:paraId="36DEC75F" w14:textId="77777777" w:rsidTr="009704E4">
        <w:trPr>
          <w:trHeight w:val="288"/>
        </w:trPr>
        <w:tc>
          <w:tcPr>
            <w:tcW w:w="1882" w:type="pct"/>
            <w:tcBorders>
              <w:top w:val="nil"/>
              <w:left w:val="nil"/>
              <w:bottom w:val="nil"/>
              <w:right w:val="nil"/>
            </w:tcBorders>
            <w:shd w:val="clear" w:color="auto" w:fill="auto"/>
            <w:noWrap/>
            <w:vAlign w:val="bottom"/>
            <w:hideMark/>
          </w:tcPr>
          <w:p w14:paraId="1D993B20"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Payout policy</w:t>
            </w:r>
          </w:p>
        </w:tc>
        <w:tc>
          <w:tcPr>
            <w:tcW w:w="1559" w:type="pct"/>
            <w:tcBorders>
              <w:top w:val="nil"/>
              <w:left w:val="nil"/>
              <w:bottom w:val="nil"/>
              <w:right w:val="nil"/>
            </w:tcBorders>
            <w:shd w:val="clear" w:color="auto" w:fill="auto"/>
            <w:noWrap/>
            <w:vAlign w:val="bottom"/>
            <w:hideMark/>
          </w:tcPr>
          <w:p w14:paraId="1A7DF645"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w:t>
            </w:r>
            <w:r w:rsidRPr="00644718">
              <w:rPr>
                <w:rFonts w:ascii="Century Schoolbook" w:eastAsia="Times New Roman" w:hAnsi="Century Schoolbook" w:cs="Times New Roman"/>
                <w:color w:val="000000"/>
                <w:sz w:val="20"/>
                <w:szCs w:val="20"/>
              </w:rPr>
              <w:t>0.095***</w:t>
            </w:r>
          </w:p>
        </w:tc>
        <w:tc>
          <w:tcPr>
            <w:tcW w:w="1559" w:type="pct"/>
            <w:tcBorders>
              <w:top w:val="nil"/>
              <w:left w:val="nil"/>
              <w:bottom w:val="nil"/>
              <w:right w:val="nil"/>
            </w:tcBorders>
            <w:shd w:val="clear" w:color="auto" w:fill="auto"/>
            <w:noWrap/>
            <w:vAlign w:val="bottom"/>
            <w:hideMark/>
          </w:tcPr>
          <w:p w14:paraId="6D5D7F05"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0.028</w:t>
            </w:r>
          </w:p>
        </w:tc>
      </w:tr>
      <w:tr w:rsidR="00F770FF" w:rsidRPr="00644718" w14:paraId="6D84DA19" w14:textId="77777777" w:rsidTr="009704E4">
        <w:trPr>
          <w:trHeight w:val="288"/>
        </w:trPr>
        <w:tc>
          <w:tcPr>
            <w:tcW w:w="1882" w:type="pct"/>
            <w:tcBorders>
              <w:top w:val="nil"/>
              <w:left w:val="nil"/>
              <w:bottom w:val="nil"/>
              <w:right w:val="nil"/>
            </w:tcBorders>
            <w:shd w:val="clear" w:color="auto" w:fill="auto"/>
            <w:noWrap/>
            <w:vAlign w:val="bottom"/>
            <w:hideMark/>
          </w:tcPr>
          <w:p w14:paraId="1B93585D"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559" w:type="pct"/>
            <w:tcBorders>
              <w:top w:val="nil"/>
              <w:left w:val="nil"/>
              <w:bottom w:val="nil"/>
              <w:right w:val="nil"/>
            </w:tcBorders>
            <w:shd w:val="clear" w:color="auto" w:fill="auto"/>
            <w:noWrap/>
            <w:vAlign w:val="bottom"/>
            <w:hideMark/>
          </w:tcPr>
          <w:p w14:paraId="7EB19AE2"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(0.031)</w:t>
            </w:r>
          </w:p>
        </w:tc>
        <w:tc>
          <w:tcPr>
            <w:tcW w:w="1559" w:type="pct"/>
            <w:tcBorders>
              <w:top w:val="nil"/>
              <w:left w:val="nil"/>
              <w:bottom w:val="nil"/>
              <w:right w:val="nil"/>
            </w:tcBorders>
            <w:shd w:val="clear" w:color="auto" w:fill="auto"/>
            <w:noWrap/>
            <w:vAlign w:val="bottom"/>
            <w:hideMark/>
          </w:tcPr>
          <w:p w14:paraId="7E8FCBA8"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(0.034)</w:t>
            </w:r>
          </w:p>
        </w:tc>
      </w:tr>
      <w:tr w:rsidR="00F770FF" w:rsidRPr="00644718" w14:paraId="77EC727A" w14:textId="77777777" w:rsidTr="009704E4">
        <w:trPr>
          <w:trHeight w:val="288"/>
        </w:trPr>
        <w:tc>
          <w:tcPr>
            <w:tcW w:w="1882" w:type="pct"/>
            <w:tcBorders>
              <w:top w:val="nil"/>
              <w:left w:val="nil"/>
              <w:bottom w:val="nil"/>
              <w:right w:val="nil"/>
            </w:tcBorders>
            <w:shd w:val="clear" w:color="auto" w:fill="auto"/>
            <w:noWrap/>
            <w:vAlign w:val="bottom"/>
            <w:hideMark/>
          </w:tcPr>
          <w:p w14:paraId="1CAFEAD8"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Securities issuance</w:t>
            </w:r>
          </w:p>
        </w:tc>
        <w:tc>
          <w:tcPr>
            <w:tcW w:w="1559" w:type="pct"/>
            <w:tcBorders>
              <w:top w:val="nil"/>
              <w:left w:val="nil"/>
              <w:bottom w:val="nil"/>
              <w:right w:val="nil"/>
            </w:tcBorders>
            <w:shd w:val="clear" w:color="auto" w:fill="auto"/>
            <w:noWrap/>
            <w:vAlign w:val="bottom"/>
            <w:hideMark/>
          </w:tcPr>
          <w:p w14:paraId="23D11A64"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0.025</w:t>
            </w:r>
          </w:p>
        </w:tc>
        <w:tc>
          <w:tcPr>
            <w:tcW w:w="1559" w:type="pct"/>
            <w:tcBorders>
              <w:top w:val="nil"/>
              <w:left w:val="nil"/>
              <w:bottom w:val="nil"/>
              <w:right w:val="nil"/>
            </w:tcBorders>
            <w:shd w:val="clear" w:color="auto" w:fill="auto"/>
            <w:noWrap/>
            <w:vAlign w:val="bottom"/>
            <w:hideMark/>
          </w:tcPr>
          <w:p w14:paraId="27EE3177"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0.201***</w:t>
            </w:r>
          </w:p>
        </w:tc>
      </w:tr>
      <w:tr w:rsidR="00F770FF" w:rsidRPr="00644718" w14:paraId="75B1FBF1" w14:textId="77777777" w:rsidTr="009704E4">
        <w:trPr>
          <w:trHeight w:val="288"/>
        </w:trPr>
        <w:tc>
          <w:tcPr>
            <w:tcW w:w="1882" w:type="pct"/>
            <w:tcBorders>
              <w:top w:val="nil"/>
              <w:left w:val="nil"/>
              <w:right w:val="nil"/>
            </w:tcBorders>
            <w:shd w:val="clear" w:color="auto" w:fill="auto"/>
            <w:noWrap/>
            <w:vAlign w:val="bottom"/>
            <w:hideMark/>
          </w:tcPr>
          <w:p w14:paraId="44F0A0C4"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559" w:type="pct"/>
            <w:tcBorders>
              <w:top w:val="nil"/>
              <w:left w:val="nil"/>
              <w:right w:val="nil"/>
            </w:tcBorders>
            <w:shd w:val="clear" w:color="auto" w:fill="auto"/>
            <w:noWrap/>
            <w:vAlign w:val="bottom"/>
            <w:hideMark/>
          </w:tcPr>
          <w:p w14:paraId="5E544F26"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(0.049)</w:t>
            </w:r>
          </w:p>
        </w:tc>
        <w:tc>
          <w:tcPr>
            <w:tcW w:w="1559" w:type="pct"/>
            <w:tcBorders>
              <w:top w:val="nil"/>
              <w:left w:val="nil"/>
              <w:right w:val="nil"/>
            </w:tcBorders>
            <w:shd w:val="clear" w:color="auto" w:fill="auto"/>
            <w:noWrap/>
            <w:vAlign w:val="bottom"/>
            <w:hideMark/>
          </w:tcPr>
          <w:p w14:paraId="636D5DBD"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(0.051)</w:t>
            </w:r>
          </w:p>
        </w:tc>
      </w:tr>
      <w:tr w:rsidR="00F770FF" w:rsidRPr="00644718" w14:paraId="7A6C95EE" w14:textId="77777777" w:rsidTr="009704E4">
        <w:trPr>
          <w:trHeight w:val="288"/>
        </w:trPr>
        <w:tc>
          <w:tcPr>
            <w:tcW w:w="1882" w:type="pct"/>
            <w:tcBorders>
              <w:top w:val="nil"/>
              <w:left w:val="nil"/>
              <w:bottom w:val="nil"/>
              <w:right w:val="nil"/>
            </w:tcBorders>
            <w:shd w:val="clear" w:color="auto" w:fill="auto"/>
            <w:noWrap/>
            <w:vAlign w:val="bottom"/>
            <w:hideMark/>
          </w:tcPr>
          <w:p w14:paraId="481B360D"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Security trading</w:t>
            </w:r>
          </w:p>
        </w:tc>
        <w:tc>
          <w:tcPr>
            <w:tcW w:w="1559" w:type="pct"/>
            <w:tcBorders>
              <w:top w:val="nil"/>
              <w:left w:val="nil"/>
              <w:bottom w:val="nil"/>
              <w:right w:val="nil"/>
            </w:tcBorders>
            <w:shd w:val="clear" w:color="auto" w:fill="auto"/>
            <w:noWrap/>
            <w:vAlign w:val="bottom"/>
            <w:hideMark/>
          </w:tcPr>
          <w:p w14:paraId="56F560F8"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w:t>
            </w:r>
            <w:r w:rsidRPr="00644718">
              <w:rPr>
                <w:rFonts w:ascii="Century Schoolbook" w:eastAsia="Times New Roman" w:hAnsi="Century Schoolbook" w:cs="Times New Roman"/>
                <w:color w:val="000000"/>
                <w:sz w:val="20"/>
                <w:szCs w:val="20"/>
              </w:rPr>
              <w:t>0.016</w:t>
            </w:r>
          </w:p>
        </w:tc>
        <w:tc>
          <w:tcPr>
            <w:tcW w:w="1559" w:type="pct"/>
            <w:tcBorders>
              <w:top w:val="nil"/>
              <w:left w:val="nil"/>
              <w:bottom w:val="nil"/>
              <w:right w:val="nil"/>
            </w:tcBorders>
            <w:shd w:val="clear" w:color="auto" w:fill="auto"/>
            <w:noWrap/>
            <w:vAlign w:val="bottom"/>
            <w:hideMark/>
          </w:tcPr>
          <w:p w14:paraId="1E95F88A"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0.072</w:t>
            </w:r>
          </w:p>
        </w:tc>
      </w:tr>
      <w:tr w:rsidR="00F770FF" w:rsidRPr="00644718" w14:paraId="22CF5C8A" w14:textId="77777777" w:rsidTr="009704E4">
        <w:trPr>
          <w:trHeight w:val="288"/>
        </w:trPr>
        <w:tc>
          <w:tcPr>
            <w:tcW w:w="1882" w:type="pct"/>
            <w:tcBorders>
              <w:top w:val="nil"/>
              <w:left w:val="nil"/>
              <w:bottom w:val="single" w:sz="4" w:space="0" w:color="auto"/>
              <w:right w:val="nil"/>
            </w:tcBorders>
            <w:shd w:val="clear" w:color="auto" w:fill="auto"/>
            <w:noWrap/>
            <w:vAlign w:val="bottom"/>
            <w:hideMark/>
          </w:tcPr>
          <w:p w14:paraId="32C0B676"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p>
        </w:tc>
        <w:tc>
          <w:tcPr>
            <w:tcW w:w="1559" w:type="pct"/>
            <w:tcBorders>
              <w:top w:val="nil"/>
              <w:left w:val="nil"/>
              <w:bottom w:val="single" w:sz="4" w:space="0" w:color="auto"/>
              <w:right w:val="nil"/>
            </w:tcBorders>
            <w:shd w:val="clear" w:color="auto" w:fill="auto"/>
            <w:noWrap/>
            <w:vAlign w:val="bottom"/>
            <w:hideMark/>
          </w:tcPr>
          <w:p w14:paraId="26248F08"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(0.063)</w:t>
            </w:r>
          </w:p>
        </w:tc>
        <w:tc>
          <w:tcPr>
            <w:tcW w:w="1559" w:type="pct"/>
            <w:tcBorders>
              <w:top w:val="nil"/>
              <w:left w:val="nil"/>
              <w:bottom w:val="single" w:sz="4" w:space="0" w:color="auto"/>
              <w:right w:val="nil"/>
            </w:tcBorders>
            <w:shd w:val="clear" w:color="auto" w:fill="auto"/>
            <w:noWrap/>
            <w:vAlign w:val="bottom"/>
            <w:hideMark/>
          </w:tcPr>
          <w:p w14:paraId="638FE84A"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(0.069)</w:t>
            </w:r>
          </w:p>
        </w:tc>
      </w:tr>
      <w:tr w:rsidR="00F770FF" w:rsidRPr="00644718" w14:paraId="17462F44" w14:textId="77777777" w:rsidTr="009704E4">
        <w:trPr>
          <w:trHeight w:val="288"/>
        </w:trPr>
        <w:tc>
          <w:tcPr>
            <w:tcW w:w="1882" w:type="pct"/>
            <w:tcBorders>
              <w:top w:val="single" w:sz="4" w:space="0" w:color="auto"/>
              <w:left w:val="nil"/>
              <w:bottom w:val="nil"/>
              <w:right w:val="nil"/>
            </w:tcBorders>
            <w:shd w:val="clear" w:color="auto" w:fill="auto"/>
            <w:noWrap/>
            <w:vAlign w:val="bottom"/>
            <w:hideMark/>
          </w:tcPr>
          <w:p w14:paraId="081DE511"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Industry &amp; Year-fixed effects</w:t>
            </w:r>
          </w:p>
        </w:tc>
        <w:tc>
          <w:tcPr>
            <w:tcW w:w="1559" w:type="pct"/>
            <w:tcBorders>
              <w:top w:val="single" w:sz="4" w:space="0" w:color="auto"/>
              <w:left w:val="nil"/>
              <w:bottom w:val="nil"/>
              <w:right w:val="nil"/>
            </w:tcBorders>
            <w:shd w:val="clear" w:color="auto" w:fill="auto"/>
            <w:noWrap/>
            <w:vAlign w:val="bottom"/>
            <w:hideMark/>
          </w:tcPr>
          <w:p w14:paraId="7DE962DC"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Yes</w:t>
            </w:r>
          </w:p>
        </w:tc>
        <w:tc>
          <w:tcPr>
            <w:tcW w:w="1559" w:type="pct"/>
            <w:tcBorders>
              <w:top w:val="single" w:sz="4" w:space="0" w:color="auto"/>
              <w:left w:val="nil"/>
              <w:bottom w:val="nil"/>
              <w:right w:val="nil"/>
            </w:tcBorders>
            <w:shd w:val="clear" w:color="auto" w:fill="auto"/>
            <w:noWrap/>
            <w:vAlign w:val="bottom"/>
            <w:hideMark/>
          </w:tcPr>
          <w:p w14:paraId="7D82A022"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Yes</w:t>
            </w:r>
          </w:p>
        </w:tc>
      </w:tr>
      <w:tr w:rsidR="00F770FF" w:rsidRPr="00644718" w14:paraId="57935AD1" w14:textId="77777777" w:rsidTr="009704E4">
        <w:trPr>
          <w:trHeight w:val="288"/>
        </w:trPr>
        <w:tc>
          <w:tcPr>
            <w:tcW w:w="1882" w:type="pct"/>
            <w:tcBorders>
              <w:top w:val="nil"/>
              <w:left w:val="nil"/>
              <w:bottom w:val="nil"/>
              <w:right w:val="nil"/>
            </w:tcBorders>
            <w:shd w:val="clear" w:color="auto" w:fill="auto"/>
            <w:noWrap/>
            <w:vAlign w:val="bottom"/>
            <w:hideMark/>
          </w:tcPr>
          <w:p w14:paraId="7A90015E"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Pr>
                <w:rFonts w:ascii="Century Schoolbook" w:eastAsia="Times New Roman" w:hAnsi="Century Schoolbook" w:cs="Times New Roman"/>
                <w:color w:val="000000"/>
                <w:sz w:val="20"/>
                <w:szCs w:val="20"/>
              </w:rPr>
              <w:t>Firm-level c</w:t>
            </w:r>
            <w:r w:rsidRPr="00644718">
              <w:rPr>
                <w:rFonts w:ascii="Century Schoolbook" w:eastAsia="Times New Roman" w:hAnsi="Century Schoolbook" w:cs="Times New Roman"/>
                <w:color w:val="000000"/>
                <w:sz w:val="20"/>
                <w:szCs w:val="20"/>
              </w:rPr>
              <w:t>lustering</w:t>
            </w:r>
          </w:p>
        </w:tc>
        <w:tc>
          <w:tcPr>
            <w:tcW w:w="1559" w:type="pct"/>
            <w:tcBorders>
              <w:top w:val="nil"/>
              <w:left w:val="nil"/>
              <w:bottom w:val="nil"/>
              <w:right w:val="nil"/>
            </w:tcBorders>
            <w:shd w:val="clear" w:color="auto" w:fill="auto"/>
            <w:noWrap/>
            <w:vAlign w:val="bottom"/>
            <w:hideMark/>
          </w:tcPr>
          <w:p w14:paraId="01915FCC"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Yes</w:t>
            </w:r>
          </w:p>
        </w:tc>
        <w:tc>
          <w:tcPr>
            <w:tcW w:w="1559" w:type="pct"/>
            <w:tcBorders>
              <w:top w:val="nil"/>
              <w:left w:val="nil"/>
              <w:bottom w:val="nil"/>
              <w:right w:val="nil"/>
            </w:tcBorders>
            <w:shd w:val="clear" w:color="auto" w:fill="auto"/>
            <w:noWrap/>
            <w:vAlign w:val="bottom"/>
            <w:hideMark/>
          </w:tcPr>
          <w:p w14:paraId="4114D745"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Yes</w:t>
            </w:r>
          </w:p>
        </w:tc>
      </w:tr>
      <w:tr w:rsidR="00F770FF" w:rsidRPr="00644718" w14:paraId="33C2F88F" w14:textId="77777777" w:rsidTr="009704E4">
        <w:trPr>
          <w:trHeight w:val="288"/>
        </w:trPr>
        <w:tc>
          <w:tcPr>
            <w:tcW w:w="1882" w:type="pct"/>
            <w:tcBorders>
              <w:top w:val="nil"/>
              <w:left w:val="nil"/>
              <w:bottom w:val="nil"/>
              <w:right w:val="nil"/>
            </w:tcBorders>
            <w:shd w:val="clear" w:color="auto" w:fill="auto"/>
            <w:noWrap/>
            <w:vAlign w:val="bottom"/>
            <w:hideMark/>
          </w:tcPr>
          <w:p w14:paraId="4B0FE6AE"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Nobs.</w:t>
            </w:r>
          </w:p>
        </w:tc>
        <w:tc>
          <w:tcPr>
            <w:tcW w:w="1559" w:type="pct"/>
            <w:tcBorders>
              <w:top w:val="nil"/>
              <w:left w:val="nil"/>
              <w:bottom w:val="nil"/>
              <w:right w:val="nil"/>
            </w:tcBorders>
            <w:shd w:val="clear" w:color="auto" w:fill="auto"/>
            <w:noWrap/>
            <w:vAlign w:val="bottom"/>
            <w:hideMark/>
          </w:tcPr>
          <w:p w14:paraId="3C118A7C"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76,229</w:t>
            </w:r>
          </w:p>
        </w:tc>
        <w:tc>
          <w:tcPr>
            <w:tcW w:w="1559" w:type="pct"/>
            <w:tcBorders>
              <w:top w:val="nil"/>
              <w:left w:val="nil"/>
              <w:bottom w:val="nil"/>
              <w:right w:val="nil"/>
            </w:tcBorders>
            <w:shd w:val="clear" w:color="auto" w:fill="auto"/>
            <w:noWrap/>
            <w:vAlign w:val="bottom"/>
            <w:hideMark/>
          </w:tcPr>
          <w:p w14:paraId="07FA98C2"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76,229</w:t>
            </w:r>
          </w:p>
        </w:tc>
      </w:tr>
      <w:tr w:rsidR="00F770FF" w:rsidRPr="00644718" w14:paraId="11F63C56" w14:textId="77777777" w:rsidTr="009704E4">
        <w:trPr>
          <w:trHeight w:val="288"/>
        </w:trPr>
        <w:tc>
          <w:tcPr>
            <w:tcW w:w="1882" w:type="pct"/>
            <w:tcBorders>
              <w:top w:val="nil"/>
              <w:left w:val="nil"/>
              <w:bottom w:val="nil"/>
              <w:right w:val="nil"/>
            </w:tcBorders>
            <w:shd w:val="clear" w:color="auto" w:fill="auto"/>
            <w:noWrap/>
            <w:vAlign w:val="bottom"/>
            <w:hideMark/>
          </w:tcPr>
          <w:p w14:paraId="59C6549F"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No. of dependent var. = 1</w:t>
            </w:r>
          </w:p>
        </w:tc>
        <w:tc>
          <w:tcPr>
            <w:tcW w:w="1559" w:type="pct"/>
            <w:tcBorders>
              <w:top w:val="nil"/>
              <w:left w:val="nil"/>
              <w:bottom w:val="nil"/>
              <w:right w:val="nil"/>
            </w:tcBorders>
            <w:shd w:val="clear" w:color="auto" w:fill="auto"/>
            <w:noWrap/>
            <w:vAlign w:val="bottom"/>
            <w:hideMark/>
          </w:tcPr>
          <w:p w14:paraId="28A94D53"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11,650</w:t>
            </w:r>
          </w:p>
        </w:tc>
        <w:tc>
          <w:tcPr>
            <w:tcW w:w="1559" w:type="pct"/>
            <w:tcBorders>
              <w:top w:val="nil"/>
              <w:left w:val="nil"/>
              <w:bottom w:val="nil"/>
              <w:right w:val="nil"/>
            </w:tcBorders>
            <w:shd w:val="clear" w:color="auto" w:fill="auto"/>
            <w:noWrap/>
            <w:vAlign w:val="bottom"/>
            <w:hideMark/>
          </w:tcPr>
          <w:p w14:paraId="020842C5"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10,499</w:t>
            </w:r>
          </w:p>
        </w:tc>
      </w:tr>
      <w:tr w:rsidR="00F770FF" w:rsidRPr="00644718" w14:paraId="3C16B5DE" w14:textId="77777777" w:rsidTr="009704E4">
        <w:trPr>
          <w:trHeight w:val="300"/>
        </w:trPr>
        <w:tc>
          <w:tcPr>
            <w:tcW w:w="1882" w:type="pct"/>
            <w:tcBorders>
              <w:top w:val="nil"/>
              <w:left w:val="nil"/>
              <w:bottom w:val="double" w:sz="6" w:space="0" w:color="auto"/>
              <w:right w:val="nil"/>
            </w:tcBorders>
            <w:shd w:val="clear" w:color="auto" w:fill="auto"/>
            <w:noWrap/>
            <w:vAlign w:val="bottom"/>
            <w:hideMark/>
          </w:tcPr>
          <w:p w14:paraId="2E756EA3" w14:textId="77777777" w:rsidR="00F770FF" w:rsidRPr="00644718" w:rsidRDefault="00F770FF" w:rsidP="009704E4">
            <w:pPr>
              <w:spacing w:after="0" w:line="240" w:lineRule="auto"/>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Pseudo R-squared</w:t>
            </w:r>
          </w:p>
        </w:tc>
        <w:tc>
          <w:tcPr>
            <w:tcW w:w="1559" w:type="pct"/>
            <w:tcBorders>
              <w:top w:val="nil"/>
              <w:left w:val="nil"/>
              <w:bottom w:val="double" w:sz="6" w:space="0" w:color="auto"/>
              <w:right w:val="nil"/>
            </w:tcBorders>
            <w:shd w:val="clear" w:color="auto" w:fill="auto"/>
            <w:noWrap/>
            <w:vAlign w:val="bottom"/>
            <w:hideMark/>
          </w:tcPr>
          <w:p w14:paraId="6A2220F4"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2.02%</w:t>
            </w:r>
          </w:p>
        </w:tc>
        <w:tc>
          <w:tcPr>
            <w:tcW w:w="1559" w:type="pct"/>
            <w:tcBorders>
              <w:top w:val="nil"/>
              <w:left w:val="nil"/>
              <w:bottom w:val="double" w:sz="6" w:space="0" w:color="auto"/>
              <w:right w:val="nil"/>
            </w:tcBorders>
            <w:shd w:val="clear" w:color="auto" w:fill="auto"/>
            <w:noWrap/>
            <w:vAlign w:val="bottom"/>
            <w:hideMark/>
          </w:tcPr>
          <w:p w14:paraId="3A572441" w14:textId="77777777" w:rsidR="00F770FF" w:rsidRPr="00644718" w:rsidRDefault="00F770FF" w:rsidP="009704E4">
            <w:pPr>
              <w:spacing w:after="0" w:line="240" w:lineRule="auto"/>
              <w:jc w:val="center"/>
              <w:rPr>
                <w:rFonts w:ascii="Century Schoolbook" w:eastAsia="Times New Roman" w:hAnsi="Century Schoolbook" w:cs="Times New Roman"/>
                <w:color w:val="000000"/>
                <w:sz w:val="20"/>
                <w:szCs w:val="20"/>
              </w:rPr>
            </w:pPr>
            <w:r w:rsidRPr="00644718">
              <w:rPr>
                <w:rFonts w:ascii="Century Schoolbook" w:eastAsia="Times New Roman" w:hAnsi="Century Schoolbook" w:cs="Times New Roman"/>
                <w:color w:val="000000"/>
                <w:sz w:val="20"/>
                <w:szCs w:val="20"/>
              </w:rPr>
              <w:t>4.54%</w:t>
            </w:r>
          </w:p>
        </w:tc>
      </w:tr>
    </w:tbl>
    <w:p w14:paraId="4E4BE0D6" w14:textId="51F40D0A" w:rsidR="00F770FF" w:rsidRPr="000505B4" w:rsidRDefault="00AD785D" w:rsidP="00F770FF">
      <w:pPr>
        <w:rPr>
          <w:sz w:val="20"/>
          <w:szCs w:val="20"/>
        </w:rPr>
      </w:pPr>
      <w:r>
        <w:rPr>
          <w:sz w:val="20"/>
          <w:szCs w:val="20"/>
        </w:rPr>
        <w:lastRenderedPageBreak/>
        <w:t xml:space="preserve"> </w:t>
      </w:r>
    </w:p>
    <w:p w14:paraId="13C292AC" w14:textId="77777777" w:rsidR="00E1496F" w:rsidRPr="00AB75FD" w:rsidRDefault="00E1496F" w:rsidP="00E1496F">
      <w:pPr>
        <w:spacing w:line="240" w:lineRule="auto"/>
        <w:jc w:val="center"/>
        <w:rPr>
          <w:rFonts w:ascii="Century Schoolbook" w:hAnsi="Century Schoolbook" w:cs="Times New Roman"/>
          <w:b/>
          <w:sz w:val="20"/>
          <w:szCs w:val="20"/>
        </w:rPr>
      </w:pPr>
      <w:r w:rsidRPr="00AB75FD">
        <w:rPr>
          <w:rFonts w:ascii="Century Schoolbook" w:hAnsi="Century Schoolbook" w:cs="Times New Roman"/>
          <w:b/>
          <w:sz w:val="20"/>
          <w:szCs w:val="20"/>
        </w:rPr>
        <w:t xml:space="preserve">Appendix A:  </w:t>
      </w:r>
      <w:r w:rsidRPr="00AB75FD">
        <w:rPr>
          <w:rFonts w:ascii="Century Schoolbook" w:hAnsi="Century Schoolbook" w:cs="Times New Roman"/>
          <w:sz w:val="20"/>
          <w:szCs w:val="20"/>
        </w:rPr>
        <w:t>List of Variables</w:t>
      </w:r>
    </w:p>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953"/>
        <w:gridCol w:w="1417"/>
      </w:tblGrid>
      <w:tr w:rsidR="00E1496F" w:rsidRPr="00AA20DD" w14:paraId="3C04F8EB" w14:textId="77777777" w:rsidTr="00A06FDD">
        <w:tc>
          <w:tcPr>
            <w:tcW w:w="2235" w:type="dxa"/>
            <w:tcBorders>
              <w:top w:val="single" w:sz="4" w:space="0" w:color="auto"/>
              <w:bottom w:val="single" w:sz="4" w:space="0" w:color="auto"/>
            </w:tcBorders>
          </w:tcPr>
          <w:p w14:paraId="2A818190" w14:textId="77777777" w:rsidR="00E1496F" w:rsidRPr="00AA20DD" w:rsidRDefault="00E1496F" w:rsidP="00A06FDD">
            <w:pPr>
              <w:spacing w:line="360" w:lineRule="auto"/>
              <w:rPr>
                <w:rFonts w:ascii="Century Schoolbook" w:hAnsi="Century Schoolbook"/>
                <w:b/>
              </w:rPr>
            </w:pPr>
            <w:r w:rsidRPr="00AA20DD">
              <w:rPr>
                <w:rFonts w:ascii="Century Schoolbook" w:eastAsia="Calibri" w:hAnsi="Century Schoolbook"/>
              </w:rPr>
              <w:br w:type="page"/>
            </w:r>
            <w:r w:rsidRPr="00AA20DD">
              <w:rPr>
                <w:rFonts w:ascii="Century Schoolbook" w:hAnsi="Century Schoolbook"/>
                <w:b/>
              </w:rPr>
              <w:t>Variable</w:t>
            </w:r>
          </w:p>
        </w:tc>
        <w:tc>
          <w:tcPr>
            <w:tcW w:w="5953" w:type="dxa"/>
            <w:tcBorders>
              <w:top w:val="single" w:sz="4" w:space="0" w:color="auto"/>
              <w:bottom w:val="single" w:sz="4" w:space="0" w:color="auto"/>
            </w:tcBorders>
          </w:tcPr>
          <w:p w14:paraId="45544A2D" w14:textId="77777777" w:rsidR="00E1496F" w:rsidRPr="00AA20DD" w:rsidRDefault="00E1496F" w:rsidP="00A06FDD">
            <w:pPr>
              <w:spacing w:line="360" w:lineRule="auto"/>
              <w:jc w:val="center"/>
              <w:rPr>
                <w:rFonts w:ascii="Century Schoolbook" w:hAnsi="Century Schoolbook"/>
                <w:b/>
              </w:rPr>
            </w:pPr>
            <w:r w:rsidRPr="00AA20DD">
              <w:rPr>
                <w:rFonts w:ascii="Century Schoolbook" w:hAnsi="Century Schoolbook"/>
                <w:b/>
              </w:rPr>
              <w:t>Definition</w:t>
            </w:r>
          </w:p>
        </w:tc>
        <w:tc>
          <w:tcPr>
            <w:tcW w:w="1417" w:type="dxa"/>
            <w:tcBorders>
              <w:top w:val="single" w:sz="4" w:space="0" w:color="auto"/>
              <w:bottom w:val="single" w:sz="4" w:space="0" w:color="auto"/>
            </w:tcBorders>
          </w:tcPr>
          <w:p w14:paraId="4DAE8A85" w14:textId="77777777" w:rsidR="00E1496F" w:rsidRPr="00AA20DD" w:rsidRDefault="00E1496F" w:rsidP="00A06FDD">
            <w:pPr>
              <w:spacing w:line="360" w:lineRule="auto"/>
              <w:rPr>
                <w:rFonts w:ascii="Century Schoolbook" w:hAnsi="Century Schoolbook"/>
                <w:b/>
              </w:rPr>
            </w:pPr>
            <w:r w:rsidRPr="00AA20DD">
              <w:rPr>
                <w:rFonts w:ascii="Century Schoolbook" w:hAnsi="Century Schoolbook"/>
                <w:b/>
              </w:rPr>
              <w:t>Source</w:t>
            </w:r>
          </w:p>
        </w:tc>
      </w:tr>
      <w:tr w:rsidR="00E1496F" w:rsidRPr="00AA20DD" w14:paraId="41E6C654" w14:textId="77777777" w:rsidTr="00A06FDD">
        <w:tc>
          <w:tcPr>
            <w:tcW w:w="8188" w:type="dxa"/>
            <w:gridSpan w:val="2"/>
          </w:tcPr>
          <w:p w14:paraId="25CE18BA" w14:textId="77777777" w:rsidR="00E1496F" w:rsidRPr="00AA20DD" w:rsidRDefault="00E1496F" w:rsidP="00A06FDD">
            <w:pPr>
              <w:spacing w:line="360" w:lineRule="auto"/>
              <w:rPr>
                <w:rFonts w:ascii="Century Schoolbook" w:hAnsi="Century Schoolbook"/>
                <w:b/>
              </w:rPr>
            </w:pPr>
            <w:r w:rsidRPr="00AA20DD">
              <w:rPr>
                <w:rFonts w:ascii="Century Schoolbook" w:hAnsi="Century Schoolbook"/>
                <w:b/>
              </w:rPr>
              <w:t>Analyst–level variables</w:t>
            </w:r>
          </w:p>
        </w:tc>
        <w:tc>
          <w:tcPr>
            <w:tcW w:w="1417" w:type="dxa"/>
          </w:tcPr>
          <w:p w14:paraId="6E976ABD" w14:textId="77777777" w:rsidR="00E1496F" w:rsidRPr="00AA20DD" w:rsidRDefault="00E1496F" w:rsidP="00A06FDD">
            <w:pPr>
              <w:spacing w:line="360" w:lineRule="auto"/>
              <w:rPr>
                <w:rFonts w:ascii="Century Schoolbook" w:hAnsi="Century Schoolbook"/>
              </w:rPr>
            </w:pPr>
          </w:p>
        </w:tc>
      </w:tr>
      <w:tr w:rsidR="00E1496F" w:rsidRPr="00AA20DD" w14:paraId="58B9751F" w14:textId="77777777" w:rsidTr="00A06FDD">
        <w:tc>
          <w:tcPr>
            <w:tcW w:w="2235" w:type="dxa"/>
          </w:tcPr>
          <w:p w14:paraId="4D534D1F" w14:textId="77777777" w:rsidR="00E1496F" w:rsidRPr="00AA20DD" w:rsidRDefault="00E1496F" w:rsidP="00A06FDD">
            <w:pPr>
              <w:rPr>
                <w:rFonts w:ascii="Century Schoolbook" w:hAnsi="Century Schoolbook"/>
                <w:i/>
              </w:rPr>
            </w:pPr>
            <w:r w:rsidRPr="00AA20DD">
              <w:rPr>
                <w:rFonts w:ascii="Century Schoolbook" w:hAnsi="Century Schoolbook"/>
                <w:i/>
              </w:rPr>
              <w:t>General experience</w:t>
            </w:r>
          </w:p>
        </w:tc>
        <w:tc>
          <w:tcPr>
            <w:tcW w:w="5953" w:type="dxa"/>
          </w:tcPr>
          <w:p w14:paraId="0FC2787B" w14:textId="77777777" w:rsidR="00E1496F" w:rsidRPr="00AA20DD" w:rsidRDefault="00E1496F" w:rsidP="00A06FDD">
            <w:pPr>
              <w:jc w:val="both"/>
              <w:rPr>
                <w:rFonts w:ascii="Century Schoolbook" w:hAnsi="Century Schoolbook"/>
              </w:rPr>
            </w:pPr>
            <w:r w:rsidRPr="00AA20DD">
              <w:rPr>
                <w:rFonts w:ascii="Century Schoolbook" w:hAnsi="Century Schoolbook"/>
              </w:rPr>
              <w:t>The number of years since an analyst’s f</w:t>
            </w:r>
            <w:r>
              <w:rPr>
                <w:rFonts w:ascii="Century Schoolbook" w:hAnsi="Century Schoolbook"/>
              </w:rPr>
              <w:t>irst recommendation in the data</w:t>
            </w:r>
            <w:r w:rsidRPr="00AA20DD">
              <w:rPr>
                <w:rFonts w:ascii="Century Schoolbook" w:hAnsi="Century Schoolbook"/>
              </w:rPr>
              <w:t>base</w:t>
            </w:r>
            <w:r>
              <w:rPr>
                <w:rFonts w:ascii="Century Schoolbook" w:hAnsi="Century Schoolbook"/>
              </w:rPr>
              <w:t xml:space="preserve"> to the current recommendation</w:t>
            </w:r>
            <w:r w:rsidRPr="00AA20DD">
              <w:rPr>
                <w:rFonts w:ascii="Century Schoolbook" w:hAnsi="Century Schoolbook"/>
              </w:rPr>
              <w:t>.</w:t>
            </w:r>
          </w:p>
          <w:p w14:paraId="3294AE79" w14:textId="77777777" w:rsidR="00E1496F" w:rsidRPr="00AA20DD" w:rsidRDefault="00E1496F" w:rsidP="00A06FDD">
            <w:pPr>
              <w:jc w:val="both"/>
              <w:rPr>
                <w:rFonts w:ascii="Century Schoolbook" w:hAnsi="Century Schoolbook"/>
              </w:rPr>
            </w:pPr>
          </w:p>
        </w:tc>
        <w:tc>
          <w:tcPr>
            <w:tcW w:w="1417" w:type="dxa"/>
          </w:tcPr>
          <w:p w14:paraId="0CF61CBF"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3370DBC5" w14:textId="77777777" w:rsidTr="00A06FDD">
        <w:tc>
          <w:tcPr>
            <w:tcW w:w="2235" w:type="dxa"/>
          </w:tcPr>
          <w:p w14:paraId="5DCF06C5" w14:textId="77777777" w:rsidR="00E1496F" w:rsidRPr="00AA20DD" w:rsidRDefault="00E1496F" w:rsidP="00A06FDD">
            <w:pPr>
              <w:rPr>
                <w:rFonts w:ascii="Century Schoolbook" w:eastAsia="Times New Roman" w:hAnsi="Century Schoolbook"/>
                <w:i/>
                <w:lang w:eastAsia="fr-FR"/>
              </w:rPr>
            </w:pPr>
            <w:r w:rsidRPr="00AA20DD">
              <w:rPr>
                <w:rFonts w:ascii="Century Schoolbook" w:eastAsia="Times New Roman" w:hAnsi="Century Schoolbook"/>
                <w:i/>
                <w:lang w:eastAsia="fr-FR"/>
              </w:rPr>
              <w:t>Recommendation optimism</w:t>
            </w:r>
          </w:p>
          <w:p w14:paraId="6A438B9B" w14:textId="77777777" w:rsidR="00E1496F" w:rsidRPr="00AA20DD" w:rsidRDefault="00E1496F" w:rsidP="00A06FDD">
            <w:pPr>
              <w:rPr>
                <w:rFonts w:ascii="Century Schoolbook" w:eastAsia="Times New Roman" w:hAnsi="Century Schoolbook"/>
                <w:i/>
                <w:lang w:eastAsia="fr-FR"/>
              </w:rPr>
            </w:pPr>
          </w:p>
          <w:p w14:paraId="3C4FA38F" w14:textId="77777777" w:rsidR="00E1496F" w:rsidRPr="00AA20DD" w:rsidRDefault="00E1496F" w:rsidP="00A06FDD">
            <w:pPr>
              <w:rPr>
                <w:rFonts w:ascii="Century Schoolbook" w:eastAsia="Times New Roman" w:hAnsi="Century Schoolbook"/>
                <w:i/>
                <w:lang w:eastAsia="fr-FR"/>
              </w:rPr>
            </w:pPr>
          </w:p>
          <w:p w14:paraId="56426E27" w14:textId="77777777" w:rsidR="00E1496F" w:rsidRPr="00AA20DD" w:rsidRDefault="00E1496F" w:rsidP="00A06FDD">
            <w:pPr>
              <w:rPr>
                <w:rFonts w:ascii="Century Schoolbook" w:eastAsia="Times New Roman" w:hAnsi="Century Schoolbook"/>
                <w:i/>
                <w:lang w:eastAsia="fr-FR"/>
              </w:rPr>
            </w:pPr>
            <w:r w:rsidRPr="00AA20DD">
              <w:rPr>
                <w:rFonts w:ascii="Century Schoolbook" w:hAnsi="Century Schoolbook"/>
                <w:i/>
              </w:rPr>
              <w:t>Recommendation boldness</w:t>
            </w:r>
          </w:p>
        </w:tc>
        <w:tc>
          <w:tcPr>
            <w:tcW w:w="5953" w:type="dxa"/>
          </w:tcPr>
          <w:p w14:paraId="4D88B9C4" w14:textId="77777777" w:rsidR="00E1496F" w:rsidRPr="00AA20DD" w:rsidRDefault="00E1496F" w:rsidP="00A06FDD">
            <w:pPr>
              <w:jc w:val="both"/>
              <w:rPr>
                <w:rFonts w:ascii="Century Schoolbook" w:hAnsi="Century Schoolbook"/>
              </w:rPr>
            </w:pPr>
            <w:r w:rsidRPr="00AA20DD">
              <w:rPr>
                <w:rFonts w:ascii="Century Schoolbook" w:eastAsia="Times New Roman" w:hAnsi="Century Schoolbook"/>
                <w:lang w:eastAsia="fr-FR"/>
              </w:rPr>
              <w:t xml:space="preserve">Average annual number of an analyst’s new recommendation changes that are above, i.e. more optimistic than, the consensus. See Clement (1999), and </w:t>
            </w:r>
            <w:r w:rsidRPr="00AA20DD">
              <w:rPr>
                <w:rFonts w:ascii="Century Schoolbook" w:hAnsi="Century Schoolbook"/>
              </w:rPr>
              <w:t xml:space="preserve">Hong and </w:t>
            </w:r>
            <w:proofErr w:type="spellStart"/>
            <w:r w:rsidRPr="00AA20DD">
              <w:rPr>
                <w:rFonts w:ascii="Century Schoolbook" w:hAnsi="Century Schoolbook"/>
              </w:rPr>
              <w:t>Kubik</w:t>
            </w:r>
            <w:proofErr w:type="spellEnd"/>
            <w:r w:rsidRPr="00AA20DD">
              <w:rPr>
                <w:rFonts w:ascii="Century Schoolbook" w:hAnsi="Century Schoolbook"/>
              </w:rPr>
              <w:t xml:space="preserve"> (2003).</w:t>
            </w:r>
            <w:r w:rsidRPr="00AA20DD">
              <w:rPr>
                <w:rFonts w:ascii="Century Schoolbook" w:eastAsia="Times New Roman" w:hAnsi="Century Schoolbook"/>
                <w:lang w:eastAsia="fr-FR"/>
              </w:rPr>
              <w:t xml:space="preserve"> </w:t>
            </w:r>
            <w:r w:rsidRPr="00AA20DD">
              <w:rPr>
                <w:rFonts w:ascii="Century Schoolbook" w:hAnsi="Century Schoolbook"/>
              </w:rPr>
              <w:t xml:space="preserve">For more details, see </w:t>
            </w:r>
            <w:r>
              <w:rPr>
                <w:rFonts w:ascii="Century Schoolbook" w:hAnsi="Century Schoolbook"/>
              </w:rPr>
              <w:t>Online Appendix, Section A</w:t>
            </w:r>
            <w:r w:rsidRPr="00AA20DD">
              <w:rPr>
                <w:rFonts w:ascii="Century Schoolbook" w:hAnsi="Century Schoolbook"/>
              </w:rPr>
              <w:t>.</w:t>
            </w:r>
          </w:p>
          <w:p w14:paraId="114B67C0" w14:textId="77777777" w:rsidR="00E1496F" w:rsidRPr="00AA20DD" w:rsidRDefault="00E1496F" w:rsidP="00A06FDD">
            <w:pPr>
              <w:jc w:val="both"/>
              <w:rPr>
                <w:rFonts w:ascii="Century Schoolbook" w:hAnsi="Century Schoolbook"/>
              </w:rPr>
            </w:pPr>
          </w:p>
          <w:p w14:paraId="14D7F889" w14:textId="77777777" w:rsidR="00E1496F" w:rsidRPr="00AA20DD" w:rsidRDefault="00E1496F" w:rsidP="00A06FDD">
            <w:pPr>
              <w:jc w:val="both"/>
              <w:rPr>
                <w:rFonts w:ascii="Century Schoolbook" w:hAnsi="Century Schoolbook"/>
              </w:rPr>
            </w:pPr>
            <w:r w:rsidRPr="00AA20DD">
              <w:rPr>
                <w:rFonts w:ascii="Century Schoolbook" w:hAnsi="Century Schoolbook"/>
              </w:rPr>
              <w:t xml:space="preserve">The average number of recommendation changes that move away from the consensus. The recommendation consensus is </w:t>
            </w:r>
            <w:r>
              <w:rPr>
                <w:rFonts w:ascii="Century Schoolbook" w:hAnsi="Century Schoolbook"/>
              </w:rPr>
              <w:t>calculated</w:t>
            </w:r>
            <w:r w:rsidRPr="00AA20DD">
              <w:rPr>
                <w:rFonts w:ascii="Century Schoolbook" w:hAnsi="Century Schoolbook"/>
              </w:rPr>
              <w:t xml:space="preserve"> as the mean of outstanding recommendations issued on each stock, excluding the analyst’s own recommendation. See </w:t>
            </w:r>
            <w:proofErr w:type="spellStart"/>
            <w:r w:rsidRPr="00AA20DD">
              <w:rPr>
                <w:rFonts w:ascii="Century Schoolbook" w:hAnsi="Century Schoolbook"/>
              </w:rPr>
              <w:t>Jegadeesh</w:t>
            </w:r>
            <w:proofErr w:type="spellEnd"/>
            <w:r w:rsidRPr="00AA20DD">
              <w:rPr>
                <w:rFonts w:ascii="Century Schoolbook" w:hAnsi="Century Schoolbook"/>
              </w:rPr>
              <w:t xml:space="preserve"> and Kim (2010). For more details, </w:t>
            </w:r>
            <w:r>
              <w:rPr>
                <w:rFonts w:ascii="Century Schoolbook" w:hAnsi="Century Schoolbook"/>
              </w:rPr>
              <w:t>see Online Appendix, Section A</w:t>
            </w:r>
            <w:r w:rsidRPr="00AA20DD">
              <w:rPr>
                <w:rFonts w:ascii="Century Schoolbook" w:hAnsi="Century Schoolbook"/>
              </w:rPr>
              <w:t>.</w:t>
            </w:r>
          </w:p>
          <w:p w14:paraId="3C6653B2" w14:textId="77777777" w:rsidR="00E1496F" w:rsidRPr="00AA20DD" w:rsidRDefault="00E1496F" w:rsidP="00A06FDD">
            <w:pPr>
              <w:jc w:val="both"/>
              <w:rPr>
                <w:rFonts w:ascii="Century Schoolbook" w:eastAsia="Times New Roman" w:hAnsi="Century Schoolbook"/>
                <w:color w:val="FF0000"/>
                <w:lang w:eastAsia="fr-FR"/>
              </w:rPr>
            </w:pPr>
          </w:p>
        </w:tc>
        <w:tc>
          <w:tcPr>
            <w:tcW w:w="1417" w:type="dxa"/>
          </w:tcPr>
          <w:p w14:paraId="3CA5A8C8"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p w14:paraId="3A48E7AF" w14:textId="77777777" w:rsidR="00E1496F" w:rsidRPr="00AA20DD" w:rsidRDefault="00E1496F" w:rsidP="00A06FDD">
            <w:pPr>
              <w:spacing w:line="360" w:lineRule="auto"/>
              <w:rPr>
                <w:rFonts w:ascii="Century Schoolbook" w:hAnsi="Century Schoolbook"/>
              </w:rPr>
            </w:pPr>
          </w:p>
          <w:p w14:paraId="19ECF50D" w14:textId="77777777" w:rsidR="00E1496F" w:rsidRPr="00AA20DD" w:rsidRDefault="00E1496F" w:rsidP="00A06FDD">
            <w:pPr>
              <w:spacing w:line="360" w:lineRule="auto"/>
              <w:rPr>
                <w:rFonts w:ascii="Century Schoolbook" w:hAnsi="Century Schoolbook"/>
              </w:rPr>
            </w:pPr>
          </w:p>
          <w:p w14:paraId="3281AA59"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253C52B7" w14:textId="77777777" w:rsidTr="00A06FDD">
        <w:tc>
          <w:tcPr>
            <w:tcW w:w="2235" w:type="dxa"/>
          </w:tcPr>
          <w:p w14:paraId="0BABDA54" w14:textId="77777777" w:rsidR="00E1496F" w:rsidRPr="00AA20DD" w:rsidRDefault="00E1496F" w:rsidP="00A06FDD">
            <w:pPr>
              <w:rPr>
                <w:rFonts w:ascii="Century Schoolbook" w:hAnsi="Century Schoolbook"/>
                <w:i/>
              </w:rPr>
            </w:pPr>
            <w:r w:rsidRPr="00AA20DD">
              <w:rPr>
                <w:rFonts w:ascii="Century Schoolbook" w:hAnsi="Century Schoolbook"/>
                <w:i/>
              </w:rPr>
              <w:t>All–star</w:t>
            </w:r>
          </w:p>
        </w:tc>
        <w:tc>
          <w:tcPr>
            <w:tcW w:w="5953" w:type="dxa"/>
          </w:tcPr>
          <w:p w14:paraId="5AE3801C" w14:textId="77777777" w:rsidR="00E1496F" w:rsidRPr="00AA20DD" w:rsidRDefault="00E1496F" w:rsidP="00A06FDD">
            <w:pPr>
              <w:jc w:val="both"/>
              <w:rPr>
                <w:rFonts w:ascii="Century Schoolbook" w:hAnsi="Century Schoolbook"/>
              </w:rPr>
            </w:pPr>
            <w:r w:rsidRPr="00AA20DD">
              <w:rPr>
                <w:rFonts w:ascii="Century Schoolbook" w:hAnsi="Century Schoolbook"/>
              </w:rPr>
              <w:t>Dummy variabl</w:t>
            </w:r>
            <w:r>
              <w:rPr>
                <w:rFonts w:ascii="Century Schoolbook" w:hAnsi="Century Schoolbook"/>
              </w:rPr>
              <w:t xml:space="preserve">e equal to one if an analyst is currently </w:t>
            </w:r>
            <w:r w:rsidRPr="00AA20DD">
              <w:rPr>
                <w:rFonts w:ascii="Century Schoolbook" w:hAnsi="Century Schoolbook"/>
              </w:rPr>
              <w:t xml:space="preserve">elected to the </w:t>
            </w:r>
            <w:r w:rsidRPr="00AA20DD">
              <w:rPr>
                <w:rFonts w:ascii="Century Schoolbook" w:hAnsi="Century Schoolbook"/>
                <w:i/>
              </w:rPr>
              <w:t xml:space="preserve">Institutional Investor’s </w:t>
            </w:r>
            <w:r w:rsidRPr="006776FD">
              <w:rPr>
                <w:rFonts w:ascii="Century Schoolbook" w:hAnsi="Century Schoolbook"/>
              </w:rPr>
              <w:t>A</w:t>
            </w:r>
            <w:r>
              <w:rPr>
                <w:rFonts w:ascii="Century Schoolbook" w:hAnsi="Century Schoolbook"/>
              </w:rPr>
              <w:t xml:space="preserve">ll-American </w:t>
            </w:r>
            <w:r w:rsidRPr="006776FD">
              <w:rPr>
                <w:rFonts w:ascii="Century Schoolbook" w:hAnsi="Century Schoolbook"/>
              </w:rPr>
              <w:t xml:space="preserve">team </w:t>
            </w:r>
            <w:r w:rsidRPr="00AA20DD">
              <w:rPr>
                <w:rFonts w:ascii="Century Schoolbook" w:hAnsi="Century Schoolbook"/>
              </w:rPr>
              <w:t xml:space="preserve">annual rankings.  </w:t>
            </w:r>
            <w:r>
              <w:rPr>
                <w:rFonts w:ascii="Century Schoolbook" w:hAnsi="Century Schoolbook"/>
              </w:rPr>
              <w:t>This dummy is updated annually as the new ranking is announced.</w:t>
            </w:r>
          </w:p>
          <w:p w14:paraId="64B6A9D5" w14:textId="77777777" w:rsidR="00E1496F" w:rsidRPr="00AA20DD" w:rsidRDefault="00E1496F" w:rsidP="00A06FDD">
            <w:pPr>
              <w:jc w:val="both"/>
              <w:rPr>
                <w:rFonts w:ascii="Century Schoolbook" w:hAnsi="Century Schoolbook"/>
              </w:rPr>
            </w:pPr>
          </w:p>
        </w:tc>
        <w:tc>
          <w:tcPr>
            <w:tcW w:w="1417" w:type="dxa"/>
          </w:tcPr>
          <w:p w14:paraId="4E9E2D4A" w14:textId="77777777" w:rsidR="00E1496F" w:rsidRPr="00AA20DD" w:rsidRDefault="00E1496F" w:rsidP="00A06FDD">
            <w:pPr>
              <w:rPr>
                <w:rFonts w:ascii="Century Schoolbook" w:hAnsi="Century Schoolbook"/>
              </w:rPr>
            </w:pPr>
            <w:r w:rsidRPr="00AA20DD">
              <w:rPr>
                <w:rFonts w:ascii="Century Schoolbook" w:hAnsi="Century Schoolbook"/>
              </w:rPr>
              <w:t>Fang and Yasuda (2014)</w:t>
            </w:r>
          </w:p>
        </w:tc>
      </w:tr>
      <w:tr w:rsidR="00E1496F" w:rsidRPr="00AA20DD" w14:paraId="20FD6E0D" w14:textId="77777777" w:rsidTr="00A06FDD">
        <w:tc>
          <w:tcPr>
            <w:tcW w:w="2235" w:type="dxa"/>
          </w:tcPr>
          <w:p w14:paraId="163E005D" w14:textId="77777777" w:rsidR="00E1496F" w:rsidRPr="00AA20DD" w:rsidRDefault="00E1496F" w:rsidP="00A06FDD">
            <w:pPr>
              <w:rPr>
                <w:rFonts w:ascii="Century Schoolbook" w:hAnsi="Century Schoolbook"/>
                <w:i/>
              </w:rPr>
            </w:pPr>
            <w:r w:rsidRPr="00AA20DD">
              <w:rPr>
                <w:rFonts w:ascii="Century Schoolbook" w:hAnsi="Century Schoolbook"/>
                <w:i/>
              </w:rPr>
              <w:t>Male</w:t>
            </w:r>
          </w:p>
        </w:tc>
        <w:tc>
          <w:tcPr>
            <w:tcW w:w="5953" w:type="dxa"/>
          </w:tcPr>
          <w:p w14:paraId="63A0A701" w14:textId="77777777" w:rsidR="00E1496F" w:rsidRPr="00AA20DD" w:rsidRDefault="00E1496F" w:rsidP="00A06FDD">
            <w:pPr>
              <w:jc w:val="both"/>
              <w:rPr>
                <w:rFonts w:ascii="Century Schoolbook" w:hAnsi="Century Schoolbook"/>
              </w:rPr>
            </w:pPr>
            <w:r w:rsidRPr="00AA20DD">
              <w:rPr>
                <w:rFonts w:ascii="Century Schoolbook" w:hAnsi="Century Schoolbook"/>
              </w:rPr>
              <w:t>Dummy variable equal to one if the analyst is a male and zero otherwise.</w:t>
            </w:r>
          </w:p>
          <w:p w14:paraId="2533CC8C" w14:textId="77777777" w:rsidR="00E1496F" w:rsidRPr="00AA20DD" w:rsidRDefault="00E1496F" w:rsidP="00A06FDD">
            <w:pPr>
              <w:jc w:val="both"/>
              <w:rPr>
                <w:rFonts w:ascii="Century Schoolbook" w:hAnsi="Century Schoolbook"/>
              </w:rPr>
            </w:pPr>
          </w:p>
        </w:tc>
        <w:tc>
          <w:tcPr>
            <w:tcW w:w="1417" w:type="dxa"/>
          </w:tcPr>
          <w:p w14:paraId="4F3AE203" w14:textId="77777777" w:rsidR="00E1496F" w:rsidRPr="00AA20DD" w:rsidRDefault="00E1496F" w:rsidP="00A06FDD">
            <w:pPr>
              <w:rPr>
                <w:rFonts w:ascii="Century Schoolbook" w:hAnsi="Century Schoolbook"/>
              </w:rPr>
            </w:pPr>
            <w:r w:rsidRPr="00AA20DD">
              <w:rPr>
                <w:rFonts w:ascii="Century Schoolbook" w:hAnsi="Century Schoolbook"/>
              </w:rPr>
              <w:t>Law (2013), Kumar (2010)</w:t>
            </w:r>
          </w:p>
        </w:tc>
      </w:tr>
      <w:tr w:rsidR="00E1496F" w:rsidRPr="00AA20DD" w14:paraId="168CC42A" w14:textId="77777777" w:rsidTr="00A06FDD">
        <w:tc>
          <w:tcPr>
            <w:tcW w:w="2235" w:type="dxa"/>
          </w:tcPr>
          <w:p w14:paraId="35739DD9" w14:textId="77777777" w:rsidR="00E1496F" w:rsidRPr="00AA20DD" w:rsidRDefault="00E1496F" w:rsidP="00A06FDD">
            <w:pPr>
              <w:rPr>
                <w:rFonts w:ascii="Century Schoolbook" w:hAnsi="Century Schoolbook"/>
                <w:i/>
              </w:rPr>
            </w:pPr>
            <w:r w:rsidRPr="00AA20DD">
              <w:rPr>
                <w:rFonts w:ascii="Century Schoolbook" w:hAnsi="Century Schoolbook"/>
                <w:i/>
              </w:rPr>
              <w:t>Forecast frequency</w:t>
            </w:r>
          </w:p>
        </w:tc>
        <w:tc>
          <w:tcPr>
            <w:tcW w:w="5953" w:type="dxa"/>
          </w:tcPr>
          <w:p w14:paraId="2F7B5F5B" w14:textId="77777777" w:rsidR="00E1496F" w:rsidRPr="00AA20DD" w:rsidRDefault="00E1496F" w:rsidP="00A06FDD">
            <w:pPr>
              <w:jc w:val="both"/>
              <w:rPr>
                <w:rFonts w:ascii="Century Schoolbook" w:hAnsi="Century Schoolbook"/>
              </w:rPr>
            </w:pPr>
            <w:r w:rsidRPr="00AA20DD">
              <w:rPr>
                <w:rFonts w:ascii="Century Schoolbook" w:hAnsi="Century Schoolbook"/>
              </w:rPr>
              <w:t>Number of earnings forecasts made by an analyst per stock per quarter, averaged across all stocks an analyst covers in a given year. See Clement and Tse (2005).</w:t>
            </w:r>
          </w:p>
          <w:p w14:paraId="2B05F183" w14:textId="77777777" w:rsidR="00E1496F" w:rsidRPr="00AA20DD" w:rsidRDefault="00E1496F" w:rsidP="00A06FDD">
            <w:pPr>
              <w:jc w:val="both"/>
              <w:rPr>
                <w:rFonts w:ascii="Century Schoolbook" w:hAnsi="Century Schoolbook"/>
              </w:rPr>
            </w:pPr>
          </w:p>
        </w:tc>
        <w:tc>
          <w:tcPr>
            <w:tcW w:w="1417" w:type="dxa"/>
          </w:tcPr>
          <w:p w14:paraId="1E0F050F"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p w14:paraId="4141DB74" w14:textId="77777777" w:rsidR="00E1496F" w:rsidRPr="00AA20DD" w:rsidRDefault="00E1496F" w:rsidP="00A06FDD">
            <w:pPr>
              <w:spacing w:line="360" w:lineRule="auto"/>
              <w:rPr>
                <w:rFonts w:ascii="Century Schoolbook" w:hAnsi="Century Schoolbook"/>
              </w:rPr>
            </w:pPr>
          </w:p>
        </w:tc>
      </w:tr>
      <w:tr w:rsidR="00E1496F" w:rsidRPr="00AA20DD" w14:paraId="18046AE4" w14:textId="77777777" w:rsidTr="00A06FDD">
        <w:tc>
          <w:tcPr>
            <w:tcW w:w="2235" w:type="dxa"/>
          </w:tcPr>
          <w:p w14:paraId="314E3CA0" w14:textId="77777777" w:rsidR="00E1496F" w:rsidRPr="00AA20DD" w:rsidRDefault="00E1496F" w:rsidP="00A06FDD">
            <w:pPr>
              <w:rPr>
                <w:rFonts w:ascii="Century Schoolbook" w:hAnsi="Century Schoolbook"/>
                <w:i/>
              </w:rPr>
            </w:pPr>
            <w:r w:rsidRPr="00AA20DD">
              <w:rPr>
                <w:rFonts w:ascii="Century Schoolbook" w:hAnsi="Century Schoolbook"/>
                <w:i/>
              </w:rPr>
              <w:t>Top broker</w:t>
            </w:r>
          </w:p>
        </w:tc>
        <w:tc>
          <w:tcPr>
            <w:tcW w:w="5953" w:type="dxa"/>
          </w:tcPr>
          <w:p w14:paraId="217896E6" w14:textId="77777777" w:rsidR="00E1496F" w:rsidRPr="00AA20DD" w:rsidRDefault="00E1496F" w:rsidP="00A06FDD">
            <w:pPr>
              <w:jc w:val="both"/>
              <w:rPr>
                <w:rFonts w:ascii="Century Schoolbook" w:hAnsi="Century Schoolbook"/>
              </w:rPr>
            </w:pPr>
            <w:r w:rsidRPr="00AA20DD">
              <w:rPr>
                <w:rFonts w:ascii="Century Schoolbook" w:hAnsi="Century Schoolbook"/>
              </w:rPr>
              <w:t>Dummy variable equal to one if the analyst’s brokerage</w:t>
            </w:r>
            <w:r>
              <w:rPr>
                <w:rFonts w:ascii="Century Schoolbook" w:hAnsi="Century Schoolbook"/>
              </w:rPr>
              <w:t xml:space="preserve"> house in a given year is in the top tenth size-percentile </w:t>
            </w:r>
            <w:r w:rsidRPr="00AA20DD">
              <w:rPr>
                <w:rFonts w:ascii="Century Schoolbook" w:hAnsi="Century Schoolbook"/>
              </w:rPr>
              <w:t>measured by the number of analysts employed in a given year. See Clement (1999).</w:t>
            </w:r>
          </w:p>
          <w:p w14:paraId="2A41C80D" w14:textId="77777777" w:rsidR="00E1496F" w:rsidRPr="00AA20DD" w:rsidRDefault="00E1496F" w:rsidP="00A06FDD">
            <w:pPr>
              <w:jc w:val="both"/>
              <w:rPr>
                <w:rFonts w:ascii="Century Schoolbook" w:hAnsi="Century Schoolbook"/>
              </w:rPr>
            </w:pPr>
          </w:p>
        </w:tc>
        <w:tc>
          <w:tcPr>
            <w:tcW w:w="1417" w:type="dxa"/>
          </w:tcPr>
          <w:p w14:paraId="38A4740A"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321C931E" w14:textId="77777777" w:rsidTr="00A06FDD">
        <w:tc>
          <w:tcPr>
            <w:tcW w:w="2235" w:type="dxa"/>
          </w:tcPr>
          <w:p w14:paraId="7C857CB3" w14:textId="77777777" w:rsidR="00E1496F" w:rsidRPr="00AA20DD" w:rsidRDefault="00E1496F" w:rsidP="00A06FDD">
            <w:pPr>
              <w:rPr>
                <w:rFonts w:ascii="Century Schoolbook" w:hAnsi="Century Schoolbook"/>
                <w:i/>
              </w:rPr>
            </w:pPr>
            <w:r w:rsidRPr="00AA20DD">
              <w:rPr>
                <w:rFonts w:ascii="Century Schoolbook" w:hAnsi="Century Schoolbook"/>
                <w:i/>
              </w:rPr>
              <w:t>Breadth</w:t>
            </w:r>
          </w:p>
        </w:tc>
        <w:tc>
          <w:tcPr>
            <w:tcW w:w="5953" w:type="dxa"/>
          </w:tcPr>
          <w:p w14:paraId="280DD0FF" w14:textId="77777777" w:rsidR="00E1496F" w:rsidRPr="00AA20DD" w:rsidRDefault="00E1496F" w:rsidP="00A06FDD">
            <w:pPr>
              <w:jc w:val="both"/>
              <w:rPr>
                <w:rFonts w:ascii="Century Schoolbook" w:hAnsi="Century Schoolbook"/>
              </w:rPr>
            </w:pPr>
            <w:r w:rsidRPr="00AA20DD">
              <w:rPr>
                <w:rFonts w:ascii="Century Schoolbook" w:hAnsi="Century Schoolbook"/>
              </w:rPr>
              <w:t>Number of stocks an analyst provides active recommendation coverage in a given year.</w:t>
            </w:r>
          </w:p>
          <w:p w14:paraId="351784C1" w14:textId="77777777" w:rsidR="00E1496F" w:rsidRPr="00AA20DD" w:rsidRDefault="00E1496F" w:rsidP="00A06FDD">
            <w:pPr>
              <w:jc w:val="both"/>
              <w:rPr>
                <w:rFonts w:ascii="Century Schoolbook" w:hAnsi="Century Schoolbook"/>
              </w:rPr>
            </w:pPr>
          </w:p>
        </w:tc>
        <w:tc>
          <w:tcPr>
            <w:tcW w:w="1417" w:type="dxa"/>
          </w:tcPr>
          <w:p w14:paraId="624CA9D7"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49BE0FDD" w14:textId="77777777" w:rsidTr="00A06FDD">
        <w:tc>
          <w:tcPr>
            <w:tcW w:w="2235" w:type="dxa"/>
          </w:tcPr>
          <w:p w14:paraId="0D44C2F6" w14:textId="77777777" w:rsidR="00E1496F" w:rsidRPr="00AA20DD" w:rsidRDefault="00E1496F" w:rsidP="00A06FDD">
            <w:pPr>
              <w:rPr>
                <w:rFonts w:ascii="Century Schoolbook" w:hAnsi="Century Schoolbook"/>
                <w:i/>
              </w:rPr>
            </w:pPr>
            <w:r w:rsidRPr="00AA20DD">
              <w:rPr>
                <w:rFonts w:ascii="Century Schoolbook" w:hAnsi="Century Schoolbook"/>
                <w:i/>
              </w:rPr>
              <w:t>EPS optimism</w:t>
            </w:r>
          </w:p>
        </w:tc>
        <w:tc>
          <w:tcPr>
            <w:tcW w:w="5953" w:type="dxa"/>
          </w:tcPr>
          <w:p w14:paraId="21F821C6" w14:textId="77777777" w:rsidR="00E1496F" w:rsidRPr="00AA20DD" w:rsidRDefault="00E1496F" w:rsidP="00A06FDD">
            <w:pPr>
              <w:jc w:val="both"/>
              <w:rPr>
                <w:rFonts w:ascii="Century Schoolbook" w:hAnsi="Century Schoolbook"/>
              </w:rPr>
            </w:pPr>
            <w:r w:rsidRPr="00AA20DD">
              <w:rPr>
                <w:rFonts w:ascii="Century Schoolbook" w:hAnsi="Century Schoolbook"/>
              </w:rPr>
              <w:t>The average number of quarterly earnings forecasts that is above the consensus, excluding the analyst’s own previous forecast level. For more details, see Appendix B.</w:t>
            </w:r>
          </w:p>
          <w:p w14:paraId="47346A91" w14:textId="77777777" w:rsidR="00E1496F" w:rsidRPr="00AA20DD" w:rsidRDefault="00E1496F" w:rsidP="00A06FDD">
            <w:pPr>
              <w:jc w:val="both"/>
              <w:rPr>
                <w:rFonts w:ascii="Century Schoolbook" w:hAnsi="Century Schoolbook"/>
              </w:rPr>
            </w:pPr>
          </w:p>
        </w:tc>
        <w:tc>
          <w:tcPr>
            <w:tcW w:w="1417" w:type="dxa"/>
          </w:tcPr>
          <w:p w14:paraId="40E91B03"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23CB74DA" w14:textId="77777777" w:rsidTr="00A06FDD">
        <w:trPr>
          <w:trHeight w:val="2948"/>
        </w:trPr>
        <w:tc>
          <w:tcPr>
            <w:tcW w:w="2235" w:type="dxa"/>
            <w:tcBorders>
              <w:bottom w:val="single" w:sz="4" w:space="0" w:color="auto"/>
            </w:tcBorders>
          </w:tcPr>
          <w:p w14:paraId="1B737FF5" w14:textId="77777777" w:rsidR="00E1496F" w:rsidRPr="00AA20DD" w:rsidRDefault="00E1496F" w:rsidP="00A06FDD">
            <w:pPr>
              <w:rPr>
                <w:rFonts w:ascii="Century Schoolbook" w:eastAsia="Times New Roman" w:hAnsi="Century Schoolbook"/>
                <w:i/>
                <w:lang w:eastAsia="fr-FR"/>
              </w:rPr>
            </w:pPr>
          </w:p>
          <w:p w14:paraId="39009858" w14:textId="77777777" w:rsidR="00E1496F" w:rsidRPr="00AA20DD" w:rsidRDefault="00E1496F" w:rsidP="00A06FDD">
            <w:pPr>
              <w:rPr>
                <w:rFonts w:ascii="Century Schoolbook" w:eastAsia="Times New Roman" w:hAnsi="Century Schoolbook"/>
                <w:i/>
                <w:lang w:eastAsia="fr-FR"/>
              </w:rPr>
            </w:pPr>
            <w:r w:rsidRPr="00AA20DD">
              <w:rPr>
                <w:rFonts w:ascii="Century Schoolbook" w:eastAsia="Times New Roman" w:hAnsi="Century Schoolbook"/>
                <w:i/>
                <w:lang w:eastAsia="fr-FR"/>
              </w:rPr>
              <w:t>EPS precision</w:t>
            </w:r>
          </w:p>
          <w:p w14:paraId="66E1469A" w14:textId="77777777" w:rsidR="00E1496F" w:rsidRPr="00AA20DD" w:rsidRDefault="00E1496F" w:rsidP="00A06FDD">
            <w:pPr>
              <w:rPr>
                <w:rFonts w:ascii="Century Schoolbook" w:hAnsi="Century Schoolbook"/>
                <w:i/>
              </w:rPr>
            </w:pPr>
          </w:p>
        </w:tc>
        <w:tc>
          <w:tcPr>
            <w:tcW w:w="5953" w:type="dxa"/>
            <w:tcBorders>
              <w:bottom w:val="single" w:sz="4" w:space="0" w:color="auto"/>
            </w:tcBorders>
          </w:tcPr>
          <w:p w14:paraId="6B5E6B98" w14:textId="77777777" w:rsidR="00E1496F" w:rsidRDefault="00E1496F" w:rsidP="00A06FDD">
            <w:pPr>
              <w:jc w:val="both"/>
              <w:rPr>
                <w:rFonts w:ascii="Century Schoolbook" w:hAnsi="Century Schoolbook"/>
              </w:rPr>
            </w:pPr>
          </w:p>
          <w:p w14:paraId="20528468" w14:textId="77777777" w:rsidR="00E1496F" w:rsidRPr="00AA20DD" w:rsidRDefault="00E1496F" w:rsidP="00A06FDD">
            <w:pPr>
              <w:jc w:val="both"/>
              <w:rPr>
                <w:rFonts w:ascii="Century Schoolbook" w:hAnsi="Century Schoolbook"/>
              </w:rPr>
            </w:pPr>
            <w:r w:rsidRPr="00AA20DD">
              <w:rPr>
                <w:rFonts w:ascii="Century Schoolbook" w:hAnsi="Century Schoolbook"/>
              </w:rPr>
              <w:t xml:space="preserve">The difference between the absolute forecast error of analyst </w:t>
            </w:r>
            <w:proofErr w:type="spellStart"/>
            <w:r w:rsidRPr="00AA20DD">
              <w:rPr>
                <w:rFonts w:ascii="Century Schoolbook" w:hAnsi="Century Schoolbook"/>
                <w:i/>
              </w:rPr>
              <w:t>i</w:t>
            </w:r>
            <w:proofErr w:type="spellEnd"/>
            <w:r w:rsidRPr="00AA20DD">
              <w:rPr>
                <w:rFonts w:ascii="Century Schoolbook" w:hAnsi="Century Schoolbook"/>
              </w:rPr>
              <w:t xml:space="preserve"> forecasting firm </w:t>
            </w:r>
            <w:r w:rsidRPr="00AA20DD">
              <w:rPr>
                <w:rFonts w:ascii="Century Schoolbook" w:hAnsi="Century Schoolbook"/>
                <w:i/>
              </w:rPr>
              <w:t>j’</w:t>
            </w:r>
            <w:r w:rsidRPr="00AA20DD">
              <w:rPr>
                <w:rFonts w:ascii="Century Schoolbook" w:hAnsi="Century Schoolbook"/>
              </w:rPr>
              <w:t xml:space="preserve">s fiscal quarter </w:t>
            </w:r>
            <w:r w:rsidRPr="00AA20DD">
              <w:rPr>
                <w:rFonts w:ascii="Century Schoolbook" w:hAnsi="Century Schoolbook"/>
                <w:i/>
              </w:rPr>
              <w:t>Q</w:t>
            </w:r>
            <w:r w:rsidRPr="00AA20DD">
              <w:rPr>
                <w:rFonts w:ascii="Century Schoolbook" w:hAnsi="Century Schoolbook"/>
              </w:rPr>
              <w:t xml:space="preserve"> earnings and the average absolute forecast error across all analyst forecasts of firm </w:t>
            </w:r>
            <w:r w:rsidRPr="00AA20DD">
              <w:rPr>
                <w:rFonts w:ascii="Century Schoolbook" w:hAnsi="Century Schoolbook"/>
                <w:i/>
              </w:rPr>
              <w:t>j’</w:t>
            </w:r>
            <w:r w:rsidRPr="00AA20DD">
              <w:rPr>
                <w:rFonts w:ascii="Century Schoolbook" w:hAnsi="Century Schoolbook"/>
              </w:rPr>
              <w:t xml:space="preserve">s fiscal quarter </w:t>
            </w:r>
            <w:r w:rsidRPr="00AA20DD">
              <w:rPr>
                <w:rFonts w:ascii="Century Schoolbook" w:hAnsi="Century Schoolbook"/>
                <w:i/>
              </w:rPr>
              <w:t>Q</w:t>
            </w:r>
            <w:r w:rsidRPr="00AA20DD">
              <w:rPr>
                <w:rFonts w:ascii="Century Schoolbook" w:hAnsi="Century Schoolbook"/>
              </w:rPr>
              <w:t xml:space="preserve"> earnings, divided by the average absolute forecast error across all analyst forecasts of firm </w:t>
            </w:r>
            <w:r w:rsidRPr="00AA20DD">
              <w:rPr>
                <w:rFonts w:ascii="Century Schoolbook" w:hAnsi="Century Schoolbook"/>
                <w:i/>
              </w:rPr>
              <w:t>j</w:t>
            </w:r>
            <w:r w:rsidRPr="00AA20DD">
              <w:rPr>
                <w:rFonts w:ascii="Century Schoolbook" w:hAnsi="Century Schoolbook"/>
              </w:rPr>
              <w:t xml:space="preserve">’s fiscal quarter </w:t>
            </w:r>
            <w:r w:rsidRPr="00AA20DD">
              <w:rPr>
                <w:rFonts w:ascii="Century Schoolbook" w:hAnsi="Century Schoolbook"/>
                <w:i/>
              </w:rPr>
              <w:t>Q</w:t>
            </w:r>
            <w:r w:rsidRPr="00AA20DD">
              <w:rPr>
                <w:rFonts w:ascii="Century Schoolbook" w:hAnsi="Century Schoolbook"/>
              </w:rPr>
              <w:t xml:space="preserve"> earnings. This figure is multiplied by (−1) and averaged across all stocks an analyst covers in a given year. a higher value of this variable indicates higher precision of an analyst’s forecasts. See Clement and </w:t>
            </w:r>
            <w:proofErr w:type="spellStart"/>
            <w:r w:rsidRPr="00AA20DD">
              <w:rPr>
                <w:rFonts w:ascii="Century Schoolbook" w:hAnsi="Century Schoolbook"/>
              </w:rPr>
              <w:t>Tse</w:t>
            </w:r>
            <w:proofErr w:type="spellEnd"/>
            <w:r w:rsidRPr="00AA20DD">
              <w:rPr>
                <w:rFonts w:ascii="Century Schoolbook" w:hAnsi="Century Schoolbook"/>
              </w:rPr>
              <w:t xml:space="preserve"> (2005) and Bae, </w:t>
            </w:r>
            <w:proofErr w:type="spellStart"/>
            <w:r w:rsidRPr="00AA20DD">
              <w:rPr>
                <w:rFonts w:ascii="Century Schoolbook" w:hAnsi="Century Schoolbook"/>
              </w:rPr>
              <w:t>Stulz</w:t>
            </w:r>
            <w:proofErr w:type="spellEnd"/>
            <w:r w:rsidRPr="00AA20DD">
              <w:rPr>
                <w:rFonts w:ascii="Century Schoolbook" w:hAnsi="Century Schoolbook"/>
              </w:rPr>
              <w:t xml:space="preserve"> and Tan (2008). For more details, see </w:t>
            </w:r>
            <w:r>
              <w:rPr>
                <w:rFonts w:ascii="Century Schoolbook" w:hAnsi="Century Schoolbook"/>
              </w:rPr>
              <w:t>Online Appendix, Section A</w:t>
            </w:r>
            <w:r w:rsidRPr="00AA20DD">
              <w:rPr>
                <w:rFonts w:ascii="Century Schoolbook" w:hAnsi="Century Schoolbook"/>
              </w:rPr>
              <w:t>.</w:t>
            </w:r>
          </w:p>
          <w:p w14:paraId="18AE49B3" w14:textId="77777777" w:rsidR="00E1496F" w:rsidRPr="00AA20DD" w:rsidRDefault="00E1496F" w:rsidP="00A06FDD">
            <w:pPr>
              <w:jc w:val="both"/>
              <w:rPr>
                <w:rFonts w:ascii="Century Schoolbook" w:hAnsi="Century Schoolbook"/>
              </w:rPr>
            </w:pPr>
          </w:p>
        </w:tc>
        <w:tc>
          <w:tcPr>
            <w:tcW w:w="1417" w:type="dxa"/>
            <w:tcBorders>
              <w:bottom w:val="single" w:sz="4" w:space="0" w:color="auto"/>
            </w:tcBorders>
          </w:tcPr>
          <w:p w14:paraId="714E092D" w14:textId="77777777" w:rsidR="00E1496F" w:rsidRPr="00AA20DD" w:rsidRDefault="00E1496F" w:rsidP="00A06FDD">
            <w:pPr>
              <w:spacing w:line="360" w:lineRule="auto"/>
              <w:rPr>
                <w:rFonts w:ascii="Century Schoolbook" w:hAnsi="Century Schoolbook"/>
              </w:rPr>
            </w:pPr>
          </w:p>
          <w:p w14:paraId="59C3098B" w14:textId="77777777" w:rsidR="00E1496F" w:rsidRDefault="00E1496F" w:rsidP="00A06FDD">
            <w:pPr>
              <w:spacing w:line="360" w:lineRule="auto"/>
              <w:rPr>
                <w:rFonts w:ascii="Century Schoolbook" w:hAnsi="Century Schoolbook"/>
              </w:rPr>
            </w:pPr>
          </w:p>
          <w:p w14:paraId="2A51FFA0"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p w14:paraId="26C866B5" w14:textId="77777777" w:rsidR="00E1496F" w:rsidRPr="00AA20DD" w:rsidRDefault="00E1496F" w:rsidP="00A06FDD">
            <w:pPr>
              <w:spacing w:line="360" w:lineRule="auto"/>
              <w:rPr>
                <w:rFonts w:ascii="Century Schoolbook" w:hAnsi="Century Schoolbook"/>
              </w:rPr>
            </w:pPr>
          </w:p>
          <w:p w14:paraId="7118EF77" w14:textId="77777777" w:rsidR="00E1496F" w:rsidRPr="00AA20DD" w:rsidRDefault="00E1496F" w:rsidP="00A06FDD">
            <w:pPr>
              <w:spacing w:line="360" w:lineRule="auto"/>
              <w:rPr>
                <w:rFonts w:ascii="Century Schoolbook" w:hAnsi="Century Schoolbook"/>
              </w:rPr>
            </w:pPr>
          </w:p>
          <w:p w14:paraId="64A78D88" w14:textId="77777777" w:rsidR="00E1496F" w:rsidRPr="00AA20DD" w:rsidRDefault="00E1496F" w:rsidP="00A06FDD">
            <w:pPr>
              <w:spacing w:line="360" w:lineRule="auto"/>
              <w:rPr>
                <w:rFonts w:ascii="Century Schoolbook" w:hAnsi="Century Schoolbook"/>
              </w:rPr>
            </w:pPr>
          </w:p>
          <w:p w14:paraId="0AED8A6D" w14:textId="77777777" w:rsidR="00E1496F" w:rsidRPr="00AA20DD" w:rsidRDefault="00E1496F" w:rsidP="00A06FDD">
            <w:pPr>
              <w:spacing w:line="360" w:lineRule="auto"/>
              <w:rPr>
                <w:rFonts w:ascii="Century Schoolbook" w:hAnsi="Century Schoolbook"/>
              </w:rPr>
            </w:pPr>
          </w:p>
          <w:p w14:paraId="55E44047" w14:textId="77777777" w:rsidR="00E1496F" w:rsidRPr="00AA20DD" w:rsidRDefault="00E1496F" w:rsidP="00A06FDD">
            <w:pPr>
              <w:spacing w:line="360" w:lineRule="auto"/>
              <w:rPr>
                <w:rFonts w:ascii="Century Schoolbook" w:hAnsi="Century Schoolbook"/>
              </w:rPr>
            </w:pPr>
          </w:p>
          <w:p w14:paraId="3082C4FA" w14:textId="77777777" w:rsidR="00E1496F" w:rsidRPr="00AA20DD" w:rsidRDefault="00E1496F" w:rsidP="00A06FDD">
            <w:pPr>
              <w:spacing w:line="360" w:lineRule="auto"/>
              <w:rPr>
                <w:rFonts w:ascii="Century Schoolbook" w:hAnsi="Century Schoolbook"/>
              </w:rPr>
            </w:pPr>
          </w:p>
        </w:tc>
      </w:tr>
      <w:tr w:rsidR="00E1496F" w:rsidRPr="00AA20DD" w14:paraId="441BEAE2" w14:textId="77777777" w:rsidTr="00A06FDD">
        <w:tc>
          <w:tcPr>
            <w:tcW w:w="9605" w:type="dxa"/>
            <w:gridSpan w:val="3"/>
          </w:tcPr>
          <w:p w14:paraId="4F4E945B" w14:textId="77777777" w:rsidR="00E1496F" w:rsidRDefault="00E1496F" w:rsidP="00A06FDD">
            <w:pPr>
              <w:jc w:val="center"/>
              <w:rPr>
                <w:rFonts w:ascii="Century Schoolbook" w:hAnsi="Century Schoolbook"/>
                <w:b/>
                <w:sz w:val="20"/>
                <w:szCs w:val="20"/>
              </w:rPr>
            </w:pPr>
          </w:p>
          <w:p w14:paraId="149E33A3" w14:textId="77777777" w:rsidR="00E1496F" w:rsidRDefault="00E1496F" w:rsidP="00A06FDD">
            <w:pPr>
              <w:jc w:val="center"/>
              <w:rPr>
                <w:rFonts w:ascii="Century Schoolbook" w:hAnsi="Century Schoolbook"/>
                <w:b/>
                <w:sz w:val="20"/>
                <w:szCs w:val="20"/>
              </w:rPr>
            </w:pPr>
          </w:p>
          <w:p w14:paraId="142FC01F" w14:textId="77777777" w:rsidR="00E1496F" w:rsidRDefault="00E1496F" w:rsidP="00A06FDD">
            <w:pPr>
              <w:jc w:val="center"/>
              <w:rPr>
                <w:rFonts w:ascii="Century Schoolbook" w:hAnsi="Century Schoolbook"/>
                <w:b/>
                <w:sz w:val="20"/>
                <w:szCs w:val="20"/>
              </w:rPr>
            </w:pPr>
          </w:p>
          <w:p w14:paraId="06EA18D1" w14:textId="77777777" w:rsidR="00E1496F" w:rsidRDefault="00E1496F" w:rsidP="00A06FDD">
            <w:pPr>
              <w:jc w:val="center"/>
              <w:rPr>
                <w:rFonts w:ascii="Century Schoolbook" w:hAnsi="Century Schoolbook"/>
                <w:b/>
                <w:sz w:val="20"/>
                <w:szCs w:val="20"/>
              </w:rPr>
            </w:pPr>
          </w:p>
          <w:p w14:paraId="5DC6BC34" w14:textId="77777777" w:rsidR="00E1496F" w:rsidRDefault="00E1496F" w:rsidP="00A06FDD">
            <w:pPr>
              <w:jc w:val="center"/>
              <w:rPr>
                <w:rFonts w:ascii="Century Schoolbook" w:hAnsi="Century Schoolbook"/>
                <w:b/>
                <w:sz w:val="20"/>
                <w:szCs w:val="20"/>
              </w:rPr>
            </w:pPr>
          </w:p>
          <w:p w14:paraId="2C2EEC29" w14:textId="77777777" w:rsidR="00E1496F" w:rsidRDefault="00E1496F" w:rsidP="00A06FDD">
            <w:pPr>
              <w:jc w:val="center"/>
              <w:rPr>
                <w:rFonts w:ascii="Century Schoolbook" w:hAnsi="Century Schoolbook"/>
                <w:b/>
                <w:sz w:val="20"/>
                <w:szCs w:val="20"/>
              </w:rPr>
            </w:pPr>
          </w:p>
          <w:p w14:paraId="1F26AF7F" w14:textId="77777777" w:rsidR="00E1496F" w:rsidRPr="00AA20DD" w:rsidRDefault="00E1496F" w:rsidP="00A06FDD">
            <w:pPr>
              <w:jc w:val="center"/>
              <w:rPr>
                <w:rFonts w:ascii="Century Schoolbook" w:hAnsi="Century Schoolbook"/>
                <w:sz w:val="20"/>
                <w:szCs w:val="20"/>
              </w:rPr>
            </w:pPr>
            <w:r w:rsidRPr="00AA20DD">
              <w:rPr>
                <w:rFonts w:ascii="Century Schoolbook" w:hAnsi="Century Schoolbook"/>
                <w:b/>
                <w:sz w:val="20"/>
                <w:szCs w:val="20"/>
              </w:rPr>
              <w:t xml:space="preserve">Appendix A:  </w:t>
            </w:r>
            <w:r w:rsidRPr="00AA20DD">
              <w:rPr>
                <w:rFonts w:ascii="Century Schoolbook" w:hAnsi="Century Schoolbook"/>
                <w:sz w:val="20"/>
                <w:szCs w:val="20"/>
              </w:rPr>
              <w:t xml:space="preserve">List of Variables </w:t>
            </w:r>
            <w:r>
              <w:rPr>
                <w:rFonts w:ascii="Century Schoolbook" w:hAnsi="Century Schoolbook"/>
                <w:sz w:val="20"/>
                <w:szCs w:val="20"/>
              </w:rPr>
              <w:t>(Continued…)</w:t>
            </w:r>
          </w:p>
          <w:p w14:paraId="2A27635F" w14:textId="77777777" w:rsidR="00E1496F" w:rsidRPr="00AA20DD" w:rsidRDefault="00E1496F" w:rsidP="00A06FDD">
            <w:pPr>
              <w:jc w:val="center"/>
              <w:rPr>
                <w:rFonts w:ascii="Century Schoolbook" w:hAnsi="Century Schoolbook"/>
              </w:rPr>
            </w:pPr>
          </w:p>
        </w:tc>
      </w:tr>
      <w:tr w:rsidR="00E1496F" w:rsidRPr="00AA20DD" w14:paraId="63DA4D4E" w14:textId="77777777" w:rsidTr="00A06FDD">
        <w:trPr>
          <w:trHeight w:val="175"/>
        </w:trPr>
        <w:tc>
          <w:tcPr>
            <w:tcW w:w="2235" w:type="dxa"/>
            <w:tcBorders>
              <w:top w:val="single" w:sz="4" w:space="0" w:color="auto"/>
              <w:bottom w:val="single" w:sz="4" w:space="0" w:color="auto"/>
            </w:tcBorders>
          </w:tcPr>
          <w:p w14:paraId="7E0EC2DB" w14:textId="77777777" w:rsidR="00E1496F" w:rsidRPr="00AA20DD" w:rsidRDefault="00E1496F" w:rsidP="00A06FDD">
            <w:pPr>
              <w:rPr>
                <w:rFonts w:ascii="Century Schoolbook" w:eastAsia="Times New Roman" w:hAnsi="Century Schoolbook"/>
                <w:i/>
                <w:lang w:eastAsia="fr-FR"/>
              </w:rPr>
            </w:pPr>
            <w:r w:rsidRPr="00AA20DD">
              <w:rPr>
                <w:rFonts w:ascii="Century Schoolbook" w:eastAsia="Calibri" w:hAnsi="Century Schoolbook"/>
              </w:rPr>
              <w:lastRenderedPageBreak/>
              <w:br w:type="page"/>
            </w:r>
            <w:r w:rsidRPr="00AA20DD">
              <w:rPr>
                <w:rFonts w:ascii="Century Schoolbook" w:hAnsi="Century Schoolbook"/>
                <w:b/>
              </w:rPr>
              <w:t>Variable</w:t>
            </w:r>
          </w:p>
        </w:tc>
        <w:tc>
          <w:tcPr>
            <w:tcW w:w="5953" w:type="dxa"/>
            <w:tcBorders>
              <w:top w:val="single" w:sz="4" w:space="0" w:color="auto"/>
              <w:bottom w:val="single" w:sz="4" w:space="0" w:color="auto"/>
            </w:tcBorders>
          </w:tcPr>
          <w:p w14:paraId="175634D6" w14:textId="77777777" w:rsidR="00E1496F" w:rsidRPr="00AA20DD" w:rsidRDefault="00E1496F" w:rsidP="00A06FDD">
            <w:pPr>
              <w:jc w:val="center"/>
              <w:rPr>
                <w:rFonts w:ascii="Century Schoolbook" w:hAnsi="Century Schoolbook"/>
              </w:rPr>
            </w:pPr>
            <w:r w:rsidRPr="00AA20DD">
              <w:rPr>
                <w:rFonts w:ascii="Century Schoolbook" w:hAnsi="Century Schoolbook"/>
                <w:b/>
              </w:rPr>
              <w:t>Definition</w:t>
            </w:r>
          </w:p>
        </w:tc>
        <w:tc>
          <w:tcPr>
            <w:tcW w:w="1417" w:type="dxa"/>
            <w:tcBorders>
              <w:top w:val="single" w:sz="4" w:space="0" w:color="auto"/>
              <w:bottom w:val="single" w:sz="4" w:space="0" w:color="auto"/>
            </w:tcBorders>
          </w:tcPr>
          <w:p w14:paraId="6135B129"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b/>
              </w:rPr>
              <w:t>Source</w:t>
            </w:r>
          </w:p>
        </w:tc>
      </w:tr>
      <w:tr w:rsidR="00E1496F" w:rsidRPr="00AA20DD" w14:paraId="7AB671EE" w14:textId="77777777" w:rsidTr="00A06FDD">
        <w:trPr>
          <w:trHeight w:val="287"/>
        </w:trPr>
        <w:tc>
          <w:tcPr>
            <w:tcW w:w="8188" w:type="dxa"/>
            <w:gridSpan w:val="2"/>
            <w:tcBorders>
              <w:top w:val="single" w:sz="4" w:space="0" w:color="auto"/>
            </w:tcBorders>
          </w:tcPr>
          <w:p w14:paraId="48D49A41" w14:textId="77777777" w:rsidR="00E1496F" w:rsidRPr="00AA20DD" w:rsidRDefault="00E1496F" w:rsidP="00A06FDD">
            <w:pPr>
              <w:jc w:val="both"/>
              <w:rPr>
                <w:rFonts w:ascii="Century Schoolbook" w:hAnsi="Century Schoolbook"/>
                <w:b/>
              </w:rPr>
            </w:pPr>
          </w:p>
          <w:p w14:paraId="1F2E7F31" w14:textId="77777777" w:rsidR="00E1496F" w:rsidRPr="00AA20DD" w:rsidRDefault="00E1496F" w:rsidP="00A06FDD">
            <w:pPr>
              <w:jc w:val="both"/>
              <w:rPr>
                <w:rFonts w:ascii="Century Schoolbook" w:hAnsi="Century Schoolbook"/>
              </w:rPr>
            </w:pPr>
            <w:r w:rsidRPr="00AA20DD">
              <w:rPr>
                <w:rFonts w:ascii="Century Schoolbook" w:hAnsi="Century Schoolbook"/>
                <w:b/>
              </w:rPr>
              <w:t>Analyst–level variables (continued…)</w:t>
            </w:r>
          </w:p>
        </w:tc>
        <w:tc>
          <w:tcPr>
            <w:tcW w:w="1417" w:type="dxa"/>
            <w:tcBorders>
              <w:top w:val="single" w:sz="4" w:space="0" w:color="auto"/>
            </w:tcBorders>
          </w:tcPr>
          <w:p w14:paraId="55D22A87" w14:textId="77777777" w:rsidR="00E1496F" w:rsidRPr="00AA20DD" w:rsidRDefault="00E1496F" w:rsidP="00A06FDD">
            <w:pPr>
              <w:spacing w:line="360" w:lineRule="auto"/>
              <w:rPr>
                <w:rFonts w:ascii="Century Schoolbook" w:hAnsi="Century Schoolbook"/>
              </w:rPr>
            </w:pPr>
          </w:p>
        </w:tc>
      </w:tr>
      <w:tr w:rsidR="00E1496F" w:rsidRPr="00AA20DD" w14:paraId="2086F372" w14:textId="77777777" w:rsidTr="00A06FDD">
        <w:trPr>
          <w:trHeight w:val="1859"/>
        </w:trPr>
        <w:tc>
          <w:tcPr>
            <w:tcW w:w="2235" w:type="dxa"/>
          </w:tcPr>
          <w:p w14:paraId="443D9F16" w14:textId="77777777" w:rsidR="00E1496F" w:rsidRPr="00AA20DD" w:rsidRDefault="00E1496F" w:rsidP="00A06FDD">
            <w:pPr>
              <w:rPr>
                <w:rFonts w:ascii="Century Schoolbook" w:hAnsi="Century Schoolbook"/>
                <w:i/>
              </w:rPr>
            </w:pPr>
            <w:r w:rsidRPr="00AA20DD">
              <w:rPr>
                <w:rFonts w:ascii="Century Schoolbook" w:hAnsi="Century Schoolbook"/>
                <w:i/>
              </w:rPr>
              <w:t>Leader–follower ratio (LFR)</w:t>
            </w:r>
          </w:p>
          <w:p w14:paraId="0B0CF0ED" w14:textId="77777777" w:rsidR="00E1496F" w:rsidRPr="00AA20DD" w:rsidRDefault="00E1496F" w:rsidP="00A06FDD">
            <w:pPr>
              <w:rPr>
                <w:rFonts w:ascii="Century Schoolbook" w:hAnsi="Century Schoolbook"/>
                <w:i/>
              </w:rPr>
            </w:pPr>
          </w:p>
        </w:tc>
        <w:tc>
          <w:tcPr>
            <w:tcW w:w="5953" w:type="dxa"/>
          </w:tcPr>
          <w:p w14:paraId="0A837716" w14:textId="77777777" w:rsidR="00E1496F" w:rsidRPr="00AA20DD" w:rsidRDefault="00E1496F" w:rsidP="00A06FDD">
            <w:pPr>
              <w:jc w:val="both"/>
              <w:rPr>
                <w:rFonts w:ascii="Century Schoolbook" w:hAnsi="Century Schoolbook"/>
              </w:rPr>
            </w:pPr>
            <w:r w:rsidRPr="00AA20DD">
              <w:rPr>
                <w:rFonts w:ascii="Century Schoolbook" w:hAnsi="Century Schoolbook"/>
              </w:rPr>
              <w:t>The ratio of expected arrival times of other analysts’ recommendations during the pre- and post-recommendation period</w:t>
            </w:r>
            <w:r>
              <w:rPr>
                <w:rFonts w:ascii="Century Schoolbook" w:hAnsi="Century Schoolbook"/>
              </w:rPr>
              <w:t>s</w:t>
            </w:r>
            <w:r w:rsidRPr="00AA20DD">
              <w:rPr>
                <w:rFonts w:ascii="Century Schoolbook" w:hAnsi="Century Schoolbook"/>
              </w:rPr>
              <w:t xml:space="preserve"> issued by an analyst. This ratio measures the average timeliness of an analyst recommendation relative to others. A higher value of LFR indicates that the analyst is a leader in revising recommendations. See Cooper, Day, and Lewis (2001). See </w:t>
            </w:r>
            <w:r>
              <w:rPr>
                <w:rFonts w:ascii="Century Schoolbook" w:hAnsi="Century Schoolbook"/>
              </w:rPr>
              <w:t>Online Appendix, Section A</w:t>
            </w:r>
            <w:r w:rsidRPr="00AA20DD">
              <w:rPr>
                <w:rFonts w:ascii="Century Schoolbook" w:hAnsi="Century Schoolbook"/>
              </w:rPr>
              <w:t xml:space="preserve"> for further details.</w:t>
            </w:r>
          </w:p>
          <w:p w14:paraId="707C494D" w14:textId="77777777" w:rsidR="00E1496F" w:rsidRPr="00AA20DD" w:rsidRDefault="00E1496F" w:rsidP="00A06FDD">
            <w:pPr>
              <w:jc w:val="both"/>
              <w:rPr>
                <w:rFonts w:ascii="Century Schoolbook" w:hAnsi="Century Schoolbook"/>
              </w:rPr>
            </w:pPr>
          </w:p>
        </w:tc>
        <w:tc>
          <w:tcPr>
            <w:tcW w:w="1417" w:type="dxa"/>
          </w:tcPr>
          <w:p w14:paraId="6B1505A8"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4F796B2C" w14:textId="77777777" w:rsidTr="00A06FDD">
        <w:trPr>
          <w:trHeight w:val="1211"/>
        </w:trPr>
        <w:tc>
          <w:tcPr>
            <w:tcW w:w="2235" w:type="dxa"/>
          </w:tcPr>
          <w:p w14:paraId="7436282A" w14:textId="77777777" w:rsidR="00E1496F" w:rsidRPr="00AA20DD" w:rsidRDefault="00E1496F" w:rsidP="00A06FDD">
            <w:pPr>
              <w:rPr>
                <w:rFonts w:ascii="Century Schoolbook" w:eastAsia="Times New Roman" w:hAnsi="Century Schoolbook"/>
                <w:i/>
                <w:lang w:eastAsia="fr-FR"/>
              </w:rPr>
            </w:pPr>
            <w:r w:rsidRPr="00AA20DD">
              <w:rPr>
                <w:rFonts w:ascii="Century Schoolbook" w:hAnsi="Century Schoolbook"/>
                <w:i/>
              </w:rPr>
              <w:t>Industry concentration (HHI)</w:t>
            </w:r>
          </w:p>
        </w:tc>
        <w:tc>
          <w:tcPr>
            <w:tcW w:w="5953" w:type="dxa"/>
          </w:tcPr>
          <w:p w14:paraId="5CAFC599" w14:textId="77777777" w:rsidR="00E1496F" w:rsidRPr="00AA20DD" w:rsidRDefault="00E1496F" w:rsidP="00A06FDD">
            <w:pPr>
              <w:jc w:val="both"/>
              <w:rPr>
                <w:rFonts w:ascii="Century Schoolbook" w:eastAsia="Times New Roman" w:hAnsi="Century Schoolbook"/>
                <w:b/>
                <w:lang w:eastAsia="fr-FR"/>
              </w:rPr>
            </w:pPr>
            <w:proofErr w:type="spellStart"/>
            <w:r w:rsidRPr="00AA20DD">
              <w:rPr>
                <w:rFonts w:ascii="Century Schoolbook" w:eastAsia="Times New Roman" w:hAnsi="Century Schoolbook"/>
                <w:lang w:eastAsia="fr-FR"/>
              </w:rPr>
              <w:t>Herfindahl</w:t>
            </w:r>
            <w:proofErr w:type="spellEnd"/>
            <w:r w:rsidRPr="00AA20DD">
              <w:rPr>
                <w:rFonts w:ascii="Century Schoolbook" w:eastAsia="Times New Roman" w:hAnsi="Century Schoolbook"/>
                <w:lang w:eastAsia="fr-FR"/>
              </w:rPr>
              <w:t xml:space="preserve">–Hirschman index (HHI) measuring industry concentration of an analyst’s portfolio. </w:t>
            </w:r>
            <w:r w:rsidRPr="00AA20DD">
              <w:rPr>
                <w:rFonts w:ascii="Century Schoolbook" w:hAnsi="Century Schoolbook"/>
              </w:rPr>
              <w:t xml:space="preserve">A higher value of HHI indicates that the analysts’ coverage is more dispersed across industries. </w:t>
            </w:r>
            <w:r w:rsidRPr="00AA20DD">
              <w:rPr>
                <w:rFonts w:ascii="Century Schoolbook" w:eastAsia="Times New Roman" w:hAnsi="Century Schoolbook"/>
                <w:lang w:eastAsia="fr-FR"/>
              </w:rPr>
              <w:t xml:space="preserve">The first digit of SIC code is used for industry classification (see </w:t>
            </w:r>
            <w:proofErr w:type="spellStart"/>
            <w:r w:rsidRPr="00AA20DD">
              <w:rPr>
                <w:rFonts w:ascii="Century Schoolbook" w:eastAsia="Times New Roman" w:hAnsi="Century Schoolbook"/>
                <w:lang w:eastAsia="fr-FR"/>
              </w:rPr>
              <w:t>Sonney</w:t>
            </w:r>
            <w:proofErr w:type="spellEnd"/>
            <w:r w:rsidRPr="00AA20DD">
              <w:rPr>
                <w:rFonts w:ascii="Century Schoolbook" w:eastAsia="Times New Roman" w:hAnsi="Century Schoolbook"/>
                <w:lang w:eastAsia="fr-FR"/>
              </w:rPr>
              <w:t xml:space="preserve">, 2007). </w:t>
            </w:r>
            <w:r w:rsidRPr="00AA20DD">
              <w:rPr>
                <w:rFonts w:ascii="Century Schoolbook" w:hAnsi="Century Schoolbook"/>
              </w:rPr>
              <w:t xml:space="preserve">See </w:t>
            </w:r>
            <w:r>
              <w:rPr>
                <w:rFonts w:ascii="Century Schoolbook" w:hAnsi="Century Schoolbook"/>
              </w:rPr>
              <w:t>Online Appendix, Section A</w:t>
            </w:r>
            <w:r w:rsidRPr="00AA20DD">
              <w:rPr>
                <w:rFonts w:ascii="Century Schoolbook" w:hAnsi="Century Schoolbook"/>
              </w:rPr>
              <w:t xml:space="preserve"> for further details.</w:t>
            </w:r>
          </w:p>
        </w:tc>
        <w:tc>
          <w:tcPr>
            <w:tcW w:w="1417" w:type="dxa"/>
          </w:tcPr>
          <w:p w14:paraId="5E3C5F9D" w14:textId="77777777" w:rsidR="00E1496F" w:rsidRPr="00AA20DD" w:rsidRDefault="00E1496F" w:rsidP="00A06FDD">
            <w:pPr>
              <w:spacing w:line="360" w:lineRule="auto"/>
              <w:rPr>
                <w:rFonts w:ascii="Century Schoolbook" w:hAnsi="Century Schoolbook"/>
              </w:rPr>
            </w:pPr>
          </w:p>
          <w:p w14:paraId="4D2CEC7E"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CRSP</w:t>
            </w:r>
          </w:p>
        </w:tc>
      </w:tr>
      <w:tr w:rsidR="00E1496F" w:rsidRPr="00AA20DD" w14:paraId="17EA3803"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188" w:type="dxa"/>
            <w:gridSpan w:val="2"/>
            <w:tcBorders>
              <w:top w:val="nil"/>
              <w:left w:val="nil"/>
              <w:bottom w:val="nil"/>
              <w:right w:val="nil"/>
            </w:tcBorders>
          </w:tcPr>
          <w:p w14:paraId="0011692E"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b/>
              </w:rPr>
              <w:t>Stock–level variables</w:t>
            </w:r>
          </w:p>
        </w:tc>
        <w:tc>
          <w:tcPr>
            <w:tcW w:w="1417" w:type="dxa"/>
            <w:tcBorders>
              <w:top w:val="nil"/>
              <w:left w:val="nil"/>
              <w:bottom w:val="nil"/>
              <w:right w:val="nil"/>
            </w:tcBorders>
          </w:tcPr>
          <w:p w14:paraId="36FCB64B" w14:textId="77777777" w:rsidR="00E1496F" w:rsidRPr="00AA20DD" w:rsidRDefault="00E1496F" w:rsidP="00A06FDD">
            <w:pPr>
              <w:spacing w:line="360" w:lineRule="auto"/>
              <w:rPr>
                <w:rFonts w:ascii="Century Schoolbook" w:hAnsi="Century Schoolbook"/>
              </w:rPr>
            </w:pPr>
          </w:p>
        </w:tc>
      </w:tr>
      <w:tr w:rsidR="00E1496F" w:rsidRPr="00AA20DD" w14:paraId="690C90E1"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0F738743" w14:textId="77777777" w:rsidR="00E1496F" w:rsidRPr="00AA20DD" w:rsidRDefault="00E1496F" w:rsidP="00A06FDD">
            <w:pPr>
              <w:rPr>
                <w:rFonts w:ascii="Century Schoolbook" w:hAnsi="Century Schoolbook"/>
                <w:i/>
              </w:rPr>
            </w:pPr>
            <w:r w:rsidRPr="00AA20DD">
              <w:rPr>
                <w:rFonts w:ascii="Century Schoolbook" w:hAnsi="Century Schoolbook"/>
                <w:i/>
              </w:rPr>
              <w:t>Size</w:t>
            </w:r>
          </w:p>
        </w:tc>
        <w:tc>
          <w:tcPr>
            <w:tcW w:w="5953" w:type="dxa"/>
            <w:tcBorders>
              <w:top w:val="nil"/>
              <w:left w:val="nil"/>
              <w:bottom w:val="nil"/>
              <w:right w:val="nil"/>
            </w:tcBorders>
          </w:tcPr>
          <w:p w14:paraId="5E18C358" w14:textId="77777777" w:rsidR="00E1496F" w:rsidRPr="00AA20DD" w:rsidRDefault="00E1496F" w:rsidP="00A06FDD">
            <w:pPr>
              <w:jc w:val="both"/>
              <w:rPr>
                <w:rFonts w:ascii="Century Schoolbook" w:hAnsi="Century Schoolbook"/>
              </w:rPr>
            </w:pPr>
            <w:r w:rsidRPr="00AA20DD">
              <w:rPr>
                <w:rFonts w:ascii="Century Schoolbook" w:hAnsi="Century Schoolbook"/>
              </w:rPr>
              <w:t>The logarithm of market capitalization</w:t>
            </w:r>
          </w:p>
          <w:p w14:paraId="770AF509" w14:textId="77777777" w:rsidR="00E1496F" w:rsidRPr="00AA20DD" w:rsidRDefault="00E1496F" w:rsidP="00A06FDD">
            <w:pPr>
              <w:jc w:val="both"/>
              <w:rPr>
                <w:rFonts w:ascii="Century Schoolbook" w:hAnsi="Century Schoolbook"/>
              </w:rPr>
            </w:pPr>
          </w:p>
        </w:tc>
        <w:tc>
          <w:tcPr>
            <w:tcW w:w="1417" w:type="dxa"/>
            <w:tcBorders>
              <w:top w:val="nil"/>
              <w:left w:val="nil"/>
              <w:bottom w:val="nil"/>
              <w:right w:val="nil"/>
            </w:tcBorders>
          </w:tcPr>
          <w:p w14:paraId="7A6753F3" w14:textId="77777777" w:rsidR="00E1496F" w:rsidRPr="00AA20DD" w:rsidRDefault="00E1496F" w:rsidP="00A06FDD">
            <w:pPr>
              <w:rPr>
                <w:rFonts w:ascii="Century Schoolbook" w:hAnsi="Century Schoolbook"/>
              </w:rPr>
            </w:pPr>
            <w:r w:rsidRPr="00AA20DD">
              <w:rPr>
                <w:rFonts w:ascii="Century Schoolbook" w:hAnsi="Century Schoolbook"/>
              </w:rPr>
              <w:t>CRSP</w:t>
            </w:r>
          </w:p>
        </w:tc>
      </w:tr>
      <w:tr w:rsidR="00E1496F" w:rsidRPr="00AA20DD" w14:paraId="38DDB7FE"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221EEE78" w14:textId="77777777" w:rsidR="00E1496F" w:rsidRPr="00AA20DD" w:rsidRDefault="00E1496F" w:rsidP="00A06FDD">
            <w:pPr>
              <w:rPr>
                <w:rFonts w:ascii="Century Schoolbook" w:hAnsi="Century Schoolbook"/>
                <w:i/>
              </w:rPr>
            </w:pPr>
            <w:r w:rsidRPr="00AA20DD">
              <w:rPr>
                <w:rFonts w:ascii="Century Schoolbook" w:hAnsi="Century Schoolbook"/>
                <w:i/>
              </w:rPr>
              <w:t>Volatility</w:t>
            </w:r>
          </w:p>
        </w:tc>
        <w:tc>
          <w:tcPr>
            <w:tcW w:w="5953" w:type="dxa"/>
            <w:tcBorders>
              <w:top w:val="nil"/>
              <w:left w:val="nil"/>
              <w:bottom w:val="nil"/>
              <w:right w:val="nil"/>
            </w:tcBorders>
          </w:tcPr>
          <w:p w14:paraId="17AF2632" w14:textId="77777777" w:rsidR="00E1496F" w:rsidRPr="00AA20DD" w:rsidRDefault="00E1496F" w:rsidP="00A06FDD">
            <w:pPr>
              <w:jc w:val="both"/>
              <w:rPr>
                <w:rFonts w:ascii="Century Schoolbook" w:hAnsi="Century Schoolbook"/>
              </w:rPr>
            </w:pPr>
            <w:r w:rsidRPr="00AA20DD">
              <w:rPr>
                <w:rFonts w:ascii="Century Schoolbook" w:hAnsi="Century Schoolbook"/>
              </w:rPr>
              <w:t xml:space="preserve">Standard deviation of residuals from the </w:t>
            </w:r>
            <w:proofErr w:type="spellStart"/>
            <w:r w:rsidRPr="00AA20DD">
              <w:rPr>
                <w:rFonts w:ascii="Century Schoolbook" w:hAnsi="Century Schoolbook"/>
              </w:rPr>
              <w:t>Cahart</w:t>
            </w:r>
            <w:proofErr w:type="spellEnd"/>
            <w:r w:rsidRPr="00AA20DD">
              <w:rPr>
                <w:rFonts w:ascii="Century Schoolbook" w:hAnsi="Century Schoolbook"/>
              </w:rPr>
              <w:t xml:space="preserve"> 4–factor model estimated using daily returns over [−</w:t>
            </w:r>
            <w:proofErr w:type="gramStart"/>
            <w:r w:rsidRPr="00AA20DD">
              <w:rPr>
                <w:rFonts w:ascii="Century Schoolbook" w:hAnsi="Century Schoolbook"/>
              </w:rPr>
              <w:t>60,−</w:t>
            </w:r>
            <w:proofErr w:type="gramEnd"/>
            <w:r w:rsidRPr="00AA20DD">
              <w:rPr>
                <w:rFonts w:ascii="Century Schoolbook" w:hAnsi="Century Schoolbook"/>
              </w:rPr>
              <w:t>5] period relative to event date.</w:t>
            </w:r>
          </w:p>
          <w:p w14:paraId="35591346" w14:textId="77777777" w:rsidR="00E1496F" w:rsidRPr="00AA20DD" w:rsidRDefault="00E1496F" w:rsidP="00A06FDD">
            <w:pPr>
              <w:jc w:val="both"/>
              <w:rPr>
                <w:rFonts w:ascii="Century Schoolbook" w:hAnsi="Century Schoolbook"/>
              </w:rPr>
            </w:pPr>
          </w:p>
        </w:tc>
        <w:tc>
          <w:tcPr>
            <w:tcW w:w="1417" w:type="dxa"/>
            <w:tcBorders>
              <w:top w:val="nil"/>
              <w:left w:val="nil"/>
              <w:bottom w:val="nil"/>
              <w:right w:val="nil"/>
            </w:tcBorders>
          </w:tcPr>
          <w:p w14:paraId="3545265E" w14:textId="77777777" w:rsidR="00E1496F" w:rsidRPr="00AA20DD" w:rsidRDefault="00E1496F" w:rsidP="00A06FDD">
            <w:pPr>
              <w:rPr>
                <w:rFonts w:ascii="Century Schoolbook" w:hAnsi="Century Schoolbook"/>
              </w:rPr>
            </w:pPr>
            <w:r w:rsidRPr="00AA20DD">
              <w:rPr>
                <w:rFonts w:ascii="Century Schoolbook" w:hAnsi="Century Schoolbook"/>
              </w:rPr>
              <w:t>CRSP</w:t>
            </w:r>
          </w:p>
        </w:tc>
      </w:tr>
      <w:tr w:rsidR="00E1496F" w:rsidRPr="00AA20DD" w14:paraId="6BF46A43"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417" w:type="dxa"/>
        </w:trPr>
        <w:tc>
          <w:tcPr>
            <w:tcW w:w="8188" w:type="dxa"/>
            <w:gridSpan w:val="2"/>
            <w:tcBorders>
              <w:top w:val="nil"/>
              <w:left w:val="nil"/>
              <w:bottom w:val="nil"/>
              <w:right w:val="nil"/>
            </w:tcBorders>
          </w:tcPr>
          <w:p w14:paraId="2CE86EEE"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b/>
              </w:rPr>
              <w:t>Recommendation–level variables</w:t>
            </w:r>
          </w:p>
        </w:tc>
      </w:tr>
      <w:tr w:rsidR="00E1496F" w:rsidRPr="00AA20DD" w14:paraId="284D280D"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1A9D8953" w14:textId="77777777" w:rsidR="00E1496F" w:rsidRPr="00AA20DD" w:rsidRDefault="00E1496F" w:rsidP="00A06FDD">
            <w:pPr>
              <w:rPr>
                <w:rFonts w:ascii="Century Schoolbook" w:hAnsi="Century Schoolbook"/>
                <w:i/>
              </w:rPr>
            </w:pPr>
          </w:p>
          <w:p w14:paraId="28A9E7BB" w14:textId="77777777" w:rsidR="00E1496F" w:rsidRPr="00AA20DD" w:rsidRDefault="00E1496F" w:rsidP="00A06FDD">
            <w:pPr>
              <w:rPr>
                <w:rFonts w:ascii="Century Schoolbook" w:hAnsi="Century Schoolbook"/>
                <w:i/>
              </w:rPr>
            </w:pPr>
            <w:r w:rsidRPr="00AA20DD">
              <w:rPr>
                <w:rFonts w:ascii="Century Schoolbook" w:hAnsi="Century Schoolbook"/>
                <w:i/>
              </w:rPr>
              <w:t>Days a recommendation is in place</w:t>
            </w:r>
          </w:p>
          <w:p w14:paraId="192BBBB7" w14:textId="77777777" w:rsidR="00E1496F" w:rsidRPr="00AA20DD" w:rsidRDefault="00E1496F" w:rsidP="00A06FDD">
            <w:pPr>
              <w:rPr>
                <w:rFonts w:ascii="Century Schoolbook" w:hAnsi="Century Schoolbook"/>
                <w:i/>
              </w:rPr>
            </w:pPr>
          </w:p>
          <w:p w14:paraId="3DCD1999" w14:textId="77777777" w:rsidR="00E1496F" w:rsidRPr="00AA20DD" w:rsidRDefault="00E1496F" w:rsidP="00A06FDD">
            <w:pPr>
              <w:rPr>
                <w:rFonts w:ascii="Century Schoolbook" w:eastAsia="Times New Roman" w:hAnsi="Century Schoolbook"/>
                <w:i/>
                <w:color w:val="000000"/>
                <w:lang w:eastAsia="en-CA"/>
              </w:rPr>
            </w:pPr>
            <w:r w:rsidRPr="00AA20DD">
              <w:rPr>
                <w:rFonts w:ascii="Century Schoolbook" w:eastAsia="Times New Roman" w:hAnsi="Century Schoolbook"/>
                <w:i/>
                <w:color w:val="000000"/>
                <w:lang w:eastAsia="en-CA"/>
              </w:rPr>
              <w:t>Log (#days since last recommendation)</w:t>
            </w:r>
          </w:p>
          <w:p w14:paraId="005BCC51" w14:textId="77777777" w:rsidR="00E1496F" w:rsidRPr="00AA20DD" w:rsidRDefault="00E1496F" w:rsidP="00A06FDD">
            <w:pPr>
              <w:rPr>
                <w:rFonts w:ascii="Century Schoolbook" w:hAnsi="Century Schoolbook"/>
                <w:i/>
              </w:rPr>
            </w:pPr>
          </w:p>
        </w:tc>
        <w:tc>
          <w:tcPr>
            <w:tcW w:w="5953" w:type="dxa"/>
            <w:tcBorders>
              <w:top w:val="nil"/>
              <w:left w:val="nil"/>
              <w:bottom w:val="nil"/>
              <w:right w:val="nil"/>
            </w:tcBorders>
          </w:tcPr>
          <w:p w14:paraId="5CB9E8B6" w14:textId="77777777" w:rsidR="00E1496F" w:rsidRPr="00AA20DD" w:rsidRDefault="00E1496F" w:rsidP="00A06FDD">
            <w:pPr>
              <w:jc w:val="both"/>
              <w:rPr>
                <w:rFonts w:ascii="Century Schoolbook" w:hAnsi="Century Schoolbook"/>
              </w:rPr>
            </w:pPr>
          </w:p>
          <w:p w14:paraId="63216B2E" w14:textId="77777777" w:rsidR="00E1496F" w:rsidRPr="00AA20DD" w:rsidRDefault="00E1496F" w:rsidP="00A06FDD">
            <w:pPr>
              <w:jc w:val="both"/>
              <w:rPr>
                <w:rFonts w:ascii="Century Schoolbook" w:hAnsi="Century Schoolbook"/>
              </w:rPr>
            </w:pPr>
            <w:r w:rsidRPr="00AA20DD">
              <w:rPr>
                <w:rFonts w:ascii="Century Schoolbook" w:hAnsi="Century Schoolbook"/>
              </w:rPr>
              <w:t>Number of calendar days between the current recommendation revision and when it was last revised.</w:t>
            </w:r>
          </w:p>
          <w:p w14:paraId="14199C81" w14:textId="77777777" w:rsidR="00E1496F" w:rsidRPr="00AA20DD" w:rsidRDefault="00E1496F" w:rsidP="00A06FDD">
            <w:pPr>
              <w:jc w:val="both"/>
              <w:rPr>
                <w:rFonts w:ascii="Century Schoolbook" w:hAnsi="Century Schoolbook"/>
              </w:rPr>
            </w:pPr>
          </w:p>
          <w:p w14:paraId="3595BDB5" w14:textId="77777777" w:rsidR="00E1496F" w:rsidRPr="00AA20DD" w:rsidRDefault="00E1496F" w:rsidP="00A06FDD">
            <w:pPr>
              <w:jc w:val="both"/>
              <w:rPr>
                <w:rFonts w:ascii="Century Schoolbook" w:hAnsi="Century Schoolbook"/>
              </w:rPr>
            </w:pPr>
            <w:r w:rsidRPr="00AA20DD">
              <w:rPr>
                <w:rFonts w:ascii="Century Schoolbook" w:hAnsi="Century Schoolbook"/>
              </w:rPr>
              <w:t>Log of number of calendar days since the recommendation was revised to the current date.</w:t>
            </w:r>
          </w:p>
        </w:tc>
        <w:tc>
          <w:tcPr>
            <w:tcW w:w="1417" w:type="dxa"/>
            <w:tcBorders>
              <w:top w:val="nil"/>
              <w:left w:val="nil"/>
              <w:bottom w:val="nil"/>
              <w:right w:val="nil"/>
            </w:tcBorders>
          </w:tcPr>
          <w:p w14:paraId="4C9B8F1C" w14:textId="77777777" w:rsidR="00E1496F" w:rsidRPr="00AA20DD" w:rsidRDefault="00E1496F" w:rsidP="00A06FDD">
            <w:pPr>
              <w:rPr>
                <w:rFonts w:ascii="Century Schoolbook" w:hAnsi="Century Schoolbook"/>
              </w:rPr>
            </w:pPr>
          </w:p>
          <w:p w14:paraId="06CE1485" w14:textId="77777777" w:rsidR="00E1496F" w:rsidRPr="00AA20DD" w:rsidRDefault="00E1496F" w:rsidP="00A06FDD">
            <w:pPr>
              <w:rPr>
                <w:rFonts w:ascii="Century Schoolbook" w:hAnsi="Century Schoolbook"/>
              </w:rPr>
            </w:pPr>
            <w:r w:rsidRPr="00AA20DD">
              <w:rPr>
                <w:rFonts w:ascii="Century Schoolbook" w:hAnsi="Century Schoolbook"/>
              </w:rPr>
              <w:t>I/B/E/S</w:t>
            </w:r>
          </w:p>
          <w:p w14:paraId="2AF5E2A6" w14:textId="77777777" w:rsidR="00E1496F" w:rsidRPr="00AA20DD" w:rsidRDefault="00E1496F" w:rsidP="00A06FDD">
            <w:pPr>
              <w:rPr>
                <w:rFonts w:ascii="Century Schoolbook" w:hAnsi="Century Schoolbook"/>
              </w:rPr>
            </w:pPr>
          </w:p>
          <w:p w14:paraId="3604B3DA" w14:textId="77777777" w:rsidR="00E1496F" w:rsidRPr="00AA20DD" w:rsidRDefault="00E1496F" w:rsidP="00A06FDD">
            <w:pPr>
              <w:rPr>
                <w:rFonts w:ascii="Century Schoolbook" w:hAnsi="Century Schoolbook"/>
              </w:rPr>
            </w:pPr>
          </w:p>
          <w:p w14:paraId="6D7478DA" w14:textId="77777777" w:rsidR="00E1496F" w:rsidRPr="00AA20DD" w:rsidRDefault="00E1496F" w:rsidP="00A06FDD">
            <w:pPr>
              <w:rPr>
                <w:rFonts w:ascii="Century Schoolbook" w:hAnsi="Century Schoolbook"/>
              </w:rPr>
            </w:pPr>
            <w:r w:rsidRPr="00AA20DD">
              <w:rPr>
                <w:rFonts w:ascii="Century Schoolbook" w:hAnsi="Century Schoolbook"/>
              </w:rPr>
              <w:t>I/B/E/S</w:t>
            </w:r>
          </w:p>
        </w:tc>
      </w:tr>
      <w:tr w:rsidR="00E1496F" w:rsidRPr="00AA20DD" w14:paraId="732A8C52"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33064115" w14:textId="77777777" w:rsidR="00E1496F" w:rsidRPr="00AA20DD" w:rsidRDefault="00E1496F" w:rsidP="00A06FDD">
            <w:pPr>
              <w:rPr>
                <w:rFonts w:ascii="Century Schoolbook" w:hAnsi="Century Schoolbook"/>
                <w:i/>
              </w:rPr>
            </w:pPr>
            <w:r w:rsidRPr="00AA20DD">
              <w:rPr>
                <w:rFonts w:ascii="Century Schoolbook" w:hAnsi="Century Schoolbook"/>
                <w:i/>
              </w:rPr>
              <w:t>Initial level</w:t>
            </w:r>
          </w:p>
        </w:tc>
        <w:tc>
          <w:tcPr>
            <w:tcW w:w="5953" w:type="dxa"/>
            <w:tcBorders>
              <w:top w:val="nil"/>
              <w:left w:val="nil"/>
              <w:bottom w:val="nil"/>
              <w:right w:val="nil"/>
            </w:tcBorders>
          </w:tcPr>
          <w:p w14:paraId="11FB8B9D" w14:textId="77777777" w:rsidR="00E1496F" w:rsidRPr="00AA20DD" w:rsidRDefault="00E1496F" w:rsidP="00A06FDD">
            <w:pPr>
              <w:jc w:val="both"/>
              <w:rPr>
                <w:rFonts w:ascii="Century Schoolbook" w:hAnsi="Century Schoolbook"/>
              </w:rPr>
            </w:pPr>
            <w:r w:rsidRPr="00AA20DD">
              <w:rPr>
                <w:rFonts w:ascii="Century Schoolbook" w:hAnsi="Century Schoolbook"/>
              </w:rPr>
              <w:t>The level of the recommendation before the revision.</w:t>
            </w:r>
          </w:p>
          <w:p w14:paraId="7A27B65C" w14:textId="77777777" w:rsidR="00E1496F" w:rsidRPr="00AA20DD" w:rsidRDefault="00E1496F" w:rsidP="00A06FDD">
            <w:pPr>
              <w:jc w:val="both"/>
              <w:rPr>
                <w:rFonts w:ascii="Century Schoolbook" w:hAnsi="Century Schoolbook"/>
              </w:rPr>
            </w:pPr>
          </w:p>
        </w:tc>
        <w:tc>
          <w:tcPr>
            <w:tcW w:w="1417" w:type="dxa"/>
            <w:tcBorders>
              <w:top w:val="nil"/>
              <w:left w:val="nil"/>
              <w:bottom w:val="nil"/>
              <w:right w:val="nil"/>
            </w:tcBorders>
          </w:tcPr>
          <w:p w14:paraId="608BEDB1"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13FDD388"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42560AA5" w14:textId="77777777" w:rsidR="00E1496F" w:rsidRPr="00AA20DD" w:rsidRDefault="00E1496F" w:rsidP="00A06FDD">
            <w:pPr>
              <w:rPr>
                <w:rFonts w:ascii="Century Schoolbook" w:hAnsi="Century Schoolbook"/>
                <w:i/>
              </w:rPr>
            </w:pPr>
            <w:r w:rsidRPr="00AA20DD">
              <w:rPr>
                <w:rFonts w:ascii="Century Schoolbook" w:hAnsi="Century Schoolbook"/>
                <w:i/>
              </w:rPr>
              <w:t># level up/down</w:t>
            </w:r>
          </w:p>
        </w:tc>
        <w:tc>
          <w:tcPr>
            <w:tcW w:w="5953" w:type="dxa"/>
            <w:tcBorders>
              <w:top w:val="nil"/>
              <w:left w:val="nil"/>
              <w:bottom w:val="nil"/>
              <w:right w:val="nil"/>
            </w:tcBorders>
          </w:tcPr>
          <w:p w14:paraId="79E3224C" w14:textId="77777777" w:rsidR="00E1496F" w:rsidRPr="00AA20DD" w:rsidRDefault="00E1496F" w:rsidP="00A06FDD">
            <w:pPr>
              <w:rPr>
                <w:rFonts w:ascii="Century Schoolbook" w:hAnsi="Century Schoolbook"/>
              </w:rPr>
            </w:pPr>
            <w:r w:rsidRPr="00AA20DD">
              <w:rPr>
                <w:rFonts w:ascii="Century Schoolbook" w:hAnsi="Century Schoolbook"/>
              </w:rPr>
              <w:t>The difference between the final and the initial recommendation level</w:t>
            </w:r>
          </w:p>
          <w:p w14:paraId="19A7ACF5" w14:textId="77777777" w:rsidR="00E1496F" w:rsidRPr="00AA20DD" w:rsidRDefault="00E1496F" w:rsidP="00A06FDD">
            <w:pPr>
              <w:jc w:val="both"/>
              <w:rPr>
                <w:rFonts w:ascii="Century Schoolbook" w:hAnsi="Century Schoolbook"/>
              </w:rPr>
            </w:pPr>
          </w:p>
        </w:tc>
        <w:tc>
          <w:tcPr>
            <w:tcW w:w="1417" w:type="dxa"/>
            <w:tcBorders>
              <w:top w:val="nil"/>
              <w:left w:val="nil"/>
              <w:bottom w:val="nil"/>
              <w:right w:val="nil"/>
            </w:tcBorders>
          </w:tcPr>
          <w:p w14:paraId="50A2E37B"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6DA87414"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0BA8C6D3" w14:textId="77777777" w:rsidR="00E1496F" w:rsidRPr="00AA20DD" w:rsidRDefault="00E1496F" w:rsidP="00A06FDD">
            <w:pPr>
              <w:rPr>
                <w:rFonts w:ascii="Century Schoolbook" w:hAnsi="Century Schoolbook"/>
                <w:i/>
              </w:rPr>
            </w:pPr>
            <w:r w:rsidRPr="00AA20DD">
              <w:rPr>
                <w:rFonts w:ascii="Century Schoolbook" w:hAnsi="Century Schoolbook"/>
                <w:i/>
              </w:rPr>
              <w:t>Concurrent with earnings</w:t>
            </w:r>
          </w:p>
        </w:tc>
        <w:tc>
          <w:tcPr>
            <w:tcW w:w="5953" w:type="dxa"/>
            <w:tcBorders>
              <w:top w:val="nil"/>
              <w:left w:val="nil"/>
              <w:bottom w:val="nil"/>
              <w:right w:val="nil"/>
            </w:tcBorders>
          </w:tcPr>
          <w:p w14:paraId="64E04BE4" w14:textId="77777777" w:rsidR="00E1496F" w:rsidRPr="00AA20DD" w:rsidRDefault="00E1496F" w:rsidP="00A06FDD">
            <w:pPr>
              <w:jc w:val="both"/>
              <w:rPr>
                <w:rFonts w:ascii="Century Schoolbook" w:hAnsi="Century Schoolbook"/>
              </w:rPr>
            </w:pPr>
            <w:r w:rsidRPr="00AA20DD">
              <w:rPr>
                <w:rFonts w:ascii="Century Schoolbook" w:hAnsi="Century Schoolbook"/>
              </w:rPr>
              <w:t>Dummy variable equal to one for a recommendation change that occurs on days [−</w:t>
            </w:r>
            <w:proofErr w:type="gramStart"/>
            <w:r w:rsidRPr="00AA20DD">
              <w:rPr>
                <w:rFonts w:ascii="Century Schoolbook" w:hAnsi="Century Schoolbook"/>
              </w:rPr>
              <w:t>1,+</w:t>
            </w:r>
            <w:proofErr w:type="gramEnd"/>
            <w:r w:rsidRPr="00AA20DD">
              <w:rPr>
                <w:rFonts w:ascii="Century Schoolbook" w:hAnsi="Century Schoolbook"/>
              </w:rPr>
              <w:t>1] relative to earnings announcement.</w:t>
            </w:r>
          </w:p>
          <w:p w14:paraId="0BCC4F5C" w14:textId="77777777" w:rsidR="00E1496F" w:rsidRPr="00AA20DD" w:rsidRDefault="00E1496F" w:rsidP="00A06FDD">
            <w:pPr>
              <w:jc w:val="both"/>
              <w:rPr>
                <w:rFonts w:ascii="Century Schoolbook" w:hAnsi="Century Schoolbook"/>
              </w:rPr>
            </w:pPr>
          </w:p>
        </w:tc>
        <w:tc>
          <w:tcPr>
            <w:tcW w:w="1417" w:type="dxa"/>
            <w:tcBorders>
              <w:top w:val="nil"/>
              <w:left w:val="nil"/>
              <w:bottom w:val="nil"/>
              <w:right w:val="nil"/>
            </w:tcBorders>
          </w:tcPr>
          <w:p w14:paraId="380D349E"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3EE74954"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727A0592" w14:textId="77777777" w:rsidR="00E1496F" w:rsidRPr="00AA20DD" w:rsidRDefault="00E1496F" w:rsidP="00A06FDD">
            <w:pPr>
              <w:rPr>
                <w:rFonts w:ascii="Century Schoolbook" w:hAnsi="Century Schoolbook"/>
                <w:i/>
              </w:rPr>
            </w:pPr>
            <w:r w:rsidRPr="00AA20DD">
              <w:rPr>
                <w:rFonts w:ascii="Century Schoolbook" w:hAnsi="Century Schoolbook"/>
                <w:i/>
              </w:rPr>
              <w:t>Earnings–following revision</w:t>
            </w:r>
          </w:p>
        </w:tc>
        <w:tc>
          <w:tcPr>
            <w:tcW w:w="5953" w:type="dxa"/>
            <w:tcBorders>
              <w:top w:val="nil"/>
              <w:left w:val="nil"/>
              <w:bottom w:val="nil"/>
              <w:right w:val="nil"/>
            </w:tcBorders>
          </w:tcPr>
          <w:p w14:paraId="4E3497DE" w14:textId="77777777" w:rsidR="00E1496F" w:rsidRPr="00AA20DD" w:rsidRDefault="00E1496F" w:rsidP="00A06FDD">
            <w:pPr>
              <w:jc w:val="both"/>
              <w:rPr>
                <w:rFonts w:ascii="Century Schoolbook" w:hAnsi="Century Schoolbook"/>
              </w:rPr>
            </w:pPr>
            <w:r w:rsidRPr="00AA20DD">
              <w:rPr>
                <w:rFonts w:ascii="Century Schoolbook" w:hAnsi="Century Schoolbook"/>
              </w:rPr>
              <w:t>Dummy variable equal to one for a recommendation change that occurs on days [+2, +7] relative to earnings announcement.</w:t>
            </w:r>
          </w:p>
          <w:p w14:paraId="52B2F3CB" w14:textId="77777777" w:rsidR="00E1496F" w:rsidRPr="00AA20DD" w:rsidRDefault="00E1496F" w:rsidP="00A06FDD">
            <w:pPr>
              <w:jc w:val="both"/>
              <w:rPr>
                <w:rFonts w:ascii="Century Schoolbook" w:hAnsi="Century Schoolbook"/>
              </w:rPr>
            </w:pPr>
          </w:p>
        </w:tc>
        <w:tc>
          <w:tcPr>
            <w:tcW w:w="1417" w:type="dxa"/>
            <w:tcBorders>
              <w:top w:val="nil"/>
              <w:left w:val="nil"/>
              <w:bottom w:val="nil"/>
              <w:right w:val="nil"/>
            </w:tcBorders>
          </w:tcPr>
          <w:p w14:paraId="363F8BE9"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5874E181"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35" w:type="dxa"/>
            <w:tcBorders>
              <w:top w:val="nil"/>
              <w:left w:val="nil"/>
              <w:bottom w:val="nil"/>
              <w:right w:val="nil"/>
            </w:tcBorders>
          </w:tcPr>
          <w:p w14:paraId="49F4F3A2" w14:textId="77777777" w:rsidR="00E1496F" w:rsidRPr="00AA20DD" w:rsidRDefault="00E1496F" w:rsidP="00A06FDD">
            <w:pPr>
              <w:rPr>
                <w:rFonts w:ascii="Century Schoolbook" w:hAnsi="Century Schoolbook"/>
                <w:i/>
              </w:rPr>
            </w:pPr>
            <w:r w:rsidRPr="00AA20DD">
              <w:rPr>
                <w:rFonts w:ascii="Century Schoolbook" w:eastAsia="Times New Roman" w:hAnsi="Century Schoolbook"/>
                <w:i/>
                <w:color w:val="000000"/>
                <w:lang w:eastAsia="en-CA"/>
              </w:rPr>
              <w:t>Earnings–leading revision</w:t>
            </w:r>
          </w:p>
        </w:tc>
        <w:tc>
          <w:tcPr>
            <w:tcW w:w="5953" w:type="dxa"/>
            <w:tcBorders>
              <w:top w:val="nil"/>
              <w:left w:val="nil"/>
              <w:bottom w:val="nil"/>
              <w:right w:val="nil"/>
            </w:tcBorders>
          </w:tcPr>
          <w:p w14:paraId="553358B4" w14:textId="77777777" w:rsidR="00E1496F" w:rsidRPr="00AA20DD" w:rsidRDefault="00E1496F" w:rsidP="00A06FDD">
            <w:pPr>
              <w:jc w:val="both"/>
              <w:rPr>
                <w:rFonts w:ascii="Century Schoolbook" w:hAnsi="Century Schoolbook"/>
              </w:rPr>
            </w:pPr>
            <w:r w:rsidRPr="00AA20DD">
              <w:rPr>
                <w:rFonts w:ascii="Century Schoolbook" w:hAnsi="Century Schoolbook"/>
              </w:rPr>
              <w:t>Dummy variable equal to one for a recommendation change that occurs on days [−7, −2] relative to earnings announcement.</w:t>
            </w:r>
          </w:p>
          <w:p w14:paraId="2DDEDCD7" w14:textId="77777777" w:rsidR="00E1496F" w:rsidRPr="00AA20DD" w:rsidRDefault="00E1496F" w:rsidP="00A06FDD">
            <w:pPr>
              <w:jc w:val="both"/>
              <w:rPr>
                <w:rFonts w:ascii="Century Schoolbook" w:hAnsi="Century Schoolbook"/>
              </w:rPr>
            </w:pPr>
          </w:p>
        </w:tc>
        <w:tc>
          <w:tcPr>
            <w:tcW w:w="1417" w:type="dxa"/>
            <w:tcBorders>
              <w:top w:val="nil"/>
              <w:left w:val="nil"/>
              <w:bottom w:val="nil"/>
              <w:right w:val="nil"/>
            </w:tcBorders>
          </w:tcPr>
          <w:p w14:paraId="59CAE9B6"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r w:rsidR="00E1496F" w:rsidRPr="00AA20DD" w14:paraId="55D1CB2D" w14:textId="77777777" w:rsidTr="00A06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75"/>
        </w:trPr>
        <w:tc>
          <w:tcPr>
            <w:tcW w:w="2235" w:type="dxa"/>
            <w:tcBorders>
              <w:top w:val="nil"/>
              <w:left w:val="nil"/>
              <w:bottom w:val="double" w:sz="4" w:space="0" w:color="auto"/>
              <w:right w:val="nil"/>
            </w:tcBorders>
          </w:tcPr>
          <w:p w14:paraId="16FBEB68" w14:textId="77777777" w:rsidR="00E1496F" w:rsidRPr="00AA20DD" w:rsidRDefault="00E1496F" w:rsidP="00A06FDD">
            <w:pPr>
              <w:rPr>
                <w:rFonts w:ascii="Century Schoolbook" w:hAnsi="Century Schoolbook"/>
                <w:i/>
              </w:rPr>
            </w:pPr>
            <w:r w:rsidRPr="00AA20DD">
              <w:rPr>
                <w:rFonts w:ascii="Century Schoolbook" w:hAnsi="Century Schoolbook"/>
                <w:i/>
              </w:rPr>
              <w:t>Away from consensus</w:t>
            </w:r>
          </w:p>
        </w:tc>
        <w:tc>
          <w:tcPr>
            <w:tcW w:w="5953" w:type="dxa"/>
            <w:tcBorders>
              <w:top w:val="nil"/>
              <w:left w:val="nil"/>
              <w:bottom w:val="double" w:sz="4" w:space="0" w:color="auto"/>
              <w:right w:val="nil"/>
            </w:tcBorders>
          </w:tcPr>
          <w:p w14:paraId="5982AA94" w14:textId="77777777" w:rsidR="00E1496F" w:rsidRPr="00AA20DD" w:rsidRDefault="00E1496F" w:rsidP="00A06FDD">
            <w:pPr>
              <w:jc w:val="both"/>
              <w:rPr>
                <w:rFonts w:ascii="Century Schoolbook" w:hAnsi="Century Schoolbook"/>
              </w:rPr>
            </w:pPr>
            <w:r w:rsidRPr="00AA20DD">
              <w:rPr>
                <w:rFonts w:ascii="Century Schoolbook" w:hAnsi="Century Schoolbook"/>
              </w:rPr>
              <w:t>Dummy variable equal to one for a recommendation change that moves away from the consensus. Recommendation consensus is calculated as the mean of outstanding recommendations issued on each stock, excluding the analysts’ own recommendation level.</w:t>
            </w:r>
          </w:p>
          <w:p w14:paraId="04D6D9A5" w14:textId="77777777" w:rsidR="00E1496F" w:rsidRPr="00AA20DD" w:rsidRDefault="00E1496F" w:rsidP="00A06FDD">
            <w:pPr>
              <w:jc w:val="both"/>
              <w:rPr>
                <w:rFonts w:ascii="Century Schoolbook" w:hAnsi="Century Schoolbook"/>
              </w:rPr>
            </w:pPr>
          </w:p>
        </w:tc>
        <w:tc>
          <w:tcPr>
            <w:tcW w:w="1417" w:type="dxa"/>
            <w:tcBorders>
              <w:top w:val="nil"/>
              <w:left w:val="nil"/>
              <w:bottom w:val="double" w:sz="4" w:space="0" w:color="auto"/>
              <w:right w:val="nil"/>
            </w:tcBorders>
          </w:tcPr>
          <w:p w14:paraId="4168354E" w14:textId="77777777" w:rsidR="00E1496F" w:rsidRPr="00AA20DD" w:rsidRDefault="00E1496F" w:rsidP="00A06FDD">
            <w:pPr>
              <w:spacing w:line="360" w:lineRule="auto"/>
              <w:rPr>
                <w:rFonts w:ascii="Century Schoolbook" w:hAnsi="Century Schoolbook"/>
              </w:rPr>
            </w:pPr>
            <w:r w:rsidRPr="00AA20DD">
              <w:rPr>
                <w:rFonts w:ascii="Century Schoolbook" w:hAnsi="Century Schoolbook"/>
              </w:rPr>
              <w:t>I/B/E/S</w:t>
            </w:r>
          </w:p>
        </w:tc>
      </w:tr>
    </w:tbl>
    <w:p w14:paraId="4FFD4DC1" w14:textId="6C6C4F04" w:rsidR="00F770FF" w:rsidRPr="00AB75FD" w:rsidRDefault="00E1496F" w:rsidP="00F770FF">
      <w:pPr>
        <w:jc w:val="center"/>
        <w:rPr>
          <w:rFonts w:ascii="Century Schoolbook" w:eastAsia="Times New Roman" w:hAnsi="Century Schoolbook" w:cs="Times New Roman"/>
          <w:b/>
          <w:sz w:val="20"/>
          <w:szCs w:val="20"/>
          <w:lang w:eastAsia="fr-FR"/>
        </w:rPr>
      </w:pPr>
      <w:r w:rsidRPr="00AB75FD">
        <w:rPr>
          <w:rFonts w:ascii="Century Schoolbook" w:hAnsi="Century Schoolbook" w:cs="Times New Roman"/>
          <w:b/>
          <w:sz w:val="20"/>
          <w:szCs w:val="20"/>
        </w:rPr>
        <w:br w:type="page"/>
      </w:r>
      <w:r w:rsidR="00F770FF" w:rsidRPr="00AB75FD">
        <w:rPr>
          <w:rFonts w:ascii="Century Schoolbook" w:eastAsia="Times New Roman" w:hAnsi="Century Schoolbook" w:cs="Times New Roman"/>
          <w:b/>
          <w:sz w:val="20"/>
          <w:szCs w:val="20"/>
          <w:lang w:eastAsia="fr-FR"/>
        </w:rPr>
        <w:lastRenderedPageBreak/>
        <w:t>Appendix Table A1</w:t>
      </w:r>
    </w:p>
    <w:p w14:paraId="439CC10D" w14:textId="77777777" w:rsidR="00F770FF" w:rsidRPr="00AB75FD" w:rsidRDefault="00F770FF" w:rsidP="00F770FF">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r w:rsidRPr="00AB75FD">
        <w:rPr>
          <w:rFonts w:ascii="Century Schoolbook" w:eastAsia="Times New Roman" w:hAnsi="Century Schoolbook" w:cs="Times New Roman"/>
          <w:b/>
          <w:i/>
          <w:sz w:val="20"/>
          <w:szCs w:val="20"/>
          <w:lang w:eastAsia="fr-FR"/>
        </w:rPr>
        <w:t>Recommendation turnover Vs. Other ex-ante measures of analyst ability</w:t>
      </w:r>
    </w:p>
    <w:p w14:paraId="6FA6E4B0" w14:textId="77777777" w:rsidR="00F770FF" w:rsidRPr="00AB75FD" w:rsidRDefault="00F770FF" w:rsidP="00F770FF">
      <w:pPr>
        <w:autoSpaceDE w:val="0"/>
        <w:autoSpaceDN w:val="0"/>
        <w:adjustRightInd w:val="0"/>
        <w:spacing w:after="0"/>
        <w:jc w:val="both"/>
        <w:rPr>
          <w:rFonts w:ascii="Century Schoolbook" w:eastAsia="Times New Roman" w:hAnsi="Century Schoolbook" w:cs="Times New Roman"/>
          <w:sz w:val="20"/>
          <w:szCs w:val="20"/>
          <w:lang w:eastAsia="fr-FR"/>
        </w:rPr>
      </w:pPr>
    </w:p>
    <w:p w14:paraId="70A03363" w14:textId="45E23582" w:rsidR="00F770FF" w:rsidRPr="001646E6" w:rsidRDefault="00F770FF" w:rsidP="00F770FF">
      <w:pPr>
        <w:spacing w:after="0" w:line="240" w:lineRule="auto"/>
        <w:jc w:val="both"/>
        <w:rPr>
          <w:rFonts w:ascii="Century Schoolbook" w:eastAsia="Times New Roman" w:hAnsi="Century Schoolbook" w:cs="Times New Roman"/>
          <w:szCs w:val="20"/>
          <w:lang w:eastAsia="fr-FR"/>
        </w:rPr>
      </w:pPr>
      <w:r w:rsidRPr="001646E6">
        <w:rPr>
          <w:rFonts w:ascii="Century Schoolbook" w:eastAsia="Times New Roman" w:hAnsi="Century Schoolbook" w:cs="Times New Roman"/>
          <w:szCs w:val="20"/>
          <w:lang w:eastAsia="fr-FR"/>
        </w:rPr>
        <w:t xml:space="preserve">This table reports immediate stock price reactions to recommendation changes. We sorted the results with respect to recommendation turnover groups, analysts’ career tenure (i.e., general experience), and their All-star status in the annual </w:t>
      </w:r>
      <w:r w:rsidRPr="001646E6">
        <w:rPr>
          <w:rFonts w:ascii="Century Schoolbook" w:eastAsia="Times New Roman" w:hAnsi="Century Schoolbook" w:cs="Times New Roman"/>
          <w:i/>
          <w:szCs w:val="20"/>
          <w:lang w:eastAsia="fr-FR"/>
        </w:rPr>
        <w:t>Institutional Investor’</w:t>
      </w:r>
      <w:r w:rsidRPr="001646E6">
        <w:rPr>
          <w:rFonts w:ascii="Century Schoolbook" w:eastAsia="Times New Roman" w:hAnsi="Century Schoolbook" w:cs="Times New Roman"/>
          <w:szCs w:val="20"/>
          <w:lang w:eastAsia="fr-FR"/>
        </w:rPr>
        <w:t xml:space="preserve">s ranking. We measure immediate price reaction using cumulative buy-and-hold abnormal returns (BHAR) from day </w:t>
      </w:r>
      <w:r w:rsidRPr="001646E6">
        <w:rPr>
          <w:rFonts w:ascii="Times New Roman" w:eastAsia="Times New Roman" w:hAnsi="Times New Roman" w:cs="Times New Roman"/>
          <w:szCs w:val="20"/>
          <w:lang w:eastAsia="fr-FR"/>
        </w:rPr>
        <w:t>−</w:t>
      </w:r>
      <w:r w:rsidRPr="001646E6">
        <w:rPr>
          <w:rFonts w:ascii="Century Schoolbook" w:eastAsia="Times New Roman" w:hAnsi="Century Schoolbook" w:cs="Times New Roman"/>
          <w:szCs w:val="20"/>
          <w:lang w:eastAsia="fr-FR"/>
        </w:rPr>
        <w:t xml:space="preserve">1 to +1 relative to the recommendation change date. The sample consists of recommendation changes issued by analysts in our classification sample (see Table 2) from 1996 through 2013. BHAR is calculated relative the DGTW benchmark. Panels A and B report average </w:t>
      </w:r>
      <w:proofErr w:type="gramStart"/>
      <w:r w:rsidRPr="001646E6">
        <w:rPr>
          <w:rFonts w:ascii="Century Schoolbook" w:eastAsia="Times New Roman" w:hAnsi="Century Schoolbook" w:cs="Times New Roman"/>
          <w:szCs w:val="20"/>
          <w:lang w:eastAsia="fr-FR"/>
        </w:rPr>
        <w:t>BHAR(</w:t>
      </w:r>
      <w:proofErr w:type="gramEnd"/>
      <w:r w:rsidRPr="001646E6">
        <w:rPr>
          <w:rFonts w:ascii="Times New Roman" w:eastAsia="Times New Roman" w:hAnsi="Times New Roman" w:cs="Times New Roman"/>
          <w:szCs w:val="20"/>
          <w:lang w:eastAsia="fr-FR"/>
        </w:rPr>
        <w:t>−</w:t>
      </w:r>
      <w:r w:rsidRPr="001646E6">
        <w:rPr>
          <w:rFonts w:ascii="Century Schoolbook" w:eastAsia="Times New Roman" w:hAnsi="Century Schoolbook" w:cs="Times New Roman"/>
          <w:szCs w:val="20"/>
          <w:lang w:eastAsia="fr-FR"/>
        </w:rPr>
        <w:t xml:space="preserve">1, +1) for upgrades and downgrades, respectively. Within each panel, we report two sets of double-sorted results: (1) </w:t>
      </w:r>
      <w:r w:rsidRPr="001646E6">
        <w:rPr>
          <w:rFonts w:ascii="Century Schoolbook" w:eastAsia="Times New Roman" w:hAnsi="Century Schoolbook" w:cs="Times New Roman"/>
          <w:i/>
          <w:szCs w:val="20"/>
          <w:lang w:eastAsia="fr-FR"/>
        </w:rPr>
        <w:t>Recommendation turnover</w:t>
      </w:r>
      <w:r w:rsidRPr="001646E6">
        <w:rPr>
          <w:rFonts w:ascii="Century Schoolbook" w:eastAsia="Times New Roman" w:hAnsi="Century Schoolbook" w:cs="Times New Roman"/>
          <w:szCs w:val="20"/>
          <w:lang w:eastAsia="fr-FR"/>
        </w:rPr>
        <w:t xml:space="preserve"> vs. </w:t>
      </w:r>
      <w:r w:rsidRPr="001646E6">
        <w:rPr>
          <w:rFonts w:ascii="Century Schoolbook" w:eastAsia="Times New Roman" w:hAnsi="Century Schoolbook" w:cs="Times New Roman"/>
          <w:i/>
          <w:szCs w:val="20"/>
          <w:lang w:eastAsia="fr-FR"/>
        </w:rPr>
        <w:t>General experience</w:t>
      </w:r>
      <w:r w:rsidRPr="001646E6">
        <w:rPr>
          <w:rFonts w:ascii="Century Schoolbook" w:eastAsia="Times New Roman" w:hAnsi="Century Schoolbook" w:cs="Times New Roman"/>
          <w:szCs w:val="20"/>
          <w:lang w:eastAsia="fr-FR"/>
        </w:rPr>
        <w:t xml:space="preserve">, and (2) </w:t>
      </w:r>
      <w:r w:rsidRPr="001646E6">
        <w:rPr>
          <w:rFonts w:ascii="Century Schoolbook" w:eastAsia="Times New Roman" w:hAnsi="Century Schoolbook" w:cs="Times New Roman"/>
          <w:i/>
          <w:szCs w:val="20"/>
          <w:lang w:eastAsia="fr-FR"/>
        </w:rPr>
        <w:t>Recommendation turnover</w:t>
      </w:r>
      <w:r w:rsidRPr="001646E6">
        <w:rPr>
          <w:rFonts w:ascii="Century Schoolbook" w:eastAsia="Times New Roman" w:hAnsi="Century Schoolbook" w:cs="Times New Roman"/>
          <w:szCs w:val="20"/>
          <w:lang w:eastAsia="fr-FR"/>
        </w:rPr>
        <w:t xml:space="preserve"> vs. </w:t>
      </w:r>
      <w:r w:rsidRPr="001646E6">
        <w:rPr>
          <w:rFonts w:ascii="Century Schoolbook" w:eastAsia="Times New Roman" w:hAnsi="Century Schoolbook" w:cs="Times New Roman"/>
          <w:i/>
          <w:szCs w:val="20"/>
          <w:lang w:eastAsia="fr-FR"/>
        </w:rPr>
        <w:t>All-star</w:t>
      </w:r>
      <w:r w:rsidRPr="001646E6">
        <w:rPr>
          <w:rFonts w:ascii="Century Schoolbook" w:eastAsia="Times New Roman" w:hAnsi="Century Schoolbook" w:cs="Times New Roman"/>
          <w:szCs w:val="20"/>
          <w:lang w:eastAsia="fr-FR"/>
        </w:rPr>
        <w:t xml:space="preserve"> status. </w:t>
      </w:r>
      <w:r w:rsidRPr="001646E6">
        <w:rPr>
          <w:rFonts w:ascii="Century Schoolbook" w:eastAsia="Times New Roman" w:hAnsi="Century Schoolbook" w:cs="Times New Roman"/>
          <w:i/>
          <w:color w:val="000000"/>
          <w:szCs w:val="20"/>
          <w:lang w:eastAsia="en-CA"/>
        </w:rPr>
        <w:t xml:space="preserve">General experience </w:t>
      </w:r>
      <w:r w:rsidRPr="001646E6">
        <w:rPr>
          <w:rFonts w:ascii="Century Schoolbook" w:eastAsia="Times New Roman" w:hAnsi="Century Schoolbook" w:cs="Times New Roman"/>
          <w:szCs w:val="20"/>
          <w:lang w:eastAsia="fr-FR"/>
        </w:rPr>
        <w:t>is the number of years since the analyst’s first recommendation appears in the I/B/E/S database. We sort analysts annually into three equal groups based on their general experience, i.e. number of years in their career tenure</w:t>
      </w:r>
      <w:r w:rsidR="004624C2" w:rsidRPr="001646E6">
        <w:rPr>
          <w:rFonts w:ascii="Century Schoolbook" w:eastAsia="Times New Roman" w:hAnsi="Century Schoolbook" w:cs="Times New Roman"/>
          <w:szCs w:val="20"/>
          <w:lang w:eastAsia="fr-FR"/>
        </w:rPr>
        <w:t xml:space="preserve">: Low, Mid-career, and High. </w:t>
      </w:r>
      <w:r w:rsidRPr="001646E6">
        <w:rPr>
          <w:rFonts w:ascii="Century Schoolbook" w:eastAsia="Times New Roman" w:hAnsi="Century Schoolbook" w:cs="Times New Roman"/>
          <w:i/>
          <w:color w:val="000000"/>
          <w:szCs w:val="20"/>
          <w:lang w:eastAsia="en-CA"/>
        </w:rPr>
        <w:t xml:space="preserve">All–star </w:t>
      </w:r>
      <w:r w:rsidRPr="001646E6">
        <w:rPr>
          <w:rFonts w:ascii="Century Schoolbook" w:eastAsia="Times New Roman" w:hAnsi="Century Schoolbook" w:cs="Times New Roman"/>
          <w:szCs w:val="20"/>
          <w:lang w:eastAsia="fr-FR"/>
        </w:rPr>
        <w:t>is the indicator variable equal to one if an analyst is elected to t</w:t>
      </w:r>
      <w:r w:rsidRPr="001646E6">
        <w:rPr>
          <w:rFonts w:ascii="Century Schoolbook" w:hAnsi="Century Schoolbook" w:cs="Times New Roman"/>
          <w:szCs w:val="20"/>
        </w:rPr>
        <w:t xml:space="preserve">he </w:t>
      </w:r>
      <w:r w:rsidRPr="001646E6">
        <w:rPr>
          <w:rFonts w:ascii="Century Schoolbook" w:hAnsi="Century Schoolbook" w:cs="Times New Roman"/>
          <w:i/>
          <w:szCs w:val="20"/>
        </w:rPr>
        <w:t xml:space="preserve">Institutional Investor’s </w:t>
      </w:r>
      <w:r w:rsidRPr="001646E6">
        <w:rPr>
          <w:rFonts w:ascii="Century Schoolbook" w:hAnsi="Century Schoolbook" w:cs="Times New Roman"/>
          <w:szCs w:val="20"/>
        </w:rPr>
        <w:t xml:space="preserve">annual All-American team (Fang and Yasuda, 2014). </w:t>
      </w:r>
      <w:r w:rsidRPr="001646E6">
        <w:rPr>
          <w:rFonts w:ascii="Century Schoolbook" w:eastAsia="Times New Roman" w:hAnsi="Century Schoolbook" w:cs="Times New Roman"/>
          <w:i/>
          <w:szCs w:val="20"/>
          <w:lang w:eastAsia="fr-FR"/>
        </w:rPr>
        <w:t>Recommendation turnover</w:t>
      </w:r>
      <w:r w:rsidRPr="001646E6">
        <w:rPr>
          <w:rFonts w:ascii="Century Schoolbook" w:eastAsia="Times New Roman" w:hAnsi="Century Schoolbook" w:cs="Times New Roman"/>
          <w:szCs w:val="20"/>
          <w:lang w:eastAsia="fr-FR"/>
        </w:rPr>
        <w:t xml:space="preserve"> corresponds to our classification of analysts’ recommendation speed-style, which is based on how quickly (or slowly) they revise their recommendations relative to their peers (speed-</w:t>
      </w:r>
      <w:r w:rsidR="00F30F0B">
        <w:rPr>
          <w:rFonts w:ascii="Century Schoolbook" w:eastAsia="Times New Roman" w:hAnsi="Century Schoolbook" w:cs="Times New Roman"/>
          <w:szCs w:val="20"/>
          <w:lang w:eastAsia="fr-FR"/>
        </w:rPr>
        <w:t>style turnover status). Heterosc</w:t>
      </w:r>
      <w:r w:rsidRPr="001646E6">
        <w:rPr>
          <w:rFonts w:ascii="Century Schoolbook" w:eastAsia="Times New Roman" w:hAnsi="Century Schoolbook" w:cs="Times New Roman"/>
          <w:szCs w:val="20"/>
          <w:lang w:eastAsia="fr-FR"/>
        </w:rPr>
        <w:t>edasticity</w:t>
      </w:r>
      <w:r w:rsidRPr="001646E6">
        <w:rPr>
          <w:rFonts w:ascii="Century Schoolbook" w:hAnsi="Century Schoolbook" w:cs="Times New Roman"/>
          <w:szCs w:val="20"/>
        </w:rPr>
        <w:t>-</w:t>
      </w:r>
      <w:r w:rsidRPr="001646E6">
        <w:rPr>
          <w:rFonts w:ascii="Century Schoolbook" w:eastAsia="Times New Roman" w:hAnsi="Century Schoolbook" w:cs="Times New Roman"/>
          <w:szCs w:val="20"/>
          <w:lang w:eastAsia="fr-FR"/>
        </w:rPr>
        <w:t>adjusted standard error and the number of observation are reported below each estimate. The last row in each panel reports the difference and p</w:t>
      </w:r>
      <w:r w:rsidRPr="001646E6">
        <w:rPr>
          <w:rFonts w:ascii="Century Schoolbook" w:hAnsi="Century Schoolbook" w:cs="Times New Roman"/>
          <w:szCs w:val="20"/>
        </w:rPr>
        <w:t>–</w:t>
      </w:r>
      <w:r w:rsidRPr="001646E6">
        <w:rPr>
          <w:rFonts w:ascii="Century Schoolbook" w:eastAsia="Times New Roman" w:hAnsi="Century Schoolbook" w:cs="Times New Roman"/>
          <w:szCs w:val="20"/>
          <w:lang w:eastAsia="fr-FR"/>
        </w:rPr>
        <w:t xml:space="preserve">value of </w:t>
      </w:r>
      <w:proofErr w:type="gramStart"/>
      <w:r w:rsidRPr="001646E6">
        <w:rPr>
          <w:rFonts w:ascii="Century Schoolbook" w:eastAsia="Times New Roman" w:hAnsi="Century Schoolbook" w:cs="Times New Roman"/>
          <w:szCs w:val="20"/>
          <w:lang w:eastAsia="fr-FR"/>
        </w:rPr>
        <w:t>BHAR(</w:t>
      </w:r>
      <w:proofErr w:type="gramEnd"/>
      <w:r w:rsidRPr="001646E6">
        <w:rPr>
          <w:rFonts w:ascii="Century Schoolbook" w:eastAsia="Times New Roman" w:hAnsi="Century Schoolbook" w:cs="Times New Roman"/>
          <w:szCs w:val="20"/>
          <w:lang w:eastAsia="fr-FR"/>
        </w:rPr>
        <w:t>−1, +1) between slow turnover and fast turnover. The column labeled “</w:t>
      </w:r>
      <w:r w:rsidRPr="001646E6">
        <w:rPr>
          <w:rFonts w:ascii="Century Schoolbook" w:eastAsia="Times New Roman" w:hAnsi="Century Schoolbook" w:cs="Times New Roman"/>
          <w:color w:val="000000"/>
          <w:szCs w:val="20"/>
          <w:lang w:eastAsia="en-CA"/>
        </w:rPr>
        <w:t>Older – Younger” (</w:t>
      </w:r>
      <w:r w:rsidRPr="001646E6">
        <w:rPr>
          <w:rFonts w:ascii="Century Schoolbook" w:eastAsia="Times New Roman" w:hAnsi="Century Schoolbook" w:cs="Times New Roman"/>
          <w:szCs w:val="20"/>
          <w:lang w:eastAsia="fr-FR"/>
        </w:rPr>
        <w:t>“</w:t>
      </w:r>
      <w:r w:rsidRPr="001646E6">
        <w:rPr>
          <w:rFonts w:ascii="Century Schoolbook" w:eastAsia="Times New Roman" w:hAnsi="Century Schoolbook" w:cs="Times New Roman"/>
          <w:color w:val="000000"/>
          <w:szCs w:val="20"/>
          <w:lang w:eastAsia="en-CA"/>
        </w:rPr>
        <w:t>All-star – Non-star</w:t>
      </w:r>
      <w:r w:rsidRPr="001646E6">
        <w:rPr>
          <w:rFonts w:ascii="Century Schoolbook" w:eastAsia="Times New Roman" w:hAnsi="Century Schoolbook" w:cs="Times New Roman"/>
          <w:szCs w:val="20"/>
          <w:lang w:eastAsia="fr-FR"/>
        </w:rPr>
        <w:t>”) reports the difference and p</w:t>
      </w:r>
      <w:r w:rsidRPr="001646E6">
        <w:rPr>
          <w:rFonts w:ascii="Century Schoolbook" w:hAnsi="Century Schoolbook" w:cs="Times New Roman"/>
          <w:szCs w:val="20"/>
        </w:rPr>
        <w:t>–</w:t>
      </w:r>
      <w:r w:rsidRPr="001646E6">
        <w:rPr>
          <w:rFonts w:ascii="Century Schoolbook" w:eastAsia="Times New Roman" w:hAnsi="Century Schoolbook" w:cs="Times New Roman"/>
          <w:szCs w:val="20"/>
          <w:lang w:eastAsia="fr-FR"/>
        </w:rPr>
        <w:t xml:space="preserve">value of </w:t>
      </w:r>
      <w:proofErr w:type="gramStart"/>
      <w:r w:rsidRPr="001646E6">
        <w:rPr>
          <w:rFonts w:ascii="Century Schoolbook" w:eastAsia="Times New Roman" w:hAnsi="Century Schoolbook" w:cs="Times New Roman"/>
          <w:szCs w:val="20"/>
          <w:lang w:eastAsia="fr-FR"/>
        </w:rPr>
        <w:t>BHAR(</w:t>
      </w:r>
      <w:proofErr w:type="gramEnd"/>
      <w:r w:rsidRPr="001646E6">
        <w:rPr>
          <w:rFonts w:ascii="Century Schoolbook" w:eastAsia="Times New Roman" w:hAnsi="Century Schoolbook" w:cs="Times New Roman"/>
          <w:szCs w:val="20"/>
          <w:lang w:eastAsia="fr-FR"/>
        </w:rPr>
        <w:t xml:space="preserve">−1,+1) between older  versus younger (All-star versus non-All-star) analysts. </w:t>
      </w:r>
      <w:r w:rsidRPr="001646E6">
        <w:rPr>
          <w:rFonts w:ascii="Cambria Math" w:eastAsia="Times New Roman" w:hAnsi="Cambria Math" w:cs="Cambria Math"/>
          <w:szCs w:val="20"/>
          <w:lang w:eastAsia="fr-FR"/>
        </w:rPr>
        <w:t>∗</w:t>
      </w:r>
      <w:r w:rsidRPr="001646E6">
        <w:rPr>
          <w:rFonts w:ascii="Century Schoolbook" w:eastAsia="Times New Roman" w:hAnsi="Century Schoolbook" w:cs="Times New Roman"/>
          <w:szCs w:val="20"/>
          <w:lang w:eastAsia="fr-FR"/>
        </w:rPr>
        <w:t xml:space="preserve">, </w:t>
      </w:r>
      <w:r w:rsidRPr="001646E6">
        <w:rPr>
          <w:rFonts w:ascii="Cambria Math" w:eastAsia="Times New Roman" w:hAnsi="Cambria Math" w:cs="Cambria Math"/>
          <w:szCs w:val="20"/>
          <w:lang w:eastAsia="fr-FR"/>
        </w:rPr>
        <w:t>∗∗</w:t>
      </w:r>
      <w:r w:rsidRPr="001646E6">
        <w:rPr>
          <w:rFonts w:ascii="Century Schoolbook" w:eastAsia="Times New Roman" w:hAnsi="Century Schoolbook" w:cs="Times New Roman"/>
          <w:szCs w:val="20"/>
          <w:lang w:eastAsia="fr-FR"/>
        </w:rPr>
        <w:t xml:space="preserve">, and </w:t>
      </w:r>
      <w:r w:rsidRPr="001646E6">
        <w:rPr>
          <w:rFonts w:ascii="Cambria Math" w:eastAsia="Times New Roman" w:hAnsi="Cambria Math" w:cs="Cambria Math"/>
          <w:szCs w:val="20"/>
          <w:lang w:eastAsia="fr-FR"/>
        </w:rPr>
        <w:t>∗∗∗</w:t>
      </w:r>
      <w:r w:rsidRPr="001646E6">
        <w:rPr>
          <w:rFonts w:ascii="Century Schoolbook" w:eastAsia="Times New Roman" w:hAnsi="Century Schoolbook" w:cs="Times New Roman"/>
          <w:szCs w:val="20"/>
          <w:lang w:eastAsia="fr-FR"/>
        </w:rPr>
        <w:t xml:space="preserve"> indicate significance at the 10%, 5%, and 1% level, respectively.</w:t>
      </w:r>
    </w:p>
    <w:p w14:paraId="4CE05C1E" w14:textId="77777777" w:rsidR="00F770FF" w:rsidRPr="00AB75FD" w:rsidRDefault="00F770FF" w:rsidP="00F770FF">
      <w:pPr>
        <w:spacing w:after="0" w:line="240" w:lineRule="auto"/>
        <w:jc w:val="both"/>
        <w:rPr>
          <w:rFonts w:ascii="Century Schoolbook" w:eastAsia="Times New Roman" w:hAnsi="Century Schoolbook" w:cs="Times New Roman"/>
          <w:sz w:val="20"/>
          <w:szCs w:val="20"/>
          <w:lang w:eastAsia="fr-FR"/>
        </w:rPr>
      </w:pPr>
    </w:p>
    <w:p w14:paraId="563ACE2D" w14:textId="77777777" w:rsidR="00F770FF" w:rsidRDefault="00F770FF" w:rsidP="00F770FF">
      <w:pPr>
        <w:autoSpaceDE w:val="0"/>
        <w:autoSpaceDN w:val="0"/>
        <w:adjustRightInd w:val="0"/>
        <w:spacing w:after="0" w:line="240" w:lineRule="auto"/>
        <w:jc w:val="center"/>
        <w:rPr>
          <w:sz w:val="16"/>
        </w:rPr>
      </w:pPr>
    </w:p>
    <w:p w14:paraId="2904880A" w14:textId="77777777" w:rsidR="00F770FF" w:rsidRDefault="00F770FF" w:rsidP="00F770FF">
      <w:pPr>
        <w:autoSpaceDE w:val="0"/>
        <w:autoSpaceDN w:val="0"/>
        <w:adjustRightInd w:val="0"/>
        <w:spacing w:after="0" w:line="240" w:lineRule="auto"/>
        <w:jc w:val="center"/>
        <w:rPr>
          <w:sz w:val="16"/>
        </w:rPr>
      </w:pPr>
    </w:p>
    <w:p w14:paraId="2DE3AC7E" w14:textId="77777777" w:rsidR="00F770FF" w:rsidRDefault="00F770FF" w:rsidP="00F770FF">
      <w:pPr>
        <w:autoSpaceDE w:val="0"/>
        <w:autoSpaceDN w:val="0"/>
        <w:adjustRightInd w:val="0"/>
        <w:spacing w:after="0" w:line="240" w:lineRule="auto"/>
        <w:jc w:val="center"/>
        <w:rPr>
          <w:sz w:val="16"/>
        </w:rPr>
      </w:pPr>
    </w:p>
    <w:p w14:paraId="125D34D8" w14:textId="77777777" w:rsidR="00F770FF" w:rsidRDefault="00F770FF" w:rsidP="00F770FF">
      <w:pPr>
        <w:autoSpaceDE w:val="0"/>
        <w:autoSpaceDN w:val="0"/>
        <w:adjustRightInd w:val="0"/>
        <w:spacing w:after="0" w:line="240" w:lineRule="auto"/>
        <w:jc w:val="center"/>
        <w:rPr>
          <w:sz w:val="16"/>
        </w:rPr>
      </w:pPr>
    </w:p>
    <w:p w14:paraId="1CC0F87F" w14:textId="158F35D1" w:rsidR="00F770FF" w:rsidRDefault="00F770FF" w:rsidP="00F770FF">
      <w:pPr>
        <w:jc w:val="center"/>
        <w:rPr>
          <w:sz w:val="16"/>
        </w:rPr>
        <w:sectPr w:rsidR="00F770FF" w:rsidSect="002E3247">
          <w:pgSz w:w="12240" w:h="15840"/>
          <w:pgMar w:top="1260" w:right="1411" w:bottom="990" w:left="1411" w:header="706" w:footer="706" w:gutter="0"/>
          <w:cols w:space="708"/>
          <w:docGrid w:linePitch="360"/>
        </w:sectPr>
      </w:pPr>
    </w:p>
    <w:p w14:paraId="3209D231" w14:textId="77777777" w:rsidR="00F770FF" w:rsidRPr="00AB75FD" w:rsidRDefault="00F770FF" w:rsidP="00185F17">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r w:rsidRPr="00AB75FD">
        <w:rPr>
          <w:rFonts w:ascii="Century Schoolbook" w:eastAsia="Times New Roman" w:hAnsi="Century Schoolbook" w:cs="Times New Roman"/>
          <w:b/>
          <w:sz w:val="20"/>
          <w:szCs w:val="20"/>
          <w:lang w:eastAsia="fr-FR"/>
        </w:rPr>
        <w:lastRenderedPageBreak/>
        <w:t xml:space="preserve">Appendix Table A1. </w:t>
      </w:r>
      <w:r w:rsidRPr="00AB75FD">
        <w:rPr>
          <w:rFonts w:ascii="Century Schoolbook" w:eastAsia="Times New Roman" w:hAnsi="Century Schoolbook" w:cs="Times New Roman"/>
          <w:b/>
          <w:i/>
          <w:sz w:val="20"/>
          <w:szCs w:val="20"/>
          <w:lang w:eastAsia="fr-FR"/>
        </w:rPr>
        <w:t>Recommendation turnover Vs. Other ex-ante measures of analyst ability</w:t>
      </w:r>
    </w:p>
    <w:p w14:paraId="3DD1622A" w14:textId="77777777" w:rsidR="00F770FF" w:rsidRPr="00AB75FD" w:rsidRDefault="00F770FF" w:rsidP="00F770FF">
      <w:pPr>
        <w:autoSpaceDE w:val="0"/>
        <w:autoSpaceDN w:val="0"/>
        <w:adjustRightInd w:val="0"/>
        <w:spacing w:after="0" w:line="240" w:lineRule="auto"/>
        <w:jc w:val="center"/>
        <w:rPr>
          <w:rFonts w:ascii="Century Schoolbook" w:eastAsia="Times New Roman" w:hAnsi="Century Schoolbook" w:cs="Times New Roman"/>
          <w:b/>
          <w:i/>
          <w:sz w:val="20"/>
          <w:szCs w:val="20"/>
          <w:lang w:eastAsia="fr-FR"/>
        </w:rPr>
      </w:pPr>
      <w:r w:rsidRPr="00AB75FD">
        <w:rPr>
          <w:rFonts w:ascii="Century Schoolbook" w:eastAsia="Times New Roman" w:hAnsi="Century Schoolbook" w:cs="Times New Roman"/>
          <w:b/>
          <w:i/>
          <w:sz w:val="20"/>
          <w:szCs w:val="20"/>
          <w:lang w:eastAsia="fr-FR"/>
        </w:rPr>
        <w:t>turnover (continued…)</w:t>
      </w:r>
    </w:p>
    <w:p w14:paraId="24AFC039" w14:textId="77777777" w:rsidR="00F770FF" w:rsidRPr="00AB75FD" w:rsidRDefault="00F770FF" w:rsidP="00F770FF">
      <w:pPr>
        <w:autoSpaceDE w:val="0"/>
        <w:autoSpaceDN w:val="0"/>
        <w:adjustRightInd w:val="0"/>
        <w:spacing w:after="0" w:line="240" w:lineRule="auto"/>
        <w:jc w:val="center"/>
        <w:rPr>
          <w:rFonts w:ascii="Century Schoolbook" w:eastAsia="Times New Roman" w:hAnsi="Century Schoolbook" w:cs="Times New Roman"/>
          <w:b/>
          <w:i/>
          <w:sz w:val="8"/>
          <w:szCs w:val="20"/>
          <w:lang w:eastAsia="fr-FR"/>
        </w:rPr>
      </w:pPr>
    </w:p>
    <w:tbl>
      <w:tblPr>
        <w:tblW w:w="5000" w:type="pct"/>
        <w:tblLook w:val="04A0" w:firstRow="1" w:lastRow="0" w:firstColumn="1" w:lastColumn="0" w:noHBand="0" w:noVBand="1"/>
      </w:tblPr>
      <w:tblGrid>
        <w:gridCol w:w="2281"/>
        <w:gridCol w:w="1283"/>
        <w:gridCol w:w="1362"/>
        <w:gridCol w:w="1281"/>
        <w:gridCol w:w="1859"/>
        <w:gridCol w:w="313"/>
        <w:gridCol w:w="1281"/>
        <w:gridCol w:w="1281"/>
        <w:gridCol w:w="2206"/>
      </w:tblGrid>
      <w:tr w:rsidR="00F770FF" w:rsidRPr="00F27F5B" w14:paraId="6AAE40DC" w14:textId="77777777" w:rsidTr="009704E4">
        <w:trPr>
          <w:trHeight w:val="232"/>
        </w:trPr>
        <w:tc>
          <w:tcPr>
            <w:tcW w:w="5000" w:type="pct"/>
            <w:gridSpan w:val="9"/>
            <w:tcBorders>
              <w:top w:val="nil"/>
              <w:left w:val="nil"/>
              <w:bottom w:val="single" w:sz="8" w:space="0" w:color="auto"/>
              <w:right w:val="nil"/>
            </w:tcBorders>
            <w:shd w:val="clear" w:color="000000" w:fill="FFFFFF"/>
            <w:vAlign w:val="bottom"/>
            <w:hideMark/>
          </w:tcPr>
          <w:p w14:paraId="056E11D1" w14:textId="77777777" w:rsidR="00F770FF" w:rsidRPr="00AB75FD" w:rsidRDefault="00F770FF" w:rsidP="009704E4">
            <w:pPr>
              <w:spacing w:after="0" w:line="240" w:lineRule="auto"/>
              <w:rPr>
                <w:rFonts w:ascii="Century Schoolbook" w:eastAsia="Times New Roman" w:hAnsi="Century Schoolbook" w:cs="Times New Roman"/>
                <w:b/>
                <w:bCs/>
                <w:color w:val="000000"/>
                <w:sz w:val="18"/>
                <w:szCs w:val="20"/>
                <w:lang w:eastAsia="en-CA"/>
              </w:rPr>
            </w:pPr>
            <w:r w:rsidRPr="00AB75FD">
              <w:rPr>
                <w:rFonts w:ascii="Century Schoolbook" w:eastAsia="Times New Roman" w:hAnsi="Century Schoolbook" w:cs="Times New Roman"/>
                <w:b/>
                <w:bCs/>
                <w:color w:val="000000"/>
                <w:sz w:val="18"/>
                <w:szCs w:val="20"/>
                <w:lang w:eastAsia="en-CA"/>
              </w:rPr>
              <w:t>Panel A.</w:t>
            </w:r>
            <w:r w:rsidRPr="00AB75FD">
              <w:rPr>
                <w:rFonts w:ascii="Century Schoolbook" w:eastAsia="Times New Roman" w:hAnsi="Century Schoolbook" w:cs="Times New Roman"/>
                <w:color w:val="000000"/>
                <w:sz w:val="18"/>
                <w:szCs w:val="20"/>
                <w:lang w:eastAsia="en-CA"/>
              </w:rPr>
              <w:t xml:space="preserve"> Upgrades: Buy-and-hold abnormal returns (BHAR) from day −1 to +1</w:t>
            </w:r>
          </w:p>
        </w:tc>
      </w:tr>
      <w:tr w:rsidR="00F770FF" w:rsidRPr="00F27F5B" w14:paraId="0BC1932D" w14:textId="77777777" w:rsidTr="00185F17">
        <w:trPr>
          <w:trHeight w:val="232"/>
        </w:trPr>
        <w:tc>
          <w:tcPr>
            <w:tcW w:w="868" w:type="pct"/>
            <w:tcBorders>
              <w:top w:val="nil"/>
              <w:left w:val="nil"/>
              <w:bottom w:val="nil"/>
              <w:right w:val="nil"/>
            </w:tcBorders>
            <w:shd w:val="clear" w:color="000000" w:fill="FFFFFF"/>
            <w:vAlign w:val="center"/>
            <w:hideMark/>
          </w:tcPr>
          <w:p w14:paraId="39FB3221"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2200" w:type="pct"/>
            <w:gridSpan w:val="4"/>
            <w:tcBorders>
              <w:top w:val="single" w:sz="8" w:space="0" w:color="auto"/>
              <w:left w:val="nil"/>
              <w:bottom w:val="single" w:sz="8" w:space="0" w:color="auto"/>
              <w:right w:val="nil"/>
            </w:tcBorders>
            <w:shd w:val="clear" w:color="000000" w:fill="FFFFFF"/>
            <w:vAlign w:val="center"/>
            <w:hideMark/>
          </w:tcPr>
          <w:p w14:paraId="74BEFFA4"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Sorted by General experience</w:t>
            </w:r>
          </w:p>
        </w:tc>
        <w:tc>
          <w:tcPr>
            <w:tcW w:w="119" w:type="pct"/>
            <w:tcBorders>
              <w:top w:val="nil"/>
              <w:left w:val="nil"/>
              <w:bottom w:val="nil"/>
              <w:right w:val="nil"/>
            </w:tcBorders>
            <w:shd w:val="clear" w:color="000000" w:fill="FFFFFF"/>
            <w:noWrap/>
            <w:vAlign w:val="center"/>
            <w:hideMark/>
          </w:tcPr>
          <w:p w14:paraId="5E6226BF"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812" w:type="pct"/>
            <w:gridSpan w:val="3"/>
            <w:tcBorders>
              <w:top w:val="single" w:sz="8" w:space="0" w:color="auto"/>
              <w:left w:val="nil"/>
              <w:bottom w:val="single" w:sz="8" w:space="0" w:color="auto"/>
              <w:right w:val="nil"/>
            </w:tcBorders>
            <w:shd w:val="clear" w:color="000000" w:fill="FFFFFF"/>
            <w:vAlign w:val="center"/>
            <w:hideMark/>
          </w:tcPr>
          <w:p w14:paraId="76754413"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Sorted by All</w:t>
            </w:r>
            <w:r>
              <w:rPr>
                <w:rFonts w:ascii="Century Schoolbook" w:eastAsia="Times New Roman" w:hAnsi="Century Schoolbook" w:cs="Times New Roman"/>
                <w:i/>
                <w:iCs/>
                <w:color w:val="000000"/>
                <w:sz w:val="18"/>
                <w:szCs w:val="20"/>
                <w:lang w:eastAsia="en-CA"/>
              </w:rPr>
              <w:t>-</w:t>
            </w:r>
            <w:r w:rsidRPr="000F4D18">
              <w:rPr>
                <w:rFonts w:ascii="Century Schoolbook" w:eastAsia="Times New Roman" w:hAnsi="Century Schoolbook" w:cs="Times New Roman"/>
                <w:i/>
                <w:iCs/>
                <w:color w:val="000000"/>
                <w:sz w:val="18"/>
                <w:szCs w:val="20"/>
                <w:lang w:eastAsia="en-CA"/>
              </w:rPr>
              <w:t>star status</w:t>
            </w:r>
          </w:p>
        </w:tc>
      </w:tr>
      <w:tr w:rsidR="00F770FF" w:rsidRPr="00F27F5B" w14:paraId="6ADECCC6" w14:textId="77777777" w:rsidTr="00185F17">
        <w:trPr>
          <w:trHeight w:val="199"/>
        </w:trPr>
        <w:tc>
          <w:tcPr>
            <w:tcW w:w="868" w:type="pct"/>
            <w:tcBorders>
              <w:top w:val="nil"/>
              <w:left w:val="nil"/>
              <w:bottom w:val="nil"/>
              <w:right w:val="nil"/>
            </w:tcBorders>
            <w:shd w:val="clear" w:color="000000" w:fill="FFFFFF"/>
            <w:vAlign w:val="center"/>
            <w:hideMark/>
          </w:tcPr>
          <w:p w14:paraId="1C37EC0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8" w:type="pct"/>
            <w:vMerge w:val="restart"/>
            <w:tcBorders>
              <w:top w:val="nil"/>
              <w:left w:val="nil"/>
              <w:bottom w:val="single" w:sz="8" w:space="0" w:color="000000"/>
              <w:right w:val="nil"/>
            </w:tcBorders>
            <w:shd w:val="clear" w:color="000000" w:fill="FFFFFF"/>
            <w:hideMark/>
          </w:tcPr>
          <w:p w14:paraId="2865C738" w14:textId="4B293203" w:rsidR="00F770FF" w:rsidRPr="000F4D18" w:rsidRDefault="004624C2" w:rsidP="009704E4">
            <w:pPr>
              <w:spacing w:after="0" w:line="240" w:lineRule="auto"/>
              <w:jc w:val="center"/>
              <w:rPr>
                <w:rFonts w:ascii="Century Schoolbook" w:eastAsia="Times New Roman" w:hAnsi="Century Schoolbook" w:cs="Times New Roman"/>
                <w:color w:val="000000"/>
                <w:sz w:val="18"/>
                <w:szCs w:val="20"/>
                <w:lang w:eastAsia="en-CA"/>
              </w:rPr>
            </w:pPr>
            <w:r>
              <w:rPr>
                <w:rFonts w:ascii="Century Schoolbook" w:eastAsia="Times New Roman" w:hAnsi="Century Schoolbook" w:cs="Times New Roman"/>
                <w:color w:val="000000"/>
                <w:sz w:val="18"/>
                <w:szCs w:val="20"/>
                <w:lang w:eastAsia="en-CA"/>
              </w:rPr>
              <w:t>Low</w:t>
            </w:r>
          </w:p>
        </w:tc>
        <w:tc>
          <w:tcPr>
            <w:tcW w:w="518" w:type="pct"/>
            <w:vMerge w:val="restart"/>
            <w:tcBorders>
              <w:top w:val="nil"/>
              <w:left w:val="nil"/>
              <w:bottom w:val="single" w:sz="8" w:space="0" w:color="000000"/>
              <w:right w:val="nil"/>
            </w:tcBorders>
            <w:shd w:val="clear" w:color="000000" w:fill="FFFFFF"/>
            <w:hideMark/>
          </w:tcPr>
          <w:p w14:paraId="6398758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Mid</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career</w:t>
            </w:r>
          </w:p>
        </w:tc>
        <w:tc>
          <w:tcPr>
            <w:tcW w:w="487" w:type="pct"/>
            <w:vMerge w:val="restart"/>
            <w:tcBorders>
              <w:top w:val="nil"/>
              <w:left w:val="nil"/>
              <w:bottom w:val="single" w:sz="8" w:space="0" w:color="000000"/>
              <w:right w:val="nil"/>
            </w:tcBorders>
            <w:shd w:val="clear" w:color="000000" w:fill="FFFFFF"/>
            <w:hideMark/>
          </w:tcPr>
          <w:p w14:paraId="6AE283A1" w14:textId="149F1C69" w:rsidR="00F770FF" w:rsidRPr="000F4D18" w:rsidRDefault="001D5D20" w:rsidP="009704E4">
            <w:pPr>
              <w:spacing w:after="0" w:line="240" w:lineRule="auto"/>
              <w:jc w:val="center"/>
              <w:rPr>
                <w:rFonts w:ascii="Century Schoolbook" w:eastAsia="Times New Roman" w:hAnsi="Century Schoolbook" w:cs="Times New Roman"/>
                <w:color w:val="000000"/>
                <w:sz w:val="18"/>
                <w:szCs w:val="20"/>
                <w:lang w:eastAsia="en-CA"/>
              </w:rPr>
            </w:pPr>
            <w:r>
              <w:rPr>
                <w:rFonts w:ascii="Century Schoolbook" w:eastAsia="Times New Roman" w:hAnsi="Century Schoolbook" w:cs="Times New Roman"/>
                <w:color w:val="000000"/>
                <w:sz w:val="18"/>
                <w:szCs w:val="20"/>
                <w:lang w:eastAsia="en-CA"/>
              </w:rPr>
              <w:t>High</w:t>
            </w:r>
          </w:p>
        </w:tc>
        <w:tc>
          <w:tcPr>
            <w:tcW w:w="707" w:type="pct"/>
            <w:tcBorders>
              <w:top w:val="nil"/>
              <w:left w:val="nil"/>
              <w:bottom w:val="nil"/>
              <w:right w:val="nil"/>
            </w:tcBorders>
            <w:shd w:val="clear" w:color="000000" w:fill="FFFFFF"/>
            <w:hideMark/>
          </w:tcPr>
          <w:p w14:paraId="0EE0966D" w14:textId="1D0CFBDC" w:rsidR="00F770FF" w:rsidRPr="000F4D18" w:rsidRDefault="001D5D20" w:rsidP="001D5D20">
            <w:pPr>
              <w:spacing w:after="0" w:line="240" w:lineRule="auto"/>
              <w:jc w:val="center"/>
              <w:rPr>
                <w:rFonts w:ascii="Century Schoolbook" w:eastAsia="Times New Roman" w:hAnsi="Century Schoolbook" w:cs="Times New Roman"/>
                <w:color w:val="000000"/>
                <w:sz w:val="18"/>
                <w:szCs w:val="20"/>
                <w:lang w:eastAsia="en-CA"/>
              </w:rPr>
            </w:pPr>
            <w:r>
              <w:rPr>
                <w:rFonts w:ascii="Century Schoolbook" w:eastAsia="Times New Roman" w:hAnsi="Century Schoolbook" w:cs="Times New Roman"/>
                <w:color w:val="000000"/>
                <w:sz w:val="18"/>
                <w:szCs w:val="20"/>
                <w:lang w:eastAsia="en-CA"/>
              </w:rPr>
              <w:t>High</w:t>
            </w:r>
            <w:r w:rsidR="00F770FF" w:rsidRPr="000F4D18">
              <w:rPr>
                <w:rFonts w:ascii="Century Schoolbook" w:eastAsia="Times New Roman" w:hAnsi="Century Schoolbook" w:cs="Times New Roman"/>
                <w:color w:val="000000"/>
                <w:sz w:val="18"/>
                <w:szCs w:val="20"/>
                <w:lang w:eastAsia="en-CA"/>
              </w:rPr>
              <w:t xml:space="preserve"> </w:t>
            </w:r>
            <w:r w:rsidR="00F770FF">
              <w:rPr>
                <w:rFonts w:ascii="Century Schoolbook" w:eastAsia="Times New Roman" w:hAnsi="Century Schoolbook" w:cs="Times New Roman"/>
                <w:color w:val="000000"/>
                <w:sz w:val="18"/>
                <w:szCs w:val="20"/>
                <w:lang w:eastAsia="en-CA"/>
              </w:rPr>
              <w:t xml:space="preserve"> </w:t>
            </w:r>
            <w:r w:rsidR="00F770FF" w:rsidRPr="000F4D18">
              <w:rPr>
                <w:rFonts w:ascii="Century Schoolbook" w:eastAsia="Times New Roman" w:hAnsi="Century Schoolbook" w:cs="Times New Roman"/>
                <w:color w:val="000000"/>
                <w:sz w:val="18"/>
                <w:szCs w:val="20"/>
                <w:lang w:eastAsia="en-CA"/>
              </w:rPr>
              <w:t xml:space="preserve">– </w:t>
            </w:r>
            <w:r>
              <w:rPr>
                <w:rFonts w:ascii="Century Schoolbook" w:eastAsia="Times New Roman" w:hAnsi="Century Schoolbook" w:cs="Times New Roman"/>
                <w:color w:val="000000"/>
                <w:sz w:val="18"/>
                <w:szCs w:val="20"/>
                <w:lang w:eastAsia="en-CA"/>
              </w:rPr>
              <w:t>Low</w:t>
            </w:r>
            <w:r w:rsidR="00F770FF" w:rsidRPr="000F4D18">
              <w:rPr>
                <w:rFonts w:ascii="Century Schoolbook" w:eastAsia="Times New Roman" w:hAnsi="Century Schoolbook" w:cs="Times New Roman"/>
                <w:color w:val="000000"/>
                <w:sz w:val="18"/>
                <w:szCs w:val="20"/>
                <w:lang w:eastAsia="en-CA"/>
              </w:rPr>
              <w:t xml:space="preserve"> </w:t>
            </w:r>
          </w:p>
        </w:tc>
        <w:tc>
          <w:tcPr>
            <w:tcW w:w="119" w:type="pct"/>
            <w:tcBorders>
              <w:top w:val="nil"/>
              <w:left w:val="nil"/>
              <w:bottom w:val="nil"/>
              <w:right w:val="nil"/>
            </w:tcBorders>
            <w:shd w:val="clear" w:color="000000" w:fill="FFFFFF"/>
            <w:noWrap/>
            <w:hideMark/>
          </w:tcPr>
          <w:p w14:paraId="58F78C78"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vMerge w:val="restart"/>
            <w:tcBorders>
              <w:top w:val="nil"/>
              <w:left w:val="nil"/>
              <w:bottom w:val="single" w:sz="8" w:space="0" w:color="000000"/>
              <w:right w:val="nil"/>
            </w:tcBorders>
            <w:shd w:val="clear" w:color="000000" w:fill="FFFFFF"/>
            <w:hideMark/>
          </w:tcPr>
          <w:p w14:paraId="2BD4AC4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Non</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star</w:t>
            </w:r>
          </w:p>
        </w:tc>
        <w:tc>
          <w:tcPr>
            <w:tcW w:w="487" w:type="pct"/>
            <w:vMerge w:val="restart"/>
            <w:tcBorders>
              <w:top w:val="nil"/>
              <w:left w:val="nil"/>
              <w:bottom w:val="single" w:sz="8" w:space="0" w:color="000000"/>
              <w:right w:val="nil"/>
            </w:tcBorders>
            <w:shd w:val="clear" w:color="000000" w:fill="FFFFFF"/>
            <w:hideMark/>
          </w:tcPr>
          <w:p w14:paraId="18E169E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All</w:t>
            </w:r>
            <w:r>
              <w:rPr>
                <w:rFonts w:ascii="Century Schoolbook" w:eastAsia="Times New Roman" w:hAnsi="Century Schoolbook" w:cs="Times New Roman"/>
                <w:i/>
                <w:iCs/>
                <w:color w:val="000000"/>
                <w:sz w:val="18"/>
                <w:szCs w:val="20"/>
                <w:lang w:eastAsia="en-CA"/>
              </w:rPr>
              <w:t>-</w:t>
            </w:r>
            <w:r w:rsidRPr="000F4D18">
              <w:rPr>
                <w:rFonts w:ascii="Century Schoolbook" w:eastAsia="Times New Roman" w:hAnsi="Century Schoolbook" w:cs="Times New Roman"/>
                <w:color w:val="000000"/>
                <w:sz w:val="18"/>
                <w:szCs w:val="20"/>
                <w:lang w:eastAsia="en-CA"/>
              </w:rPr>
              <w:t>star</w:t>
            </w:r>
          </w:p>
        </w:tc>
        <w:tc>
          <w:tcPr>
            <w:tcW w:w="838" w:type="pct"/>
            <w:tcBorders>
              <w:top w:val="nil"/>
              <w:left w:val="nil"/>
              <w:bottom w:val="nil"/>
              <w:right w:val="nil"/>
            </w:tcBorders>
            <w:shd w:val="clear" w:color="000000" w:fill="FFFFFF"/>
            <w:hideMark/>
          </w:tcPr>
          <w:p w14:paraId="1AA9459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All</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 xml:space="preserve">star </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 xml:space="preserve"> Non</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star</w:t>
            </w:r>
          </w:p>
        </w:tc>
      </w:tr>
      <w:tr w:rsidR="00F770FF" w:rsidRPr="00F27F5B" w14:paraId="68D59272" w14:textId="77777777" w:rsidTr="00185F17">
        <w:trPr>
          <w:trHeight w:val="232"/>
        </w:trPr>
        <w:tc>
          <w:tcPr>
            <w:tcW w:w="868" w:type="pct"/>
            <w:tcBorders>
              <w:top w:val="nil"/>
              <w:left w:val="nil"/>
              <w:bottom w:val="single" w:sz="8" w:space="0" w:color="auto"/>
              <w:right w:val="nil"/>
            </w:tcBorders>
            <w:shd w:val="clear" w:color="000000" w:fill="FFFFFF"/>
            <w:vAlign w:val="center"/>
            <w:hideMark/>
          </w:tcPr>
          <w:p w14:paraId="0062C6D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8" w:type="pct"/>
            <w:vMerge/>
            <w:tcBorders>
              <w:top w:val="nil"/>
              <w:left w:val="nil"/>
              <w:bottom w:val="single" w:sz="8" w:space="0" w:color="000000"/>
              <w:right w:val="nil"/>
            </w:tcBorders>
            <w:vAlign w:val="center"/>
            <w:hideMark/>
          </w:tcPr>
          <w:p w14:paraId="6873B45F"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518" w:type="pct"/>
            <w:vMerge/>
            <w:tcBorders>
              <w:top w:val="nil"/>
              <w:left w:val="nil"/>
              <w:bottom w:val="single" w:sz="8" w:space="0" w:color="000000"/>
              <w:right w:val="nil"/>
            </w:tcBorders>
            <w:vAlign w:val="center"/>
            <w:hideMark/>
          </w:tcPr>
          <w:p w14:paraId="39DB812C"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487" w:type="pct"/>
            <w:vMerge/>
            <w:tcBorders>
              <w:top w:val="nil"/>
              <w:left w:val="nil"/>
              <w:bottom w:val="single" w:sz="8" w:space="0" w:color="000000"/>
              <w:right w:val="nil"/>
            </w:tcBorders>
            <w:vAlign w:val="center"/>
            <w:hideMark/>
          </w:tcPr>
          <w:p w14:paraId="34F742FC"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707" w:type="pct"/>
            <w:tcBorders>
              <w:top w:val="nil"/>
              <w:left w:val="nil"/>
              <w:bottom w:val="single" w:sz="8" w:space="0" w:color="auto"/>
              <w:right w:val="nil"/>
            </w:tcBorders>
            <w:shd w:val="clear" w:color="000000" w:fill="FFFFFF"/>
            <w:hideMark/>
          </w:tcPr>
          <w:p w14:paraId="0CD19AC3"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p–</w:t>
            </w:r>
            <w:r w:rsidRPr="000F4D18">
              <w:rPr>
                <w:rFonts w:ascii="Century Schoolbook" w:eastAsia="Times New Roman" w:hAnsi="Century Schoolbook" w:cs="Times New Roman"/>
                <w:color w:val="000000"/>
                <w:sz w:val="18"/>
                <w:szCs w:val="20"/>
                <w:lang w:eastAsia="en-CA"/>
              </w:rPr>
              <w:t>value</w:t>
            </w:r>
          </w:p>
        </w:tc>
        <w:tc>
          <w:tcPr>
            <w:tcW w:w="119" w:type="pct"/>
            <w:tcBorders>
              <w:top w:val="nil"/>
              <w:left w:val="nil"/>
              <w:bottom w:val="nil"/>
              <w:right w:val="nil"/>
            </w:tcBorders>
            <w:shd w:val="clear" w:color="000000" w:fill="FFFFFF"/>
            <w:noWrap/>
            <w:hideMark/>
          </w:tcPr>
          <w:p w14:paraId="602ADCD1"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vMerge/>
            <w:tcBorders>
              <w:top w:val="nil"/>
              <w:left w:val="nil"/>
              <w:bottom w:val="single" w:sz="8" w:space="0" w:color="000000"/>
              <w:right w:val="nil"/>
            </w:tcBorders>
            <w:vAlign w:val="center"/>
            <w:hideMark/>
          </w:tcPr>
          <w:p w14:paraId="67661DAF"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487" w:type="pct"/>
            <w:vMerge/>
            <w:tcBorders>
              <w:top w:val="nil"/>
              <w:left w:val="nil"/>
              <w:bottom w:val="single" w:sz="8" w:space="0" w:color="000000"/>
              <w:right w:val="nil"/>
            </w:tcBorders>
            <w:vAlign w:val="center"/>
            <w:hideMark/>
          </w:tcPr>
          <w:p w14:paraId="538DA1A8"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838" w:type="pct"/>
            <w:tcBorders>
              <w:top w:val="nil"/>
              <w:left w:val="nil"/>
              <w:bottom w:val="single" w:sz="8" w:space="0" w:color="auto"/>
              <w:right w:val="nil"/>
            </w:tcBorders>
            <w:shd w:val="clear" w:color="000000" w:fill="FFFFFF"/>
            <w:hideMark/>
          </w:tcPr>
          <w:p w14:paraId="7B7F9720"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p–</w:t>
            </w:r>
            <w:r w:rsidRPr="000F4D18">
              <w:rPr>
                <w:rFonts w:ascii="Century Schoolbook" w:eastAsia="Times New Roman" w:hAnsi="Century Schoolbook" w:cs="Times New Roman"/>
                <w:color w:val="000000"/>
                <w:sz w:val="18"/>
                <w:szCs w:val="20"/>
                <w:lang w:eastAsia="en-CA"/>
              </w:rPr>
              <w:t>value</w:t>
            </w:r>
          </w:p>
        </w:tc>
      </w:tr>
      <w:tr w:rsidR="00F770FF" w:rsidRPr="00F27F5B" w14:paraId="40CD2E98" w14:textId="77777777" w:rsidTr="00185F17">
        <w:trPr>
          <w:trHeight w:val="188"/>
        </w:trPr>
        <w:tc>
          <w:tcPr>
            <w:tcW w:w="868" w:type="pct"/>
            <w:tcBorders>
              <w:top w:val="nil"/>
              <w:left w:val="nil"/>
              <w:bottom w:val="nil"/>
              <w:right w:val="nil"/>
            </w:tcBorders>
            <w:shd w:val="clear" w:color="000000" w:fill="FFFFFF"/>
            <w:vAlign w:val="center"/>
            <w:hideMark/>
          </w:tcPr>
          <w:p w14:paraId="646007F0"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All analysts</w:t>
            </w:r>
          </w:p>
        </w:tc>
        <w:tc>
          <w:tcPr>
            <w:tcW w:w="488" w:type="pct"/>
            <w:tcBorders>
              <w:top w:val="nil"/>
              <w:left w:val="nil"/>
              <w:bottom w:val="nil"/>
              <w:right w:val="nil"/>
            </w:tcBorders>
            <w:shd w:val="clear" w:color="000000" w:fill="FFFFFF"/>
            <w:vAlign w:val="center"/>
            <w:hideMark/>
          </w:tcPr>
          <w:p w14:paraId="531D6AF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2.82%***</w:t>
            </w:r>
          </w:p>
        </w:tc>
        <w:tc>
          <w:tcPr>
            <w:tcW w:w="518" w:type="pct"/>
            <w:tcBorders>
              <w:top w:val="nil"/>
              <w:left w:val="nil"/>
              <w:bottom w:val="nil"/>
              <w:right w:val="nil"/>
            </w:tcBorders>
            <w:shd w:val="clear" w:color="000000" w:fill="FFFFFF"/>
            <w:vAlign w:val="center"/>
            <w:hideMark/>
          </w:tcPr>
          <w:p w14:paraId="2A9C507B"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3.17%***</w:t>
            </w:r>
          </w:p>
        </w:tc>
        <w:tc>
          <w:tcPr>
            <w:tcW w:w="487" w:type="pct"/>
            <w:tcBorders>
              <w:top w:val="nil"/>
              <w:left w:val="nil"/>
              <w:bottom w:val="nil"/>
              <w:right w:val="nil"/>
            </w:tcBorders>
            <w:shd w:val="clear" w:color="000000" w:fill="FFFFFF"/>
            <w:vAlign w:val="center"/>
            <w:hideMark/>
          </w:tcPr>
          <w:p w14:paraId="49C8499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2.91%***</w:t>
            </w:r>
          </w:p>
        </w:tc>
        <w:tc>
          <w:tcPr>
            <w:tcW w:w="707" w:type="pct"/>
            <w:tcBorders>
              <w:top w:val="nil"/>
              <w:left w:val="nil"/>
              <w:bottom w:val="nil"/>
              <w:right w:val="nil"/>
            </w:tcBorders>
            <w:shd w:val="clear" w:color="000000" w:fill="FFFFFF"/>
            <w:vAlign w:val="center"/>
            <w:hideMark/>
          </w:tcPr>
          <w:p w14:paraId="23BCD81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0.08%</w:t>
            </w:r>
          </w:p>
        </w:tc>
        <w:tc>
          <w:tcPr>
            <w:tcW w:w="119" w:type="pct"/>
            <w:tcBorders>
              <w:top w:val="nil"/>
              <w:left w:val="nil"/>
              <w:bottom w:val="nil"/>
              <w:right w:val="nil"/>
            </w:tcBorders>
            <w:shd w:val="clear" w:color="000000" w:fill="FFFFFF"/>
            <w:noWrap/>
            <w:vAlign w:val="center"/>
            <w:hideMark/>
          </w:tcPr>
          <w:p w14:paraId="1EBAABD8"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7A5F4DD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2.90%***</w:t>
            </w:r>
          </w:p>
        </w:tc>
        <w:tc>
          <w:tcPr>
            <w:tcW w:w="487" w:type="pct"/>
            <w:tcBorders>
              <w:top w:val="nil"/>
              <w:left w:val="nil"/>
              <w:bottom w:val="nil"/>
              <w:right w:val="nil"/>
            </w:tcBorders>
            <w:shd w:val="clear" w:color="000000" w:fill="FFFFFF"/>
            <w:vAlign w:val="center"/>
            <w:hideMark/>
          </w:tcPr>
          <w:p w14:paraId="353B13AB"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3.32%***</w:t>
            </w:r>
          </w:p>
        </w:tc>
        <w:tc>
          <w:tcPr>
            <w:tcW w:w="838" w:type="pct"/>
            <w:tcBorders>
              <w:top w:val="nil"/>
              <w:left w:val="nil"/>
              <w:bottom w:val="nil"/>
              <w:right w:val="nil"/>
            </w:tcBorders>
            <w:shd w:val="clear" w:color="000000" w:fill="FFFFFF"/>
            <w:vAlign w:val="center"/>
            <w:hideMark/>
          </w:tcPr>
          <w:p w14:paraId="366E4EA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0.42%***</w:t>
            </w:r>
          </w:p>
        </w:tc>
      </w:tr>
      <w:tr w:rsidR="00F770FF" w:rsidRPr="00F27F5B" w14:paraId="0F83F7A6" w14:textId="77777777" w:rsidTr="00185F17">
        <w:trPr>
          <w:trHeight w:val="188"/>
        </w:trPr>
        <w:tc>
          <w:tcPr>
            <w:tcW w:w="868" w:type="pct"/>
            <w:tcBorders>
              <w:top w:val="nil"/>
              <w:left w:val="nil"/>
              <w:bottom w:val="nil"/>
              <w:right w:val="nil"/>
            </w:tcBorders>
            <w:shd w:val="clear" w:color="000000" w:fill="FFFFFF"/>
            <w:vAlign w:val="center"/>
            <w:hideMark/>
          </w:tcPr>
          <w:p w14:paraId="1A815EB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Std. error</w:t>
            </w:r>
          </w:p>
        </w:tc>
        <w:tc>
          <w:tcPr>
            <w:tcW w:w="488" w:type="pct"/>
            <w:tcBorders>
              <w:top w:val="nil"/>
              <w:left w:val="nil"/>
              <w:bottom w:val="nil"/>
              <w:right w:val="nil"/>
            </w:tcBorders>
            <w:shd w:val="clear" w:color="000000" w:fill="FFFFFF"/>
            <w:vAlign w:val="center"/>
            <w:hideMark/>
          </w:tcPr>
          <w:p w14:paraId="701ADEE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518" w:type="pct"/>
            <w:tcBorders>
              <w:top w:val="nil"/>
              <w:left w:val="nil"/>
              <w:bottom w:val="nil"/>
              <w:right w:val="nil"/>
            </w:tcBorders>
            <w:shd w:val="clear" w:color="000000" w:fill="FFFFFF"/>
            <w:vAlign w:val="center"/>
            <w:hideMark/>
          </w:tcPr>
          <w:p w14:paraId="51E72B8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nil"/>
              <w:right w:val="nil"/>
            </w:tcBorders>
            <w:shd w:val="clear" w:color="000000" w:fill="FFFFFF"/>
            <w:vAlign w:val="center"/>
            <w:hideMark/>
          </w:tcPr>
          <w:p w14:paraId="2C7C9BA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707" w:type="pct"/>
            <w:tcBorders>
              <w:top w:val="nil"/>
              <w:left w:val="nil"/>
              <w:bottom w:val="nil"/>
              <w:right w:val="nil"/>
            </w:tcBorders>
            <w:shd w:val="clear" w:color="000000" w:fill="FFFFFF"/>
            <w:noWrap/>
            <w:vAlign w:val="bottom"/>
            <w:hideMark/>
          </w:tcPr>
          <w:p w14:paraId="436C1A7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0.397</w:t>
            </w:r>
          </w:p>
        </w:tc>
        <w:tc>
          <w:tcPr>
            <w:tcW w:w="119" w:type="pct"/>
            <w:tcBorders>
              <w:top w:val="nil"/>
              <w:left w:val="nil"/>
              <w:bottom w:val="nil"/>
              <w:right w:val="nil"/>
            </w:tcBorders>
            <w:shd w:val="clear" w:color="000000" w:fill="FFFFFF"/>
            <w:noWrap/>
            <w:vAlign w:val="center"/>
            <w:hideMark/>
          </w:tcPr>
          <w:p w14:paraId="253FA43E"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158C98A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(0.000)</w:t>
            </w:r>
          </w:p>
        </w:tc>
        <w:tc>
          <w:tcPr>
            <w:tcW w:w="487" w:type="pct"/>
            <w:tcBorders>
              <w:top w:val="nil"/>
              <w:left w:val="nil"/>
              <w:bottom w:val="nil"/>
              <w:right w:val="nil"/>
            </w:tcBorders>
            <w:shd w:val="clear" w:color="000000" w:fill="FFFFFF"/>
            <w:vAlign w:val="center"/>
            <w:hideMark/>
          </w:tcPr>
          <w:p w14:paraId="4DC9B029"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838" w:type="pct"/>
            <w:tcBorders>
              <w:top w:val="nil"/>
              <w:left w:val="nil"/>
              <w:bottom w:val="nil"/>
              <w:right w:val="nil"/>
            </w:tcBorders>
            <w:shd w:val="clear" w:color="000000" w:fill="FFFFFF"/>
            <w:noWrap/>
            <w:vAlign w:val="center"/>
            <w:hideMark/>
          </w:tcPr>
          <w:p w14:paraId="4D77FF2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0.000</w:t>
            </w:r>
          </w:p>
        </w:tc>
      </w:tr>
      <w:tr w:rsidR="00F770FF" w:rsidRPr="00F27F5B" w14:paraId="680C392F" w14:textId="77777777" w:rsidTr="00185F17">
        <w:trPr>
          <w:trHeight w:val="188"/>
        </w:trPr>
        <w:tc>
          <w:tcPr>
            <w:tcW w:w="868" w:type="pct"/>
            <w:tcBorders>
              <w:top w:val="nil"/>
              <w:left w:val="nil"/>
              <w:bottom w:val="single" w:sz="8" w:space="0" w:color="auto"/>
              <w:right w:val="nil"/>
            </w:tcBorders>
            <w:shd w:val="clear" w:color="000000" w:fill="FFFFFF"/>
            <w:vAlign w:val="center"/>
            <w:hideMark/>
          </w:tcPr>
          <w:p w14:paraId="54C0608A"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Nobs.</w:t>
            </w:r>
          </w:p>
        </w:tc>
        <w:tc>
          <w:tcPr>
            <w:tcW w:w="488" w:type="pct"/>
            <w:tcBorders>
              <w:top w:val="nil"/>
              <w:left w:val="nil"/>
              <w:bottom w:val="single" w:sz="8" w:space="0" w:color="auto"/>
              <w:right w:val="nil"/>
            </w:tcBorders>
            <w:shd w:val="clear" w:color="000000" w:fill="FFFFFF"/>
            <w:vAlign w:val="center"/>
            <w:hideMark/>
          </w:tcPr>
          <w:p w14:paraId="734461A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16</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788</w:t>
            </w:r>
          </w:p>
        </w:tc>
        <w:tc>
          <w:tcPr>
            <w:tcW w:w="518" w:type="pct"/>
            <w:tcBorders>
              <w:top w:val="nil"/>
              <w:left w:val="nil"/>
              <w:bottom w:val="single" w:sz="8" w:space="0" w:color="auto"/>
              <w:right w:val="nil"/>
            </w:tcBorders>
            <w:shd w:val="clear" w:color="000000" w:fill="FFFFFF"/>
            <w:vAlign w:val="center"/>
            <w:hideMark/>
          </w:tcPr>
          <w:p w14:paraId="216417F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14</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625</w:t>
            </w:r>
          </w:p>
        </w:tc>
        <w:tc>
          <w:tcPr>
            <w:tcW w:w="487" w:type="pct"/>
            <w:tcBorders>
              <w:top w:val="nil"/>
              <w:left w:val="nil"/>
              <w:bottom w:val="single" w:sz="8" w:space="0" w:color="auto"/>
              <w:right w:val="nil"/>
            </w:tcBorders>
            <w:shd w:val="clear" w:color="000000" w:fill="FFFFFF"/>
            <w:vAlign w:val="center"/>
            <w:hideMark/>
          </w:tcPr>
          <w:p w14:paraId="17F945B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15</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826</w:t>
            </w:r>
          </w:p>
        </w:tc>
        <w:tc>
          <w:tcPr>
            <w:tcW w:w="707" w:type="pct"/>
            <w:tcBorders>
              <w:top w:val="nil"/>
              <w:left w:val="nil"/>
              <w:bottom w:val="single" w:sz="8" w:space="0" w:color="auto"/>
              <w:right w:val="nil"/>
            </w:tcBorders>
            <w:shd w:val="clear" w:color="000000" w:fill="FFFFFF"/>
            <w:vAlign w:val="center"/>
            <w:hideMark/>
          </w:tcPr>
          <w:p w14:paraId="50F43A2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446888C5"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single" w:sz="8" w:space="0" w:color="auto"/>
              <w:right w:val="nil"/>
            </w:tcBorders>
            <w:shd w:val="clear" w:color="000000" w:fill="FFFFFF"/>
            <w:vAlign w:val="center"/>
            <w:hideMark/>
          </w:tcPr>
          <w:p w14:paraId="7953BEC9"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40</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412</w:t>
            </w:r>
          </w:p>
        </w:tc>
        <w:tc>
          <w:tcPr>
            <w:tcW w:w="487" w:type="pct"/>
            <w:tcBorders>
              <w:top w:val="nil"/>
              <w:left w:val="nil"/>
              <w:bottom w:val="single" w:sz="8" w:space="0" w:color="auto"/>
              <w:right w:val="nil"/>
            </w:tcBorders>
            <w:shd w:val="clear" w:color="000000" w:fill="FFFFFF"/>
            <w:vAlign w:val="center"/>
            <w:hideMark/>
          </w:tcPr>
          <w:p w14:paraId="1CCB215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6</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827</w:t>
            </w:r>
          </w:p>
        </w:tc>
        <w:tc>
          <w:tcPr>
            <w:tcW w:w="838" w:type="pct"/>
            <w:tcBorders>
              <w:top w:val="nil"/>
              <w:left w:val="nil"/>
              <w:bottom w:val="single" w:sz="8" w:space="0" w:color="auto"/>
              <w:right w:val="nil"/>
            </w:tcBorders>
            <w:shd w:val="clear" w:color="000000" w:fill="FFFFFF"/>
            <w:noWrap/>
            <w:vAlign w:val="center"/>
            <w:hideMark/>
          </w:tcPr>
          <w:p w14:paraId="37CA542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6C1AB418" w14:textId="77777777" w:rsidTr="00185F17">
        <w:trPr>
          <w:trHeight w:val="188"/>
        </w:trPr>
        <w:tc>
          <w:tcPr>
            <w:tcW w:w="1356" w:type="pct"/>
            <w:gridSpan w:val="2"/>
            <w:tcBorders>
              <w:top w:val="single" w:sz="8" w:space="0" w:color="auto"/>
              <w:left w:val="nil"/>
              <w:bottom w:val="nil"/>
              <w:right w:val="nil"/>
            </w:tcBorders>
            <w:shd w:val="clear" w:color="000000" w:fill="FFFFFF"/>
            <w:vAlign w:val="center"/>
            <w:hideMark/>
          </w:tcPr>
          <w:p w14:paraId="37FA9D10" w14:textId="77777777" w:rsidR="00F770FF" w:rsidRPr="000F4D18" w:rsidRDefault="00F770FF" w:rsidP="009704E4">
            <w:pPr>
              <w:spacing w:after="0" w:line="240" w:lineRule="auto"/>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Sorted by analysts' turnover</w:t>
            </w:r>
          </w:p>
        </w:tc>
        <w:tc>
          <w:tcPr>
            <w:tcW w:w="518" w:type="pct"/>
            <w:tcBorders>
              <w:top w:val="nil"/>
              <w:left w:val="nil"/>
              <w:bottom w:val="nil"/>
              <w:right w:val="nil"/>
            </w:tcBorders>
            <w:shd w:val="clear" w:color="000000" w:fill="FFFFFF"/>
            <w:vAlign w:val="center"/>
            <w:hideMark/>
          </w:tcPr>
          <w:p w14:paraId="2468324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4C5C870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707" w:type="pct"/>
            <w:tcBorders>
              <w:top w:val="nil"/>
              <w:left w:val="nil"/>
              <w:bottom w:val="nil"/>
              <w:right w:val="nil"/>
            </w:tcBorders>
            <w:shd w:val="clear" w:color="000000" w:fill="FFFFFF"/>
            <w:vAlign w:val="center"/>
            <w:hideMark/>
          </w:tcPr>
          <w:p w14:paraId="14B435B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607C723C"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213744B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6053B69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838" w:type="pct"/>
            <w:tcBorders>
              <w:top w:val="nil"/>
              <w:left w:val="nil"/>
              <w:bottom w:val="nil"/>
              <w:right w:val="nil"/>
            </w:tcBorders>
            <w:shd w:val="clear" w:color="000000" w:fill="FFFFFF"/>
            <w:vAlign w:val="center"/>
            <w:hideMark/>
          </w:tcPr>
          <w:p w14:paraId="0690626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3C72700F" w14:textId="77777777" w:rsidTr="00185F17">
        <w:trPr>
          <w:trHeight w:val="188"/>
        </w:trPr>
        <w:tc>
          <w:tcPr>
            <w:tcW w:w="868" w:type="pct"/>
            <w:tcBorders>
              <w:top w:val="nil"/>
              <w:left w:val="nil"/>
              <w:bottom w:val="nil"/>
              <w:right w:val="nil"/>
            </w:tcBorders>
            <w:shd w:val="clear" w:color="000000" w:fill="FFFFFF"/>
            <w:vAlign w:val="center"/>
            <w:hideMark/>
          </w:tcPr>
          <w:p w14:paraId="577BF7E6"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 Slow-turnover</w:t>
            </w:r>
          </w:p>
        </w:tc>
        <w:tc>
          <w:tcPr>
            <w:tcW w:w="488" w:type="pct"/>
            <w:tcBorders>
              <w:top w:val="nil"/>
              <w:left w:val="nil"/>
              <w:bottom w:val="nil"/>
              <w:right w:val="nil"/>
            </w:tcBorders>
            <w:shd w:val="clear" w:color="000000" w:fill="FFFFFF"/>
            <w:vAlign w:val="center"/>
            <w:hideMark/>
          </w:tcPr>
          <w:p w14:paraId="49E2241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3.64%***</w:t>
            </w:r>
          </w:p>
        </w:tc>
        <w:tc>
          <w:tcPr>
            <w:tcW w:w="518" w:type="pct"/>
            <w:tcBorders>
              <w:top w:val="nil"/>
              <w:left w:val="nil"/>
              <w:bottom w:val="nil"/>
              <w:right w:val="nil"/>
            </w:tcBorders>
            <w:shd w:val="clear" w:color="000000" w:fill="FFFFFF"/>
            <w:vAlign w:val="center"/>
            <w:hideMark/>
          </w:tcPr>
          <w:p w14:paraId="038EA78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3.70%***</w:t>
            </w:r>
          </w:p>
        </w:tc>
        <w:tc>
          <w:tcPr>
            <w:tcW w:w="487" w:type="pct"/>
            <w:tcBorders>
              <w:top w:val="nil"/>
              <w:left w:val="nil"/>
              <w:bottom w:val="nil"/>
              <w:right w:val="nil"/>
            </w:tcBorders>
            <w:shd w:val="clear" w:color="000000" w:fill="FFFFFF"/>
            <w:vAlign w:val="center"/>
            <w:hideMark/>
          </w:tcPr>
          <w:p w14:paraId="12BC8EA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3.14%***</w:t>
            </w:r>
          </w:p>
        </w:tc>
        <w:tc>
          <w:tcPr>
            <w:tcW w:w="707" w:type="pct"/>
            <w:tcBorders>
              <w:top w:val="nil"/>
              <w:left w:val="nil"/>
              <w:bottom w:val="nil"/>
              <w:right w:val="nil"/>
            </w:tcBorders>
            <w:shd w:val="clear" w:color="000000" w:fill="FFFFFF"/>
            <w:vAlign w:val="center"/>
            <w:hideMark/>
          </w:tcPr>
          <w:p w14:paraId="66B861A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−0.50%</w:t>
            </w:r>
          </w:p>
        </w:tc>
        <w:tc>
          <w:tcPr>
            <w:tcW w:w="119" w:type="pct"/>
            <w:tcBorders>
              <w:top w:val="nil"/>
              <w:left w:val="nil"/>
              <w:bottom w:val="nil"/>
              <w:right w:val="nil"/>
            </w:tcBorders>
            <w:shd w:val="clear" w:color="000000" w:fill="FFFFFF"/>
            <w:noWrap/>
            <w:vAlign w:val="center"/>
            <w:hideMark/>
          </w:tcPr>
          <w:p w14:paraId="4A86E8C2"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349C30F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3.33%***</w:t>
            </w:r>
          </w:p>
        </w:tc>
        <w:tc>
          <w:tcPr>
            <w:tcW w:w="487" w:type="pct"/>
            <w:tcBorders>
              <w:top w:val="nil"/>
              <w:left w:val="nil"/>
              <w:bottom w:val="nil"/>
              <w:right w:val="nil"/>
            </w:tcBorders>
            <w:shd w:val="clear" w:color="000000" w:fill="FFFFFF"/>
            <w:vAlign w:val="center"/>
            <w:hideMark/>
          </w:tcPr>
          <w:p w14:paraId="670E7EEA"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3.56%***</w:t>
            </w:r>
          </w:p>
        </w:tc>
        <w:tc>
          <w:tcPr>
            <w:tcW w:w="838" w:type="pct"/>
            <w:tcBorders>
              <w:top w:val="nil"/>
              <w:left w:val="nil"/>
              <w:bottom w:val="nil"/>
              <w:right w:val="nil"/>
            </w:tcBorders>
            <w:shd w:val="clear" w:color="000000" w:fill="FFFFFF"/>
            <w:vAlign w:val="center"/>
            <w:hideMark/>
          </w:tcPr>
          <w:p w14:paraId="3227D06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0.23%</w:t>
            </w:r>
          </w:p>
        </w:tc>
      </w:tr>
      <w:tr w:rsidR="00F770FF" w:rsidRPr="00F27F5B" w14:paraId="5B8BE848" w14:textId="77777777" w:rsidTr="00185F17">
        <w:trPr>
          <w:trHeight w:val="188"/>
        </w:trPr>
        <w:tc>
          <w:tcPr>
            <w:tcW w:w="868" w:type="pct"/>
            <w:tcBorders>
              <w:top w:val="nil"/>
              <w:left w:val="nil"/>
              <w:bottom w:val="nil"/>
              <w:right w:val="nil"/>
            </w:tcBorders>
            <w:shd w:val="clear" w:color="000000" w:fill="FFFFFF"/>
            <w:vAlign w:val="center"/>
            <w:hideMark/>
          </w:tcPr>
          <w:p w14:paraId="0D41C03A"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Std. error</w:t>
            </w:r>
          </w:p>
        </w:tc>
        <w:tc>
          <w:tcPr>
            <w:tcW w:w="488" w:type="pct"/>
            <w:tcBorders>
              <w:top w:val="nil"/>
              <w:left w:val="nil"/>
              <w:bottom w:val="nil"/>
              <w:right w:val="nil"/>
            </w:tcBorders>
            <w:shd w:val="clear" w:color="000000" w:fill="FFFFFF"/>
            <w:vAlign w:val="center"/>
            <w:hideMark/>
          </w:tcPr>
          <w:p w14:paraId="2E781D3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(0.002)</w:t>
            </w:r>
          </w:p>
        </w:tc>
        <w:tc>
          <w:tcPr>
            <w:tcW w:w="518" w:type="pct"/>
            <w:tcBorders>
              <w:top w:val="nil"/>
              <w:left w:val="nil"/>
              <w:bottom w:val="nil"/>
              <w:right w:val="nil"/>
            </w:tcBorders>
            <w:shd w:val="clear" w:color="000000" w:fill="FFFFFF"/>
            <w:vAlign w:val="center"/>
            <w:hideMark/>
          </w:tcPr>
          <w:p w14:paraId="51052D3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(0.002)</w:t>
            </w:r>
          </w:p>
        </w:tc>
        <w:tc>
          <w:tcPr>
            <w:tcW w:w="487" w:type="pct"/>
            <w:tcBorders>
              <w:top w:val="nil"/>
              <w:left w:val="nil"/>
              <w:bottom w:val="nil"/>
              <w:right w:val="nil"/>
            </w:tcBorders>
            <w:shd w:val="clear" w:color="000000" w:fill="FFFFFF"/>
            <w:vAlign w:val="center"/>
            <w:hideMark/>
          </w:tcPr>
          <w:p w14:paraId="4EA4118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(0.002)</w:t>
            </w:r>
          </w:p>
        </w:tc>
        <w:tc>
          <w:tcPr>
            <w:tcW w:w="707" w:type="pct"/>
            <w:tcBorders>
              <w:top w:val="nil"/>
              <w:left w:val="nil"/>
              <w:bottom w:val="nil"/>
              <w:right w:val="nil"/>
            </w:tcBorders>
            <w:shd w:val="clear" w:color="000000" w:fill="FFFFFF"/>
            <w:noWrap/>
            <w:vAlign w:val="center"/>
            <w:hideMark/>
          </w:tcPr>
          <w:p w14:paraId="07409E7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0.182</w:t>
            </w:r>
          </w:p>
        </w:tc>
        <w:tc>
          <w:tcPr>
            <w:tcW w:w="119" w:type="pct"/>
            <w:tcBorders>
              <w:top w:val="nil"/>
              <w:left w:val="nil"/>
              <w:bottom w:val="nil"/>
              <w:right w:val="nil"/>
            </w:tcBorders>
            <w:shd w:val="clear" w:color="000000" w:fill="FFFFFF"/>
            <w:noWrap/>
            <w:vAlign w:val="center"/>
            <w:hideMark/>
          </w:tcPr>
          <w:p w14:paraId="550C06D5"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496EFDC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nil"/>
              <w:right w:val="nil"/>
            </w:tcBorders>
            <w:shd w:val="clear" w:color="000000" w:fill="FFFFFF"/>
            <w:vAlign w:val="center"/>
            <w:hideMark/>
          </w:tcPr>
          <w:p w14:paraId="420ACAC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(0.004)</w:t>
            </w:r>
          </w:p>
        </w:tc>
        <w:tc>
          <w:tcPr>
            <w:tcW w:w="838" w:type="pct"/>
            <w:tcBorders>
              <w:top w:val="nil"/>
              <w:left w:val="nil"/>
              <w:bottom w:val="nil"/>
              <w:right w:val="nil"/>
            </w:tcBorders>
            <w:shd w:val="clear" w:color="000000" w:fill="FFFFFF"/>
            <w:noWrap/>
            <w:vAlign w:val="center"/>
            <w:hideMark/>
          </w:tcPr>
          <w:p w14:paraId="33122E6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0.2748</w:t>
            </w:r>
          </w:p>
        </w:tc>
      </w:tr>
      <w:tr w:rsidR="00F770FF" w:rsidRPr="00F27F5B" w14:paraId="417FA640" w14:textId="77777777" w:rsidTr="00185F17">
        <w:trPr>
          <w:trHeight w:val="188"/>
        </w:trPr>
        <w:tc>
          <w:tcPr>
            <w:tcW w:w="868" w:type="pct"/>
            <w:tcBorders>
              <w:top w:val="nil"/>
              <w:left w:val="nil"/>
              <w:bottom w:val="nil"/>
              <w:right w:val="nil"/>
            </w:tcBorders>
            <w:shd w:val="clear" w:color="000000" w:fill="FFFFFF"/>
            <w:vAlign w:val="center"/>
            <w:hideMark/>
          </w:tcPr>
          <w:p w14:paraId="215B067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Nobs.</w:t>
            </w:r>
          </w:p>
        </w:tc>
        <w:tc>
          <w:tcPr>
            <w:tcW w:w="488" w:type="pct"/>
            <w:tcBorders>
              <w:top w:val="nil"/>
              <w:left w:val="nil"/>
              <w:bottom w:val="nil"/>
              <w:right w:val="nil"/>
            </w:tcBorders>
            <w:shd w:val="clear" w:color="000000" w:fill="FFFFFF"/>
            <w:vAlign w:val="center"/>
            <w:hideMark/>
          </w:tcPr>
          <w:p w14:paraId="3C1319A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431</w:t>
            </w:r>
          </w:p>
        </w:tc>
        <w:tc>
          <w:tcPr>
            <w:tcW w:w="518" w:type="pct"/>
            <w:tcBorders>
              <w:top w:val="nil"/>
              <w:left w:val="nil"/>
              <w:bottom w:val="nil"/>
              <w:right w:val="nil"/>
            </w:tcBorders>
            <w:shd w:val="clear" w:color="000000" w:fill="FFFFFF"/>
            <w:vAlign w:val="center"/>
            <w:hideMark/>
          </w:tcPr>
          <w:p w14:paraId="43CC1E7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811</w:t>
            </w:r>
          </w:p>
        </w:tc>
        <w:tc>
          <w:tcPr>
            <w:tcW w:w="487" w:type="pct"/>
            <w:tcBorders>
              <w:top w:val="nil"/>
              <w:left w:val="nil"/>
              <w:bottom w:val="nil"/>
              <w:right w:val="nil"/>
            </w:tcBorders>
            <w:shd w:val="clear" w:color="000000" w:fill="FFFFFF"/>
            <w:vAlign w:val="center"/>
            <w:hideMark/>
          </w:tcPr>
          <w:p w14:paraId="08BAA729"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746</w:t>
            </w:r>
          </w:p>
        </w:tc>
        <w:tc>
          <w:tcPr>
            <w:tcW w:w="707" w:type="pct"/>
            <w:tcBorders>
              <w:top w:val="nil"/>
              <w:left w:val="nil"/>
              <w:bottom w:val="nil"/>
              <w:right w:val="nil"/>
            </w:tcBorders>
            <w:shd w:val="clear" w:color="000000" w:fill="FFFFFF"/>
            <w:vAlign w:val="center"/>
            <w:hideMark/>
          </w:tcPr>
          <w:p w14:paraId="7BAB8C2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7F2BF60D"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548B3AB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727</w:t>
            </w:r>
          </w:p>
        </w:tc>
        <w:tc>
          <w:tcPr>
            <w:tcW w:w="487" w:type="pct"/>
            <w:tcBorders>
              <w:top w:val="nil"/>
              <w:left w:val="nil"/>
              <w:bottom w:val="nil"/>
              <w:right w:val="nil"/>
            </w:tcBorders>
            <w:shd w:val="clear" w:color="000000" w:fill="FFFFFF"/>
            <w:vAlign w:val="center"/>
            <w:hideMark/>
          </w:tcPr>
          <w:p w14:paraId="7C598C1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840</w:t>
            </w:r>
          </w:p>
        </w:tc>
        <w:tc>
          <w:tcPr>
            <w:tcW w:w="838" w:type="pct"/>
            <w:tcBorders>
              <w:top w:val="nil"/>
              <w:left w:val="nil"/>
              <w:bottom w:val="nil"/>
              <w:right w:val="nil"/>
            </w:tcBorders>
            <w:shd w:val="clear" w:color="000000" w:fill="FFFFFF"/>
            <w:vAlign w:val="center"/>
            <w:hideMark/>
          </w:tcPr>
          <w:p w14:paraId="1261803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6BC6A8E7" w14:textId="77777777" w:rsidTr="00185F17">
        <w:trPr>
          <w:trHeight w:val="188"/>
        </w:trPr>
        <w:tc>
          <w:tcPr>
            <w:tcW w:w="868" w:type="pct"/>
            <w:tcBorders>
              <w:top w:val="nil"/>
              <w:left w:val="nil"/>
              <w:bottom w:val="nil"/>
              <w:right w:val="nil"/>
            </w:tcBorders>
            <w:shd w:val="clear" w:color="000000" w:fill="FFFFFF"/>
            <w:vAlign w:val="center"/>
            <w:hideMark/>
          </w:tcPr>
          <w:p w14:paraId="5919C5E8"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 Average-turnover</w:t>
            </w:r>
          </w:p>
        </w:tc>
        <w:tc>
          <w:tcPr>
            <w:tcW w:w="488" w:type="pct"/>
            <w:tcBorders>
              <w:top w:val="nil"/>
              <w:left w:val="nil"/>
              <w:bottom w:val="nil"/>
              <w:right w:val="nil"/>
            </w:tcBorders>
            <w:shd w:val="clear" w:color="000000" w:fill="FFFFFF"/>
            <w:vAlign w:val="center"/>
            <w:hideMark/>
          </w:tcPr>
          <w:p w14:paraId="4CCA3B4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3.22%***</w:t>
            </w:r>
          </w:p>
        </w:tc>
        <w:tc>
          <w:tcPr>
            <w:tcW w:w="518" w:type="pct"/>
            <w:tcBorders>
              <w:top w:val="nil"/>
              <w:left w:val="nil"/>
              <w:bottom w:val="nil"/>
              <w:right w:val="nil"/>
            </w:tcBorders>
            <w:shd w:val="clear" w:color="000000" w:fill="FFFFFF"/>
            <w:vAlign w:val="center"/>
            <w:hideMark/>
          </w:tcPr>
          <w:p w14:paraId="055034F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3.17%***</w:t>
            </w:r>
          </w:p>
        </w:tc>
        <w:tc>
          <w:tcPr>
            <w:tcW w:w="487" w:type="pct"/>
            <w:tcBorders>
              <w:top w:val="nil"/>
              <w:left w:val="nil"/>
              <w:bottom w:val="nil"/>
              <w:right w:val="nil"/>
            </w:tcBorders>
            <w:shd w:val="clear" w:color="000000" w:fill="FFFFFF"/>
            <w:vAlign w:val="center"/>
            <w:hideMark/>
          </w:tcPr>
          <w:p w14:paraId="710D718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2.92%***</w:t>
            </w:r>
          </w:p>
        </w:tc>
        <w:tc>
          <w:tcPr>
            <w:tcW w:w="707" w:type="pct"/>
            <w:tcBorders>
              <w:top w:val="nil"/>
              <w:left w:val="nil"/>
              <w:bottom w:val="nil"/>
              <w:right w:val="nil"/>
            </w:tcBorders>
            <w:shd w:val="clear" w:color="000000" w:fill="FFFFFF"/>
            <w:vAlign w:val="center"/>
            <w:hideMark/>
          </w:tcPr>
          <w:p w14:paraId="2BC8200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−0.30%***</w:t>
            </w:r>
          </w:p>
        </w:tc>
        <w:tc>
          <w:tcPr>
            <w:tcW w:w="119" w:type="pct"/>
            <w:tcBorders>
              <w:top w:val="nil"/>
              <w:left w:val="nil"/>
              <w:bottom w:val="nil"/>
              <w:right w:val="nil"/>
            </w:tcBorders>
            <w:shd w:val="clear" w:color="000000" w:fill="FFFFFF"/>
            <w:noWrap/>
            <w:vAlign w:val="center"/>
            <w:hideMark/>
          </w:tcPr>
          <w:p w14:paraId="378289EF"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25F26F4A"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3.06%***</w:t>
            </w:r>
          </w:p>
        </w:tc>
        <w:tc>
          <w:tcPr>
            <w:tcW w:w="487" w:type="pct"/>
            <w:tcBorders>
              <w:top w:val="nil"/>
              <w:left w:val="nil"/>
              <w:bottom w:val="nil"/>
              <w:right w:val="nil"/>
            </w:tcBorders>
            <w:shd w:val="clear" w:color="000000" w:fill="FFFFFF"/>
            <w:vAlign w:val="center"/>
            <w:hideMark/>
          </w:tcPr>
          <w:p w14:paraId="60A43F1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3.31%***</w:t>
            </w:r>
          </w:p>
        </w:tc>
        <w:tc>
          <w:tcPr>
            <w:tcW w:w="838" w:type="pct"/>
            <w:tcBorders>
              <w:top w:val="nil"/>
              <w:left w:val="nil"/>
              <w:bottom w:val="nil"/>
              <w:right w:val="nil"/>
            </w:tcBorders>
            <w:shd w:val="clear" w:color="000000" w:fill="FFFFFF"/>
            <w:vAlign w:val="center"/>
            <w:hideMark/>
          </w:tcPr>
          <w:p w14:paraId="1814A9E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0.25%**</w:t>
            </w:r>
          </w:p>
        </w:tc>
      </w:tr>
      <w:tr w:rsidR="00F770FF" w:rsidRPr="00F27F5B" w14:paraId="184372A9" w14:textId="77777777" w:rsidTr="00185F17">
        <w:trPr>
          <w:trHeight w:val="188"/>
        </w:trPr>
        <w:tc>
          <w:tcPr>
            <w:tcW w:w="868" w:type="pct"/>
            <w:tcBorders>
              <w:top w:val="nil"/>
              <w:left w:val="nil"/>
              <w:bottom w:val="nil"/>
              <w:right w:val="nil"/>
            </w:tcBorders>
            <w:shd w:val="clear" w:color="000000" w:fill="FFFFFF"/>
            <w:vAlign w:val="center"/>
            <w:hideMark/>
          </w:tcPr>
          <w:p w14:paraId="3F4AA9A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Std. error</w:t>
            </w:r>
          </w:p>
        </w:tc>
        <w:tc>
          <w:tcPr>
            <w:tcW w:w="488" w:type="pct"/>
            <w:tcBorders>
              <w:top w:val="nil"/>
              <w:left w:val="nil"/>
              <w:bottom w:val="nil"/>
              <w:right w:val="nil"/>
            </w:tcBorders>
            <w:shd w:val="clear" w:color="000000" w:fill="FFFFFF"/>
            <w:vAlign w:val="center"/>
            <w:hideMark/>
          </w:tcPr>
          <w:p w14:paraId="2E5ADF0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518" w:type="pct"/>
            <w:tcBorders>
              <w:top w:val="nil"/>
              <w:left w:val="nil"/>
              <w:bottom w:val="nil"/>
              <w:right w:val="nil"/>
            </w:tcBorders>
            <w:shd w:val="clear" w:color="000000" w:fill="FFFFFF"/>
            <w:vAlign w:val="center"/>
            <w:hideMark/>
          </w:tcPr>
          <w:p w14:paraId="6F2A0ED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nil"/>
              <w:right w:val="nil"/>
            </w:tcBorders>
            <w:shd w:val="clear" w:color="000000" w:fill="FFFFFF"/>
            <w:vAlign w:val="center"/>
            <w:hideMark/>
          </w:tcPr>
          <w:p w14:paraId="3B873F8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707" w:type="pct"/>
            <w:tcBorders>
              <w:top w:val="nil"/>
              <w:left w:val="nil"/>
              <w:bottom w:val="nil"/>
              <w:right w:val="nil"/>
            </w:tcBorders>
            <w:shd w:val="clear" w:color="000000" w:fill="FFFFFF"/>
            <w:noWrap/>
            <w:vAlign w:val="center"/>
            <w:hideMark/>
          </w:tcPr>
          <w:p w14:paraId="4E9C91D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0.007</w:t>
            </w:r>
          </w:p>
        </w:tc>
        <w:tc>
          <w:tcPr>
            <w:tcW w:w="119" w:type="pct"/>
            <w:tcBorders>
              <w:top w:val="nil"/>
              <w:left w:val="nil"/>
              <w:bottom w:val="nil"/>
              <w:right w:val="nil"/>
            </w:tcBorders>
            <w:shd w:val="clear" w:color="000000" w:fill="FFFFFF"/>
            <w:noWrap/>
            <w:vAlign w:val="center"/>
            <w:hideMark/>
          </w:tcPr>
          <w:p w14:paraId="67935AEA"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1B13A83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(0.000)</w:t>
            </w:r>
          </w:p>
        </w:tc>
        <w:tc>
          <w:tcPr>
            <w:tcW w:w="487" w:type="pct"/>
            <w:tcBorders>
              <w:top w:val="nil"/>
              <w:left w:val="nil"/>
              <w:bottom w:val="nil"/>
              <w:right w:val="nil"/>
            </w:tcBorders>
            <w:shd w:val="clear" w:color="000000" w:fill="FFFFFF"/>
            <w:vAlign w:val="center"/>
            <w:hideMark/>
          </w:tcPr>
          <w:p w14:paraId="5C29EED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838" w:type="pct"/>
            <w:tcBorders>
              <w:top w:val="nil"/>
              <w:left w:val="nil"/>
              <w:bottom w:val="nil"/>
              <w:right w:val="nil"/>
            </w:tcBorders>
            <w:shd w:val="clear" w:color="000000" w:fill="FFFFFF"/>
            <w:noWrap/>
            <w:vAlign w:val="center"/>
            <w:hideMark/>
          </w:tcPr>
          <w:p w14:paraId="4FBCC7A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0.0112</w:t>
            </w:r>
          </w:p>
        </w:tc>
      </w:tr>
      <w:tr w:rsidR="00F770FF" w:rsidRPr="00F27F5B" w14:paraId="1B6228DB" w14:textId="77777777" w:rsidTr="00185F17">
        <w:trPr>
          <w:trHeight w:val="188"/>
        </w:trPr>
        <w:tc>
          <w:tcPr>
            <w:tcW w:w="868" w:type="pct"/>
            <w:tcBorders>
              <w:top w:val="nil"/>
              <w:left w:val="nil"/>
              <w:bottom w:val="nil"/>
              <w:right w:val="nil"/>
            </w:tcBorders>
            <w:shd w:val="clear" w:color="000000" w:fill="FFFFFF"/>
            <w:vAlign w:val="center"/>
            <w:hideMark/>
          </w:tcPr>
          <w:p w14:paraId="6E928AF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Nobs.</w:t>
            </w:r>
          </w:p>
        </w:tc>
        <w:tc>
          <w:tcPr>
            <w:tcW w:w="488" w:type="pct"/>
            <w:tcBorders>
              <w:top w:val="nil"/>
              <w:left w:val="nil"/>
              <w:bottom w:val="nil"/>
              <w:right w:val="nil"/>
            </w:tcBorders>
            <w:shd w:val="clear" w:color="000000" w:fill="FFFFFF"/>
            <w:vAlign w:val="center"/>
            <w:hideMark/>
          </w:tcPr>
          <w:p w14:paraId="06E93FA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10</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126</w:t>
            </w:r>
          </w:p>
        </w:tc>
        <w:tc>
          <w:tcPr>
            <w:tcW w:w="518" w:type="pct"/>
            <w:tcBorders>
              <w:top w:val="nil"/>
              <w:left w:val="nil"/>
              <w:bottom w:val="nil"/>
              <w:right w:val="nil"/>
            </w:tcBorders>
            <w:shd w:val="clear" w:color="000000" w:fill="FFFFFF"/>
            <w:vAlign w:val="center"/>
            <w:hideMark/>
          </w:tcPr>
          <w:p w14:paraId="3D3CC11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169</w:t>
            </w:r>
          </w:p>
        </w:tc>
        <w:tc>
          <w:tcPr>
            <w:tcW w:w="487" w:type="pct"/>
            <w:tcBorders>
              <w:top w:val="nil"/>
              <w:left w:val="nil"/>
              <w:bottom w:val="nil"/>
              <w:right w:val="nil"/>
            </w:tcBorders>
            <w:shd w:val="clear" w:color="000000" w:fill="FFFFFF"/>
            <w:vAlign w:val="center"/>
            <w:hideMark/>
          </w:tcPr>
          <w:p w14:paraId="5EC76E4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10</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928</w:t>
            </w:r>
          </w:p>
        </w:tc>
        <w:tc>
          <w:tcPr>
            <w:tcW w:w="707" w:type="pct"/>
            <w:tcBorders>
              <w:top w:val="nil"/>
              <w:left w:val="nil"/>
              <w:bottom w:val="nil"/>
              <w:right w:val="nil"/>
            </w:tcBorders>
            <w:shd w:val="clear" w:color="000000" w:fill="FFFFFF"/>
            <w:vAlign w:val="center"/>
            <w:hideMark/>
          </w:tcPr>
          <w:p w14:paraId="23DDC5F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0DFFCB4E"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2927228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27</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648</w:t>
            </w:r>
          </w:p>
        </w:tc>
        <w:tc>
          <w:tcPr>
            <w:tcW w:w="487" w:type="pct"/>
            <w:tcBorders>
              <w:top w:val="nil"/>
              <w:left w:val="nil"/>
              <w:bottom w:val="nil"/>
              <w:right w:val="nil"/>
            </w:tcBorders>
            <w:shd w:val="clear" w:color="000000" w:fill="FFFFFF"/>
            <w:vAlign w:val="center"/>
            <w:hideMark/>
          </w:tcPr>
          <w:p w14:paraId="5D63D7C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4</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575</w:t>
            </w:r>
          </w:p>
        </w:tc>
        <w:tc>
          <w:tcPr>
            <w:tcW w:w="838" w:type="pct"/>
            <w:tcBorders>
              <w:top w:val="nil"/>
              <w:left w:val="nil"/>
              <w:bottom w:val="nil"/>
              <w:right w:val="nil"/>
            </w:tcBorders>
            <w:shd w:val="clear" w:color="000000" w:fill="FFFFFF"/>
            <w:vAlign w:val="center"/>
            <w:hideMark/>
          </w:tcPr>
          <w:p w14:paraId="5A58CA9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20B30A13" w14:textId="77777777" w:rsidTr="00185F17">
        <w:trPr>
          <w:trHeight w:val="188"/>
        </w:trPr>
        <w:tc>
          <w:tcPr>
            <w:tcW w:w="868" w:type="pct"/>
            <w:tcBorders>
              <w:top w:val="nil"/>
              <w:left w:val="nil"/>
              <w:bottom w:val="nil"/>
              <w:right w:val="nil"/>
            </w:tcBorders>
            <w:shd w:val="clear" w:color="000000" w:fill="FFFFFF"/>
            <w:vAlign w:val="center"/>
            <w:hideMark/>
          </w:tcPr>
          <w:p w14:paraId="1FC60D09"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 Fast-turnover</w:t>
            </w:r>
          </w:p>
        </w:tc>
        <w:tc>
          <w:tcPr>
            <w:tcW w:w="488" w:type="pct"/>
            <w:tcBorders>
              <w:top w:val="nil"/>
              <w:left w:val="nil"/>
              <w:bottom w:val="nil"/>
              <w:right w:val="nil"/>
            </w:tcBorders>
            <w:shd w:val="clear" w:color="000000" w:fill="FFFFFF"/>
            <w:vAlign w:val="center"/>
            <w:hideMark/>
          </w:tcPr>
          <w:p w14:paraId="0BEEE3F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1.84%***</w:t>
            </w:r>
          </w:p>
        </w:tc>
        <w:tc>
          <w:tcPr>
            <w:tcW w:w="518" w:type="pct"/>
            <w:tcBorders>
              <w:top w:val="nil"/>
              <w:left w:val="nil"/>
              <w:bottom w:val="nil"/>
              <w:right w:val="nil"/>
            </w:tcBorders>
            <w:shd w:val="clear" w:color="000000" w:fill="FFFFFF"/>
            <w:vAlign w:val="center"/>
            <w:hideMark/>
          </w:tcPr>
          <w:p w14:paraId="66AB6DF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2.62%***</w:t>
            </w:r>
          </w:p>
        </w:tc>
        <w:tc>
          <w:tcPr>
            <w:tcW w:w="487" w:type="pct"/>
            <w:tcBorders>
              <w:top w:val="nil"/>
              <w:left w:val="nil"/>
              <w:bottom w:val="nil"/>
              <w:right w:val="nil"/>
            </w:tcBorders>
            <w:shd w:val="clear" w:color="000000" w:fill="FFFFFF"/>
            <w:vAlign w:val="center"/>
            <w:hideMark/>
          </w:tcPr>
          <w:p w14:paraId="59A584C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2.01%***</w:t>
            </w:r>
          </w:p>
        </w:tc>
        <w:tc>
          <w:tcPr>
            <w:tcW w:w="707" w:type="pct"/>
            <w:tcBorders>
              <w:top w:val="nil"/>
              <w:left w:val="nil"/>
              <w:bottom w:val="nil"/>
              <w:right w:val="nil"/>
            </w:tcBorders>
            <w:shd w:val="clear" w:color="000000" w:fill="FFFFFF"/>
            <w:vAlign w:val="center"/>
            <w:hideMark/>
          </w:tcPr>
          <w:p w14:paraId="3DE3920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0.17%</w:t>
            </w:r>
          </w:p>
        </w:tc>
        <w:tc>
          <w:tcPr>
            <w:tcW w:w="119" w:type="pct"/>
            <w:tcBorders>
              <w:top w:val="nil"/>
              <w:left w:val="nil"/>
              <w:bottom w:val="nil"/>
              <w:right w:val="nil"/>
            </w:tcBorders>
            <w:shd w:val="clear" w:color="000000" w:fill="FFFFFF"/>
            <w:noWrap/>
            <w:vAlign w:val="center"/>
            <w:hideMark/>
          </w:tcPr>
          <w:p w14:paraId="5E66A256"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226E9E2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1.98%***</w:t>
            </w:r>
          </w:p>
        </w:tc>
        <w:tc>
          <w:tcPr>
            <w:tcW w:w="487" w:type="pct"/>
            <w:tcBorders>
              <w:top w:val="nil"/>
              <w:left w:val="nil"/>
              <w:bottom w:val="nil"/>
              <w:right w:val="nil"/>
            </w:tcBorders>
            <w:shd w:val="clear" w:color="000000" w:fill="FFFFFF"/>
            <w:vAlign w:val="center"/>
            <w:hideMark/>
          </w:tcPr>
          <w:p w14:paraId="08B5062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2.59%***</w:t>
            </w:r>
          </w:p>
        </w:tc>
        <w:tc>
          <w:tcPr>
            <w:tcW w:w="838" w:type="pct"/>
            <w:tcBorders>
              <w:top w:val="nil"/>
              <w:left w:val="nil"/>
              <w:bottom w:val="nil"/>
              <w:right w:val="nil"/>
            </w:tcBorders>
            <w:shd w:val="clear" w:color="000000" w:fill="FFFFFF"/>
            <w:vAlign w:val="center"/>
            <w:hideMark/>
          </w:tcPr>
          <w:p w14:paraId="23B98F1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0.60%</w:t>
            </w:r>
          </w:p>
        </w:tc>
      </w:tr>
      <w:tr w:rsidR="00F770FF" w:rsidRPr="00F27F5B" w14:paraId="1D9F2AFE" w14:textId="77777777" w:rsidTr="00185F17">
        <w:trPr>
          <w:trHeight w:val="188"/>
        </w:trPr>
        <w:tc>
          <w:tcPr>
            <w:tcW w:w="868" w:type="pct"/>
            <w:tcBorders>
              <w:top w:val="nil"/>
              <w:left w:val="nil"/>
              <w:bottom w:val="nil"/>
              <w:right w:val="nil"/>
            </w:tcBorders>
            <w:shd w:val="clear" w:color="000000" w:fill="FFFFFF"/>
            <w:vAlign w:val="center"/>
            <w:hideMark/>
          </w:tcPr>
          <w:p w14:paraId="0F962E8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Std. error</w:t>
            </w:r>
          </w:p>
        </w:tc>
        <w:tc>
          <w:tcPr>
            <w:tcW w:w="488" w:type="pct"/>
            <w:tcBorders>
              <w:top w:val="nil"/>
              <w:left w:val="nil"/>
              <w:bottom w:val="nil"/>
              <w:right w:val="nil"/>
            </w:tcBorders>
            <w:shd w:val="clear" w:color="000000" w:fill="FFFFFF"/>
            <w:vAlign w:val="center"/>
            <w:hideMark/>
          </w:tcPr>
          <w:p w14:paraId="0F83D0A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518" w:type="pct"/>
            <w:tcBorders>
              <w:top w:val="nil"/>
              <w:left w:val="nil"/>
              <w:bottom w:val="nil"/>
              <w:right w:val="nil"/>
            </w:tcBorders>
            <w:shd w:val="clear" w:color="000000" w:fill="FFFFFF"/>
            <w:vAlign w:val="center"/>
            <w:hideMark/>
          </w:tcPr>
          <w:p w14:paraId="4EE867D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(0.002)</w:t>
            </w:r>
          </w:p>
        </w:tc>
        <w:tc>
          <w:tcPr>
            <w:tcW w:w="487" w:type="pct"/>
            <w:tcBorders>
              <w:top w:val="nil"/>
              <w:left w:val="nil"/>
              <w:bottom w:val="nil"/>
              <w:right w:val="nil"/>
            </w:tcBorders>
            <w:shd w:val="clear" w:color="000000" w:fill="FFFFFF"/>
            <w:vAlign w:val="center"/>
            <w:hideMark/>
          </w:tcPr>
          <w:p w14:paraId="44E38BE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(0.002)</w:t>
            </w:r>
          </w:p>
        </w:tc>
        <w:tc>
          <w:tcPr>
            <w:tcW w:w="707" w:type="pct"/>
            <w:tcBorders>
              <w:top w:val="nil"/>
              <w:left w:val="nil"/>
              <w:bottom w:val="nil"/>
              <w:right w:val="nil"/>
            </w:tcBorders>
            <w:shd w:val="clear" w:color="000000" w:fill="FFFFFF"/>
            <w:hideMark/>
          </w:tcPr>
          <w:p w14:paraId="687AE1A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0.447</w:t>
            </w:r>
          </w:p>
        </w:tc>
        <w:tc>
          <w:tcPr>
            <w:tcW w:w="119" w:type="pct"/>
            <w:tcBorders>
              <w:top w:val="nil"/>
              <w:left w:val="nil"/>
              <w:bottom w:val="nil"/>
              <w:right w:val="nil"/>
            </w:tcBorders>
            <w:shd w:val="clear" w:color="000000" w:fill="FFFFFF"/>
            <w:noWrap/>
            <w:vAlign w:val="center"/>
            <w:hideMark/>
          </w:tcPr>
          <w:p w14:paraId="4D2EA69E"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11BAE00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nil"/>
              <w:right w:val="nil"/>
            </w:tcBorders>
            <w:shd w:val="clear" w:color="000000" w:fill="FFFFFF"/>
            <w:vAlign w:val="center"/>
            <w:hideMark/>
          </w:tcPr>
          <w:p w14:paraId="4931443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(0.003)</w:t>
            </w:r>
          </w:p>
        </w:tc>
        <w:tc>
          <w:tcPr>
            <w:tcW w:w="838" w:type="pct"/>
            <w:tcBorders>
              <w:top w:val="nil"/>
              <w:left w:val="nil"/>
              <w:bottom w:val="nil"/>
              <w:right w:val="nil"/>
            </w:tcBorders>
            <w:shd w:val="clear" w:color="000000" w:fill="FFFFFF"/>
            <w:noWrap/>
            <w:vAlign w:val="center"/>
            <w:hideMark/>
          </w:tcPr>
          <w:p w14:paraId="0212930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0.116</w:t>
            </w:r>
          </w:p>
        </w:tc>
      </w:tr>
      <w:tr w:rsidR="00F770FF" w:rsidRPr="00F27F5B" w14:paraId="7304B924" w14:textId="77777777" w:rsidTr="00185F17">
        <w:trPr>
          <w:trHeight w:val="188"/>
        </w:trPr>
        <w:tc>
          <w:tcPr>
            <w:tcW w:w="868" w:type="pct"/>
            <w:tcBorders>
              <w:top w:val="nil"/>
              <w:left w:val="nil"/>
              <w:bottom w:val="single" w:sz="8" w:space="0" w:color="auto"/>
              <w:right w:val="nil"/>
            </w:tcBorders>
            <w:shd w:val="clear" w:color="000000" w:fill="FFFFFF"/>
            <w:vAlign w:val="center"/>
            <w:hideMark/>
          </w:tcPr>
          <w:p w14:paraId="7E4115A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Nobs.</w:t>
            </w:r>
          </w:p>
        </w:tc>
        <w:tc>
          <w:tcPr>
            <w:tcW w:w="488" w:type="pct"/>
            <w:tcBorders>
              <w:top w:val="nil"/>
              <w:left w:val="nil"/>
              <w:bottom w:val="single" w:sz="8" w:space="0" w:color="auto"/>
              <w:right w:val="nil"/>
            </w:tcBorders>
            <w:shd w:val="clear" w:color="000000" w:fill="FFFFFF"/>
            <w:vAlign w:val="center"/>
            <w:hideMark/>
          </w:tcPr>
          <w:p w14:paraId="21E7E40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5</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231</w:t>
            </w:r>
          </w:p>
        </w:tc>
        <w:tc>
          <w:tcPr>
            <w:tcW w:w="518" w:type="pct"/>
            <w:tcBorders>
              <w:top w:val="nil"/>
              <w:left w:val="nil"/>
              <w:bottom w:val="single" w:sz="8" w:space="0" w:color="auto"/>
              <w:right w:val="nil"/>
            </w:tcBorders>
            <w:shd w:val="clear" w:color="000000" w:fill="FFFFFF"/>
            <w:vAlign w:val="center"/>
            <w:hideMark/>
          </w:tcPr>
          <w:p w14:paraId="5822F9D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645</w:t>
            </w:r>
          </w:p>
        </w:tc>
        <w:tc>
          <w:tcPr>
            <w:tcW w:w="487" w:type="pct"/>
            <w:tcBorders>
              <w:top w:val="nil"/>
              <w:left w:val="nil"/>
              <w:bottom w:val="single" w:sz="8" w:space="0" w:color="auto"/>
              <w:right w:val="nil"/>
            </w:tcBorders>
            <w:shd w:val="clear" w:color="000000" w:fill="FFFFFF"/>
            <w:vAlign w:val="center"/>
            <w:hideMark/>
          </w:tcPr>
          <w:p w14:paraId="50D69FA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152</w:t>
            </w:r>
          </w:p>
        </w:tc>
        <w:tc>
          <w:tcPr>
            <w:tcW w:w="707" w:type="pct"/>
            <w:tcBorders>
              <w:top w:val="nil"/>
              <w:left w:val="nil"/>
              <w:bottom w:val="single" w:sz="8" w:space="0" w:color="auto"/>
              <w:right w:val="nil"/>
            </w:tcBorders>
            <w:shd w:val="clear" w:color="000000" w:fill="FFFFFF"/>
            <w:noWrap/>
            <w:vAlign w:val="center"/>
            <w:hideMark/>
          </w:tcPr>
          <w:p w14:paraId="54B732D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13254668"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single" w:sz="8" w:space="0" w:color="auto"/>
              <w:right w:val="nil"/>
            </w:tcBorders>
            <w:shd w:val="clear" w:color="000000" w:fill="FFFFFF"/>
            <w:vAlign w:val="center"/>
            <w:hideMark/>
          </w:tcPr>
          <w:p w14:paraId="180ACC6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7</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497</w:t>
            </w:r>
          </w:p>
        </w:tc>
        <w:tc>
          <w:tcPr>
            <w:tcW w:w="487" w:type="pct"/>
            <w:tcBorders>
              <w:top w:val="nil"/>
              <w:left w:val="nil"/>
              <w:bottom w:val="single" w:sz="8" w:space="0" w:color="auto"/>
              <w:right w:val="nil"/>
            </w:tcBorders>
            <w:shd w:val="clear" w:color="000000" w:fill="FFFFFF"/>
            <w:vAlign w:val="center"/>
            <w:hideMark/>
          </w:tcPr>
          <w:p w14:paraId="714FCC2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531</w:t>
            </w:r>
          </w:p>
        </w:tc>
        <w:tc>
          <w:tcPr>
            <w:tcW w:w="838" w:type="pct"/>
            <w:tcBorders>
              <w:top w:val="nil"/>
              <w:left w:val="nil"/>
              <w:bottom w:val="single" w:sz="8" w:space="0" w:color="auto"/>
              <w:right w:val="nil"/>
            </w:tcBorders>
            <w:shd w:val="clear" w:color="000000" w:fill="FFFFFF"/>
            <w:noWrap/>
            <w:vAlign w:val="center"/>
            <w:hideMark/>
          </w:tcPr>
          <w:p w14:paraId="1D58CED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264A785A" w14:textId="77777777" w:rsidTr="00185F17">
        <w:trPr>
          <w:trHeight w:val="188"/>
        </w:trPr>
        <w:tc>
          <w:tcPr>
            <w:tcW w:w="868" w:type="pct"/>
            <w:tcBorders>
              <w:top w:val="nil"/>
              <w:left w:val="nil"/>
              <w:bottom w:val="nil"/>
              <w:right w:val="nil"/>
            </w:tcBorders>
            <w:shd w:val="clear" w:color="000000" w:fill="FFFFFF"/>
            <w:vAlign w:val="center"/>
            <w:hideMark/>
          </w:tcPr>
          <w:p w14:paraId="173F978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Slow − Fast</w:t>
            </w:r>
          </w:p>
        </w:tc>
        <w:tc>
          <w:tcPr>
            <w:tcW w:w="488" w:type="pct"/>
            <w:tcBorders>
              <w:top w:val="nil"/>
              <w:left w:val="nil"/>
              <w:bottom w:val="nil"/>
              <w:right w:val="nil"/>
            </w:tcBorders>
            <w:shd w:val="clear" w:color="000000" w:fill="FFFFFF"/>
            <w:vAlign w:val="center"/>
            <w:hideMark/>
          </w:tcPr>
          <w:p w14:paraId="7DA432C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1.80%***</w:t>
            </w:r>
          </w:p>
        </w:tc>
        <w:tc>
          <w:tcPr>
            <w:tcW w:w="518" w:type="pct"/>
            <w:tcBorders>
              <w:top w:val="nil"/>
              <w:left w:val="nil"/>
              <w:bottom w:val="nil"/>
              <w:right w:val="nil"/>
            </w:tcBorders>
            <w:shd w:val="clear" w:color="000000" w:fill="FFFFFF"/>
            <w:vAlign w:val="center"/>
            <w:hideMark/>
          </w:tcPr>
          <w:p w14:paraId="1F3C493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1.08%***</w:t>
            </w:r>
          </w:p>
        </w:tc>
        <w:tc>
          <w:tcPr>
            <w:tcW w:w="487" w:type="pct"/>
            <w:tcBorders>
              <w:top w:val="nil"/>
              <w:left w:val="nil"/>
              <w:bottom w:val="nil"/>
              <w:right w:val="nil"/>
            </w:tcBorders>
            <w:shd w:val="clear" w:color="000000" w:fill="FFFFFF"/>
            <w:vAlign w:val="center"/>
            <w:hideMark/>
          </w:tcPr>
          <w:p w14:paraId="66D0BB6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1.13%***</w:t>
            </w:r>
          </w:p>
        </w:tc>
        <w:tc>
          <w:tcPr>
            <w:tcW w:w="707" w:type="pct"/>
            <w:tcBorders>
              <w:top w:val="nil"/>
              <w:left w:val="nil"/>
              <w:bottom w:val="nil"/>
              <w:right w:val="nil"/>
            </w:tcBorders>
            <w:shd w:val="clear" w:color="000000" w:fill="FFFFFF"/>
            <w:noWrap/>
            <w:vAlign w:val="center"/>
            <w:hideMark/>
          </w:tcPr>
          <w:p w14:paraId="70B37AF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308180A5"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7330F9DA"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1.34%***</w:t>
            </w:r>
          </w:p>
        </w:tc>
        <w:tc>
          <w:tcPr>
            <w:tcW w:w="487" w:type="pct"/>
            <w:tcBorders>
              <w:top w:val="nil"/>
              <w:left w:val="nil"/>
              <w:bottom w:val="nil"/>
              <w:right w:val="nil"/>
            </w:tcBorders>
            <w:shd w:val="clear" w:color="000000" w:fill="FFFFFF"/>
            <w:vAlign w:val="center"/>
            <w:hideMark/>
          </w:tcPr>
          <w:p w14:paraId="38EE1E1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0.97%**</w:t>
            </w:r>
          </w:p>
        </w:tc>
        <w:tc>
          <w:tcPr>
            <w:tcW w:w="838" w:type="pct"/>
            <w:tcBorders>
              <w:top w:val="nil"/>
              <w:left w:val="nil"/>
              <w:bottom w:val="nil"/>
              <w:right w:val="nil"/>
            </w:tcBorders>
            <w:shd w:val="clear" w:color="000000" w:fill="FFFFFF"/>
            <w:noWrap/>
            <w:vAlign w:val="center"/>
            <w:hideMark/>
          </w:tcPr>
          <w:p w14:paraId="22049EB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70F10907" w14:textId="77777777" w:rsidTr="00185F17">
        <w:trPr>
          <w:trHeight w:val="188"/>
        </w:trPr>
        <w:tc>
          <w:tcPr>
            <w:tcW w:w="868" w:type="pct"/>
            <w:tcBorders>
              <w:top w:val="nil"/>
              <w:left w:val="nil"/>
              <w:bottom w:val="single" w:sz="8" w:space="0" w:color="auto"/>
              <w:right w:val="nil"/>
            </w:tcBorders>
            <w:shd w:val="clear" w:color="000000" w:fill="FFFFFF"/>
            <w:hideMark/>
          </w:tcPr>
          <w:p w14:paraId="11F7D74F"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p–</w:t>
            </w:r>
            <w:r w:rsidRPr="000F4D18">
              <w:rPr>
                <w:rFonts w:ascii="Century Schoolbook" w:eastAsia="Times New Roman" w:hAnsi="Century Schoolbook" w:cs="Times New Roman"/>
                <w:color w:val="000000"/>
                <w:sz w:val="18"/>
                <w:szCs w:val="20"/>
                <w:lang w:eastAsia="en-CA"/>
              </w:rPr>
              <w:t>value</w:t>
            </w:r>
          </w:p>
        </w:tc>
        <w:tc>
          <w:tcPr>
            <w:tcW w:w="488" w:type="pct"/>
            <w:tcBorders>
              <w:top w:val="nil"/>
              <w:left w:val="nil"/>
              <w:bottom w:val="double" w:sz="6" w:space="0" w:color="auto"/>
              <w:right w:val="nil"/>
            </w:tcBorders>
            <w:shd w:val="clear" w:color="000000" w:fill="FFFFFF"/>
            <w:noWrap/>
            <w:vAlign w:val="center"/>
            <w:hideMark/>
          </w:tcPr>
          <w:p w14:paraId="6C0BB78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518" w:type="pct"/>
            <w:tcBorders>
              <w:top w:val="nil"/>
              <w:left w:val="nil"/>
              <w:bottom w:val="double" w:sz="6" w:space="0" w:color="auto"/>
              <w:right w:val="nil"/>
            </w:tcBorders>
            <w:shd w:val="clear" w:color="000000" w:fill="FFFFFF"/>
            <w:noWrap/>
            <w:vAlign w:val="center"/>
            <w:hideMark/>
          </w:tcPr>
          <w:p w14:paraId="188CC15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0.005</w:t>
            </w:r>
          </w:p>
        </w:tc>
        <w:tc>
          <w:tcPr>
            <w:tcW w:w="487" w:type="pct"/>
            <w:tcBorders>
              <w:top w:val="nil"/>
              <w:left w:val="nil"/>
              <w:bottom w:val="double" w:sz="6" w:space="0" w:color="auto"/>
              <w:right w:val="nil"/>
            </w:tcBorders>
            <w:shd w:val="clear" w:color="000000" w:fill="FFFFFF"/>
            <w:noWrap/>
            <w:vAlign w:val="center"/>
            <w:hideMark/>
          </w:tcPr>
          <w:p w14:paraId="6AE1CD7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707" w:type="pct"/>
            <w:tcBorders>
              <w:top w:val="nil"/>
              <w:left w:val="nil"/>
              <w:bottom w:val="double" w:sz="6" w:space="0" w:color="auto"/>
              <w:right w:val="nil"/>
            </w:tcBorders>
            <w:shd w:val="clear" w:color="000000" w:fill="FFFFFF"/>
            <w:noWrap/>
            <w:hideMark/>
          </w:tcPr>
          <w:p w14:paraId="73953F06"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double" w:sz="6" w:space="0" w:color="auto"/>
              <w:right w:val="nil"/>
            </w:tcBorders>
            <w:shd w:val="clear" w:color="000000" w:fill="FFFFFF"/>
            <w:noWrap/>
            <w:hideMark/>
          </w:tcPr>
          <w:p w14:paraId="3F9FCAE2"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double" w:sz="6" w:space="0" w:color="auto"/>
              <w:right w:val="nil"/>
            </w:tcBorders>
            <w:shd w:val="clear" w:color="000000" w:fill="FFFFFF"/>
            <w:noWrap/>
            <w:vAlign w:val="center"/>
            <w:hideMark/>
          </w:tcPr>
          <w:p w14:paraId="703703C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double" w:sz="6" w:space="0" w:color="auto"/>
              <w:right w:val="nil"/>
            </w:tcBorders>
            <w:shd w:val="clear" w:color="000000" w:fill="FFFFFF"/>
            <w:noWrap/>
            <w:vAlign w:val="center"/>
            <w:hideMark/>
          </w:tcPr>
          <w:p w14:paraId="09982A8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0.049</w:t>
            </w:r>
          </w:p>
        </w:tc>
        <w:tc>
          <w:tcPr>
            <w:tcW w:w="838" w:type="pct"/>
            <w:tcBorders>
              <w:top w:val="nil"/>
              <w:left w:val="nil"/>
              <w:bottom w:val="double" w:sz="6" w:space="0" w:color="auto"/>
              <w:right w:val="nil"/>
            </w:tcBorders>
            <w:shd w:val="clear" w:color="000000" w:fill="FFFFFF"/>
            <w:noWrap/>
            <w:hideMark/>
          </w:tcPr>
          <w:p w14:paraId="2DA3689D"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5A95394A" w14:textId="77777777" w:rsidTr="009704E4">
        <w:trPr>
          <w:trHeight w:val="365"/>
        </w:trPr>
        <w:tc>
          <w:tcPr>
            <w:tcW w:w="5000" w:type="pct"/>
            <w:gridSpan w:val="9"/>
            <w:tcBorders>
              <w:top w:val="double" w:sz="6" w:space="0" w:color="auto"/>
              <w:left w:val="nil"/>
              <w:bottom w:val="single" w:sz="8" w:space="0" w:color="auto"/>
              <w:right w:val="nil"/>
            </w:tcBorders>
            <w:shd w:val="clear" w:color="000000" w:fill="FFFFFF"/>
            <w:vAlign w:val="bottom"/>
            <w:hideMark/>
          </w:tcPr>
          <w:p w14:paraId="69F44202" w14:textId="77777777" w:rsidR="00F770FF" w:rsidRPr="000F4D18" w:rsidRDefault="00F770FF" w:rsidP="009704E4">
            <w:pPr>
              <w:spacing w:after="0" w:line="240" w:lineRule="auto"/>
              <w:rPr>
                <w:rFonts w:ascii="Century Schoolbook" w:eastAsia="Times New Roman" w:hAnsi="Century Schoolbook" w:cs="Times New Roman"/>
                <w:b/>
                <w:bCs/>
                <w:color w:val="000000"/>
                <w:sz w:val="18"/>
                <w:szCs w:val="20"/>
                <w:lang w:eastAsia="en-CA"/>
              </w:rPr>
            </w:pPr>
            <w:r w:rsidRPr="000F4D18">
              <w:rPr>
                <w:rFonts w:ascii="Century Schoolbook" w:eastAsia="Times New Roman" w:hAnsi="Century Schoolbook" w:cs="Times New Roman"/>
                <w:b/>
                <w:bCs/>
                <w:color w:val="000000"/>
                <w:sz w:val="18"/>
                <w:szCs w:val="20"/>
                <w:lang w:eastAsia="en-CA"/>
              </w:rPr>
              <w:t>Panel B.</w:t>
            </w:r>
            <w:r w:rsidRPr="000F4D18">
              <w:rPr>
                <w:rFonts w:ascii="Century Schoolbook" w:eastAsia="Times New Roman" w:hAnsi="Century Schoolbook" w:cs="Times New Roman"/>
                <w:color w:val="000000"/>
                <w:sz w:val="18"/>
                <w:szCs w:val="20"/>
                <w:lang w:eastAsia="en-CA"/>
              </w:rPr>
              <w:t xml:space="preserve"> Downgrades: Buy-and-hold abnormal returns (BHAR) from day −1 to +1</w:t>
            </w:r>
          </w:p>
        </w:tc>
      </w:tr>
      <w:tr w:rsidR="00F770FF" w:rsidRPr="00F27F5B" w14:paraId="04B5D660" w14:textId="77777777" w:rsidTr="00185F17">
        <w:trPr>
          <w:trHeight w:val="232"/>
        </w:trPr>
        <w:tc>
          <w:tcPr>
            <w:tcW w:w="868" w:type="pct"/>
            <w:tcBorders>
              <w:top w:val="nil"/>
              <w:left w:val="nil"/>
              <w:bottom w:val="nil"/>
              <w:right w:val="nil"/>
            </w:tcBorders>
            <w:shd w:val="clear" w:color="000000" w:fill="FFFFFF"/>
            <w:vAlign w:val="center"/>
            <w:hideMark/>
          </w:tcPr>
          <w:p w14:paraId="29C3C1AC"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2200" w:type="pct"/>
            <w:gridSpan w:val="4"/>
            <w:tcBorders>
              <w:top w:val="single" w:sz="8" w:space="0" w:color="auto"/>
              <w:left w:val="nil"/>
              <w:bottom w:val="single" w:sz="8" w:space="0" w:color="auto"/>
              <w:right w:val="nil"/>
            </w:tcBorders>
            <w:shd w:val="clear" w:color="000000" w:fill="FFFFFF"/>
            <w:vAlign w:val="center"/>
            <w:hideMark/>
          </w:tcPr>
          <w:p w14:paraId="55E9ABA4"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Sorted by General experience</w:t>
            </w:r>
          </w:p>
        </w:tc>
        <w:tc>
          <w:tcPr>
            <w:tcW w:w="119" w:type="pct"/>
            <w:tcBorders>
              <w:top w:val="nil"/>
              <w:left w:val="nil"/>
              <w:bottom w:val="nil"/>
              <w:right w:val="nil"/>
            </w:tcBorders>
            <w:shd w:val="clear" w:color="000000" w:fill="FFFFFF"/>
            <w:noWrap/>
            <w:vAlign w:val="center"/>
            <w:hideMark/>
          </w:tcPr>
          <w:p w14:paraId="006A8959"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812" w:type="pct"/>
            <w:gridSpan w:val="3"/>
            <w:tcBorders>
              <w:top w:val="single" w:sz="8" w:space="0" w:color="auto"/>
              <w:left w:val="nil"/>
              <w:bottom w:val="single" w:sz="8" w:space="0" w:color="auto"/>
              <w:right w:val="nil"/>
            </w:tcBorders>
            <w:shd w:val="clear" w:color="000000" w:fill="FFFFFF"/>
            <w:vAlign w:val="center"/>
            <w:hideMark/>
          </w:tcPr>
          <w:p w14:paraId="1223DBD9"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Sorted by All</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i/>
                <w:iCs/>
                <w:color w:val="000000"/>
                <w:sz w:val="18"/>
                <w:szCs w:val="20"/>
                <w:lang w:eastAsia="en-CA"/>
              </w:rPr>
              <w:t>star status</w:t>
            </w:r>
          </w:p>
        </w:tc>
      </w:tr>
      <w:tr w:rsidR="00F770FF" w:rsidRPr="00F27F5B" w14:paraId="495E2DFD" w14:textId="77777777" w:rsidTr="00185F17">
        <w:trPr>
          <w:trHeight w:val="188"/>
        </w:trPr>
        <w:tc>
          <w:tcPr>
            <w:tcW w:w="868" w:type="pct"/>
            <w:tcBorders>
              <w:top w:val="nil"/>
              <w:left w:val="nil"/>
              <w:bottom w:val="nil"/>
              <w:right w:val="nil"/>
            </w:tcBorders>
            <w:shd w:val="clear" w:color="000000" w:fill="FFFFFF"/>
            <w:vAlign w:val="center"/>
            <w:hideMark/>
          </w:tcPr>
          <w:p w14:paraId="4EEDC4E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8" w:type="pct"/>
            <w:vMerge w:val="restart"/>
            <w:tcBorders>
              <w:top w:val="nil"/>
              <w:left w:val="nil"/>
              <w:bottom w:val="single" w:sz="8" w:space="0" w:color="000000"/>
              <w:right w:val="nil"/>
            </w:tcBorders>
            <w:shd w:val="clear" w:color="000000" w:fill="FFFFFF"/>
            <w:hideMark/>
          </w:tcPr>
          <w:p w14:paraId="12A6BD13" w14:textId="1CA6C82A" w:rsidR="00F770FF" w:rsidRPr="000F4D18" w:rsidRDefault="001D5D20" w:rsidP="009704E4">
            <w:pPr>
              <w:spacing w:after="0" w:line="240" w:lineRule="auto"/>
              <w:jc w:val="center"/>
              <w:rPr>
                <w:rFonts w:ascii="Century Schoolbook" w:eastAsia="Times New Roman" w:hAnsi="Century Schoolbook" w:cs="Times New Roman"/>
                <w:color w:val="000000"/>
                <w:sz w:val="18"/>
                <w:szCs w:val="20"/>
                <w:lang w:eastAsia="en-CA"/>
              </w:rPr>
            </w:pPr>
            <w:r>
              <w:rPr>
                <w:rFonts w:ascii="Century Schoolbook" w:eastAsia="Times New Roman" w:hAnsi="Century Schoolbook" w:cs="Times New Roman"/>
                <w:color w:val="000000"/>
                <w:sz w:val="18"/>
                <w:szCs w:val="20"/>
                <w:lang w:eastAsia="en-CA"/>
              </w:rPr>
              <w:t>Low</w:t>
            </w:r>
          </w:p>
        </w:tc>
        <w:tc>
          <w:tcPr>
            <w:tcW w:w="518" w:type="pct"/>
            <w:vMerge w:val="restart"/>
            <w:tcBorders>
              <w:top w:val="nil"/>
              <w:left w:val="nil"/>
              <w:bottom w:val="single" w:sz="8" w:space="0" w:color="000000"/>
              <w:right w:val="nil"/>
            </w:tcBorders>
            <w:shd w:val="clear" w:color="000000" w:fill="FFFFFF"/>
            <w:hideMark/>
          </w:tcPr>
          <w:p w14:paraId="21B04F1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Mid</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career</w:t>
            </w:r>
          </w:p>
        </w:tc>
        <w:tc>
          <w:tcPr>
            <w:tcW w:w="487" w:type="pct"/>
            <w:vMerge w:val="restart"/>
            <w:tcBorders>
              <w:top w:val="nil"/>
              <w:left w:val="nil"/>
              <w:bottom w:val="single" w:sz="8" w:space="0" w:color="000000"/>
              <w:right w:val="nil"/>
            </w:tcBorders>
            <w:shd w:val="clear" w:color="000000" w:fill="FFFFFF"/>
            <w:hideMark/>
          </w:tcPr>
          <w:p w14:paraId="03D68F8E" w14:textId="7F33013E" w:rsidR="00F770FF" w:rsidRPr="000F4D18" w:rsidRDefault="001D5D20" w:rsidP="009704E4">
            <w:pPr>
              <w:spacing w:after="0" w:line="240" w:lineRule="auto"/>
              <w:jc w:val="center"/>
              <w:rPr>
                <w:rFonts w:ascii="Century Schoolbook" w:eastAsia="Times New Roman" w:hAnsi="Century Schoolbook" w:cs="Times New Roman"/>
                <w:color w:val="000000"/>
                <w:sz w:val="18"/>
                <w:szCs w:val="20"/>
                <w:lang w:eastAsia="en-CA"/>
              </w:rPr>
            </w:pPr>
            <w:r>
              <w:rPr>
                <w:rFonts w:ascii="Century Schoolbook" w:eastAsia="Times New Roman" w:hAnsi="Century Schoolbook" w:cs="Times New Roman"/>
                <w:color w:val="000000"/>
                <w:sz w:val="18"/>
                <w:szCs w:val="20"/>
                <w:lang w:eastAsia="en-CA"/>
              </w:rPr>
              <w:t>High</w:t>
            </w:r>
          </w:p>
        </w:tc>
        <w:tc>
          <w:tcPr>
            <w:tcW w:w="707" w:type="pct"/>
            <w:tcBorders>
              <w:top w:val="nil"/>
              <w:left w:val="nil"/>
              <w:bottom w:val="nil"/>
              <w:right w:val="nil"/>
            </w:tcBorders>
            <w:shd w:val="clear" w:color="000000" w:fill="FFFFFF"/>
            <w:hideMark/>
          </w:tcPr>
          <w:p w14:paraId="594DF388" w14:textId="5C4198E3" w:rsidR="00F770FF" w:rsidRPr="000F4D18" w:rsidRDefault="001D5D20" w:rsidP="001D5D20">
            <w:pPr>
              <w:spacing w:after="0" w:line="240" w:lineRule="auto"/>
              <w:jc w:val="center"/>
              <w:rPr>
                <w:rFonts w:ascii="Century Schoolbook" w:eastAsia="Times New Roman" w:hAnsi="Century Schoolbook" w:cs="Times New Roman"/>
                <w:color w:val="000000"/>
                <w:sz w:val="18"/>
                <w:szCs w:val="20"/>
                <w:lang w:eastAsia="en-CA"/>
              </w:rPr>
            </w:pPr>
            <w:r>
              <w:rPr>
                <w:rFonts w:ascii="Century Schoolbook" w:eastAsia="Times New Roman" w:hAnsi="Century Schoolbook" w:cs="Times New Roman"/>
                <w:color w:val="000000"/>
                <w:sz w:val="18"/>
                <w:szCs w:val="20"/>
                <w:lang w:eastAsia="en-CA"/>
              </w:rPr>
              <w:t>High</w:t>
            </w:r>
            <w:r w:rsidR="00F770FF" w:rsidRPr="000F4D18">
              <w:rPr>
                <w:rFonts w:ascii="Century Schoolbook" w:eastAsia="Times New Roman" w:hAnsi="Century Schoolbook" w:cs="Times New Roman"/>
                <w:color w:val="000000"/>
                <w:sz w:val="18"/>
                <w:szCs w:val="20"/>
                <w:lang w:eastAsia="en-CA"/>
              </w:rPr>
              <w:t xml:space="preserve">– </w:t>
            </w:r>
            <w:r>
              <w:rPr>
                <w:rFonts w:ascii="Century Schoolbook" w:eastAsia="Times New Roman" w:hAnsi="Century Schoolbook" w:cs="Times New Roman"/>
                <w:color w:val="000000"/>
                <w:sz w:val="18"/>
                <w:szCs w:val="20"/>
                <w:lang w:eastAsia="en-CA"/>
              </w:rPr>
              <w:t>Low</w:t>
            </w:r>
            <w:r w:rsidR="00F770FF" w:rsidRPr="000F4D18">
              <w:rPr>
                <w:rFonts w:ascii="Century Schoolbook" w:eastAsia="Times New Roman" w:hAnsi="Century Schoolbook" w:cs="Times New Roman"/>
                <w:color w:val="000000"/>
                <w:sz w:val="18"/>
                <w:szCs w:val="20"/>
                <w:lang w:eastAsia="en-CA"/>
              </w:rPr>
              <w:t xml:space="preserve"> </w:t>
            </w:r>
          </w:p>
        </w:tc>
        <w:tc>
          <w:tcPr>
            <w:tcW w:w="119" w:type="pct"/>
            <w:tcBorders>
              <w:top w:val="nil"/>
              <w:left w:val="nil"/>
              <w:bottom w:val="nil"/>
              <w:right w:val="nil"/>
            </w:tcBorders>
            <w:shd w:val="clear" w:color="000000" w:fill="FFFFFF"/>
            <w:noWrap/>
            <w:hideMark/>
          </w:tcPr>
          <w:p w14:paraId="1E84840C"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vMerge w:val="restart"/>
            <w:tcBorders>
              <w:top w:val="nil"/>
              <w:left w:val="nil"/>
              <w:bottom w:val="single" w:sz="8" w:space="0" w:color="000000"/>
              <w:right w:val="nil"/>
            </w:tcBorders>
            <w:shd w:val="clear" w:color="000000" w:fill="FFFFFF"/>
            <w:hideMark/>
          </w:tcPr>
          <w:p w14:paraId="5CCA797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Non</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star</w:t>
            </w:r>
          </w:p>
        </w:tc>
        <w:tc>
          <w:tcPr>
            <w:tcW w:w="487" w:type="pct"/>
            <w:vMerge w:val="restart"/>
            <w:tcBorders>
              <w:top w:val="nil"/>
              <w:left w:val="nil"/>
              <w:bottom w:val="single" w:sz="8" w:space="0" w:color="000000"/>
              <w:right w:val="nil"/>
            </w:tcBorders>
            <w:shd w:val="clear" w:color="000000" w:fill="FFFFFF"/>
            <w:hideMark/>
          </w:tcPr>
          <w:p w14:paraId="5EA240B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All</w:t>
            </w:r>
            <w:r>
              <w:rPr>
                <w:rFonts w:ascii="Century Schoolbook" w:eastAsia="Times New Roman" w:hAnsi="Century Schoolbook" w:cs="Times New Roman"/>
                <w:i/>
                <w:iCs/>
                <w:color w:val="000000"/>
                <w:sz w:val="18"/>
                <w:szCs w:val="20"/>
                <w:lang w:eastAsia="en-CA"/>
              </w:rPr>
              <w:t>-</w:t>
            </w:r>
            <w:r w:rsidRPr="000F4D18">
              <w:rPr>
                <w:rFonts w:ascii="Century Schoolbook" w:eastAsia="Times New Roman" w:hAnsi="Century Schoolbook" w:cs="Times New Roman"/>
                <w:color w:val="000000"/>
                <w:sz w:val="18"/>
                <w:szCs w:val="20"/>
                <w:lang w:eastAsia="en-CA"/>
              </w:rPr>
              <w:t>star</w:t>
            </w:r>
          </w:p>
        </w:tc>
        <w:tc>
          <w:tcPr>
            <w:tcW w:w="838" w:type="pct"/>
            <w:tcBorders>
              <w:top w:val="nil"/>
              <w:left w:val="nil"/>
              <w:bottom w:val="nil"/>
              <w:right w:val="nil"/>
            </w:tcBorders>
            <w:shd w:val="clear" w:color="000000" w:fill="FFFFFF"/>
            <w:hideMark/>
          </w:tcPr>
          <w:p w14:paraId="119983B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All</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 xml:space="preserve">star </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 xml:space="preserve"> Non</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star</w:t>
            </w:r>
          </w:p>
        </w:tc>
      </w:tr>
      <w:tr w:rsidR="00F770FF" w:rsidRPr="00F27F5B" w14:paraId="04F6386A" w14:textId="77777777" w:rsidTr="00185F17">
        <w:trPr>
          <w:trHeight w:val="232"/>
        </w:trPr>
        <w:tc>
          <w:tcPr>
            <w:tcW w:w="868" w:type="pct"/>
            <w:tcBorders>
              <w:top w:val="nil"/>
              <w:left w:val="nil"/>
              <w:bottom w:val="single" w:sz="8" w:space="0" w:color="auto"/>
              <w:right w:val="nil"/>
            </w:tcBorders>
            <w:shd w:val="clear" w:color="000000" w:fill="FFFFFF"/>
            <w:vAlign w:val="center"/>
            <w:hideMark/>
          </w:tcPr>
          <w:p w14:paraId="3D17131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8" w:type="pct"/>
            <w:vMerge/>
            <w:tcBorders>
              <w:top w:val="nil"/>
              <w:left w:val="nil"/>
              <w:bottom w:val="single" w:sz="8" w:space="0" w:color="000000"/>
              <w:right w:val="nil"/>
            </w:tcBorders>
            <w:vAlign w:val="center"/>
            <w:hideMark/>
          </w:tcPr>
          <w:p w14:paraId="3943F41B"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518" w:type="pct"/>
            <w:vMerge/>
            <w:tcBorders>
              <w:top w:val="nil"/>
              <w:left w:val="nil"/>
              <w:bottom w:val="single" w:sz="8" w:space="0" w:color="000000"/>
              <w:right w:val="nil"/>
            </w:tcBorders>
            <w:vAlign w:val="center"/>
            <w:hideMark/>
          </w:tcPr>
          <w:p w14:paraId="7EF883BA"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487" w:type="pct"/>
            <w:vMerge/>
            <w:tcBorders>
              <w:top w:val="nil"/>
              <w:left w:val="nil"/>
              <w:bottom w:val="single" w:sz="8" w:space="0" w:color="000000"/>
              <w:right w:val="nil"/>
            </w:tcBorders>
            <w:vAlign w:val="center"/>
            <w:hideMark/>
          </w:tcPr>
          <w:p w14:paraId="1EE26132"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707" w:type="pct"/>
            <w:tcBorders>
              <w:top w:val="nil"/>
              <w:left w:val="nil"/>
              <w:bottom w:val="single" w:sz="8" w:space="0" w:color="auto"/>
              <w:right w:val="nil"/>
            </w:tcBorders>
            <w:shd w:val="clear" w:color="000000" w:fill="FFFFFF"/>
            <w:hideMark/>
          </w:tcPr>
          <w:p w14:paraId="6DB780EB"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p–</w:t>
            </w:r>
            <w:r w:rsidRPr="000F4D18">
              <w:rPr>
                <w:rFonts w:ascii="Century Schoolbook" w:eastAsia="Times New Roman" w:hAnsi="Century Schoolbook" w:cs="Times New Roman"/>
                <w:color w:val="000000"/>
                <w:sz w:val="18"/>
                <w:szCs w:val="20"/>
                <w:lang w:eastAsia="en-CA"/>
              </w:rPr>
              <w:t>value</w:t>
            </w:r>
          </w:p>
        </w:tc>
        <w:tc>
          <w:tcPr>
            <w:tcW w:w="119" w:type="pct"/>
            <w:tcBorders>
              <w:top w:val="nil"/>
              <w:left w:val="nil"/>
              <w:bottom w:val="nil"/>
              <w:right w:val="nil"/>
            </w:tcBorders>
            <w:shd w:val="clear" w:color="000000" w:fill="FFFFFF"/>
            <w:noWrap/>
            <w:hideMark/>
          </w:tcPr>
          <w:p w14:paraId="33D9BBB2"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vMerge/>
            <w:tcBorders>
              <w:top w:val="nil"/>
              <w:left w:val="nil"/>
              <w:bottom w:val="single" w:sz="8" w:space="0" w:color="000000"/>
              <w:right w:val="nil"/>
            </w:tcBorders>
            <w:vAlign w:val="center"/>
            <w:hideMark/>
          </w:tcPr>
          <w:p w14:paraId="43026D1C"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487" w:type="pct"/>
            <w:vMerge/>
            <w:tcBorders>
              <w:top w:val="nil"/>
              <w:left w:val="nil"/>
              <w:bottom w:val="single" w:sz="8" w:space="0" w:color="000000"/>
              <w:right w:val="nil"/>
            </w:tcBorders>
            <w:vAlign w:val="center"/>
            <w:hideMark/>
          </w:tcPr>
          <w:p w14:paraId="4F20B605"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p>
        </w:tc>
        <w:tc>
          <w:tcPr>
            <w:tcW w:w="838" w:type="pct"/>
            <w:tcBorders>
              <w:top w:val="nil"/>
              <w:left w:val="nil"/>
              <w:bottom w:val="single" w:sz="8" w:space="0" w:color="auto"/>
              <w:right w:val="nil"/>
            </w:tcBorders>
            <w:shd w:val="clear" w:color="000000" w:fill="FFFFFF"/>
            <w:hideMark/>
          </w:tcPr>
          <w:p w14:paraId="34F3B868"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p–</w:t>
            </w:r>
            <w:r w:rsidRPr="000F4D18">
              <w:rPr>
                <w:rFonts w:ascii="Century Schoolbook" w:eastAsia="Times New Roman" w:hAnsi="Century Schoolbook" w:cs="Times New Roman"/>
                <w:color w:val="000000"/>
                <w:sz w:val="18"/>
                <w:szCs w:val="20"/>
                <w:lang w:eastAsia="en-CA"/>
              </w:rPr>
              <w:t>value</w:t>
            </w:r>
          </w:p>
        </w:tc>
      </w:tr>
      <w:tr w:rsidR="00F770FF" w:rsidRPr="00F27F5B" w14:paraId="5B725DA6" w14:textId="77777777" w:rsidTr="00185F17">
        <w:trPr>
          <w:trHeight w:val="221"/>
        </w:trPr>
        <w:tc>
          <w:tcPr>
            <w:tcW w:w="868" w:type="pct"/>
            <w:tcBorders>
              <w:top w:val="nil"/>
              <w:left w:val="nil"/>
              <w:bottom w:val="nil"/>
              <w:right w:val="nil"/>
            </w:tcBorders>
            <w:shd w:val="clear" w:color="000000" w:fill="FFFFFF"/>
            <w:vAlign w:val="center"/>
            <w:hideMark/>
          </w:tcPr>
          <w:p w14:paraId="74DEEAAF"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All analysts</w:t>
            </w:r>
          </w:p>
        </w:tc>
        <w:tc>
          <w:tcPr>
            <w:tcW w:w="488" w:type="pct"/>
            <w:tcBorders>
              <w:top w:val="nil"/>
              <w:left w:val="nil"/>
              <w:bottom w:val="nil"/>
              <w:right w:val="nil"/>
            </w:tcBorders>
            <w:shd w:val="clear" w:color="000000" w:fill="FFFFFF"/>
            <w:vAlign w:val="center"/>
            <w:hideMark/>
          </w:tcPr>
          <w:p w14:paraId="26DE33E9"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−3.28%***</w:t>
            </w:r>
          </w:p>
        </w:tc>
        <w:tc>
          <w:tcPr>
            <w:tcW w:w="518" w:type="pct"/>
            <w:tcBorders>
              <w:top w:val="nil"/>
              <w:left w:val="nil"/>
              <w:bottom w:val="nil"/>
              <w:right w:val="nil"/>
            </w:tcBorders>
            <w:shd w:val="clear" w:color="000000" w:fill="FFFFFF"/>
            <w:vAlign w:val="center"/>
            <w:hideMark/>
          </w:tcPr>
          <w:p w14:paraId="357A40B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−3.54%***</w:t>
            </w:r>
          </w:p>
        </w:tc>
        <w:tc>
          <w:tcPr>
            <w:tcW w:w="487" w:type="pct"/>
            <w:tcBorders>
              <w:top w:val="nil"/>
              <w:left w:val="nil"/>
              <w:bottom w:val="nil"/>
              <w:right w:val="nil"/>
            </w:tcBorders>
            <w:shd w:val="clear" w:color="000000" w:fill="FFFFFF"/>
            <w:vAlign w:val="center"/>
            <w:hideMark/>
          </w:tcPr>
          <w:p w14:paraId="2E10B85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−3.16%***</w:t>
            </w:r>
          </w:p>
        </w:tc>
        <w:tc>
          <w:tcPr>
            <w:tcW w:w="707" w:type="pct"/>
            <w:tcBorders>
              <w:top w:val="nil"/>
              <w:left w:val="nil"/>
              <w:bottom w:val="nil"/>
              <w:right w:val="nil"/>
            </w:tcBorders>
            <w:shd w:val="clear" w:color="000000" w:fill="FFFFFF"/>
            <w:vAlign w:val="center"/>
            <w:hideMark/>
          </w:tcPr>
          <w:p w14:paraId="527CCCFA"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0.12%</w:t>
            </w:r>
          </w:p>
        </w:tc>
        <w:tc>
          <w:tcPr>
            <w:tcW w:w="119" w:type="pct"/>
            <w:tcBorders>
              <w:top w:val="nil"/>
              <w:left w:val="nil"/>
              <w:bottom w:val="nil"/>
              <w:right w:val="nil"/>
            </w:tcBorders>
            <w:shd w:val="clear" w:color="000000" w:fill="FFFFFF"/>
            <w:noWrap/>
            <w:vAlign w:val="center"/>
            <w:hideMark/>
          </w:tcPr>
          <w:p w14:paraId="18D077D4"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1091ADC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−3.28%***</w:t>
            </w:r>
          </w:p>
        </w:tc>
        <w:tc>
          <w:tcPr>
            <w:tcW w:w="487" w:type="pct"/>
            <w:tcBorders>
              <w:top w:val="nil"/>
              <w:left w:val="nil"/>
              <w:bottom w:val="nil"/>
              <w:right w:val="nil"/>
            </w:tcBorders>
            <w:shd w:val="clear" w:color="000000" w:fill="FFFFFF"/>
            <w:noWrap/>
            <w:vAlign w:val="center"/>
            <w:hideMark/>
          </w:tcPr>
          <w:p w14:paraId="3FC5444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−3.55%***</w:t>
            </w:r>
          </w:p>
        </w:tc>
        <w:tc>
          <w:tcPr>
            <w:tcW w:w="838" w:type="pct"/>
            <w:tcBorders>
              <w:top w:val="nil"/>
              <w:left w:val="nil"/>
              <w:bottom w:val="nil"/>
              <w:right w:val="nil"/>
            </w:tcBorders>
            <w:shd w:val="clear" w:color="000000" w:fill="FFFFFF"/>
            <w:noWrap/>
            <w:vAlign w:val="center"/>
            <w:hideMark/>
          </w:tcPr>
          <w:p w14:paraId="0DD9111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−0.27%**</w:t>
            </w:r>
          </w:p>
        </w:tc>
      </w:tr>
      <w:tr w:rsidR="00F770FF" w:rsidRPr="00F27F5B" w14:paraId="2A778A12" w14:textId="77777777" w:rsidTr="00185F17">
        <w:trPr>
          <w:trHeight w:val="221"/>
        </w:trPr>
        <w:tc>
          <w:tcPr>
            <w:tcW w:w="868" w:type="pct"/>
            <w:tcBorders>
              <w:top w:val="nil"/>
              <w:left w:val="nil"/>
              <w:bottom w:val="nil"/>
              <w:right w:val="nil"/>
            </w:tcBorders>
            <w:shd w:val="clear" w:color="000000" w:fill="FFFFFF"/>
            <w:vAlign w:val="center"/>
            <w:hideMark/>
          </w:tcPr>
          <w:p w14:paraId="4D7F9A85"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8" w:type="pct"/>
            <w:tcBorders>
              <w:top w:val="nil"/>
              <w:left w:val="nil"/>
              <w:bottom w:val="nil"/>
              <w:right w:val="nil"/>
            </w:tcBorders>
            <w:shd w:val="clear" w:color="000000" w:fill="FFFFFF"/>
            <w:vAlign w:val="center"/>
            <w:hideMark/>
          </w:tcPr>
          <w:p w14:paraId="3357CBC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518" w:type="pct"/>
            <w:tcBorders>
              <w:top w:val="nil"/>
              <w:left w:val="nil"/>
              <w:bottom w:val="nil"/>
              <w:right w:val="nil"/>
            </w:tcBorders>
            <w:shd w:val="clear" w:color="000000" w:fill="FFFFFF"/>
            <w:vAlign w:val="center"/>
            <w:hideMark/>
          </w:tcPr>
          <w:p w14:paraId="4A30E3D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nil"/>
              <w:right w:val="nil"/>
            </w:tcBorders>
            <w:shd w:val="clear" w:color="000000" w:fill="FFFFFF"/>
            <w:vAlign w:val="center"/>
            <w:hideMark/>
          </w:tcPr>
          <w:p w14:paraId="50A0729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707" w:type="pct"/>
            <w:tcBorders>
              <w:top w:val="nil"/>
              <w:left w:val="nil"/>
              <w:bottom w:val="nil"/>
              <w:right w:val="nil"/>
            </w:tcBorders>
            <w:shd w:val="clear" w:color="000000" w:fill="FFFFFF"/>
            <w:noWrap/>
            <w:vAlign w:val="center"/>
            <w:hideMark/>
          </w:tcPr>
          <w:p w14:paraId="3658BE0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0.219</w:t>
            </w:r>
          </w:p>
        </w:tc>
        <w:tc>
          <w:tcPr>
            <w:tcW w:w="119" w:type="pct"/>
            <w:tcBorders>
              <w:top w:val="nil"/>
              <w:left w:val="nil"/>
              <w:bottom w:val="nil"/>
              <w:right w:val="nil"/>
            </w:tcBorders>
            <w:shd w:val="clear" w:color="000000" w:fill="FFFFFF"/>
            <w:noWrap/>
            <w:vAlign w:val="center"/>
            <w:hideMark/>
          </w:tcPr>
          <w:p w14:paraId="057F1512"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7758170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(0.000)</w:t>
            </w:r>
          </w:p>
        </w:tc>
        <w:tc>
          <w:tcPr>
            <w:tcW w:w="487" w:type="pct"/>
            <w:tcBorders>
              <w:top w:val="nil"/>
              <w:left w:val="nil"/>
              <w:bottom w:val="nil"/>
              <w:right w:val="nil"/>
            </w:tcBorders>
            <w:shd w:val="clear" w:color="000000" w:fill="FFFFFF"/>
            <w:noWrap/>
            <w:vAlign w:val="center"/>
            <w:hideMark/>
          </w:tcPr>
          <w:p w14:paraId="09791A7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838" w:type="pct"/>
            <w:tcBorders>
              <w:top w:val="nil"/>
              <w:left w:val="nil"/>
              <w:bottom w:val="nil"/>
              <w:right w:val="nil"/>
            </w:tcBorders>
            <w:shd w:val="clear" w:color="000000" w:fill="FFFFFF"/>
            <w:noWrap/>
            <w:vAlign w:val="center"/>
            <w:hideMark/>
          </w:tcPr>
          <w:p w14:paraId="05F8879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0.012</w:t>
            </w:r>
          </w:p>
        </w:tc>
      </w:tr>
      <w:tr w:rsidR="00F770FF" w:rsidRPr="00F27F5B" w14:paraId="05D94731" w14:textId="77777777" w:rsidTr="00185F17">
        <w:trPr>
          <w:trHeight w:val="232"/>
        </w:trPr>
        <w:tc>
          <w:tcPr>
            <w:tcW w:w="868" w:type="pct"/>
            <w:tcBorders>
              <w:top w:val="nil"/>
              <w:left w:val="nil"/>
              <w:bottom w:val="single" w:sz="8" w:space="0" w:color="auto"/>
              <w:right w:val="nil"/>
            </w:tcBorders>
            <w:shd w:val="clear" w:color="000000" w:fill="FFFFFF"/>
            <w:vAlign w:val="center"/>
            <w:hideMark/>
          </w:tcPr>
          <w:p w14:paraId="46F8ADE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8" w:type="pct"/>
            <w:tcBorders>
              <w:top w:val="nil"/>
              <w:left w:val="nil"/>
              <w:bottom w:val="single" w:sz="8" w:space="0" w:color="auto"/>
              <w:right w:val="nil"/>
            </w:tcBorders>
            <w:shd w:val="clear" w:color="000000" w:fill="FFFFFF"/>
            <w:vAlign w:val="center"/>
            <w:hideMark/>
          </w:tcPr>
          <w:p w14:paraId="4D3551B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19</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477</w:t>
            </w:r>
          </w:p>
        </w:tc>
        <w:tc>
          <w:tcPr>
            <w:tcW w:w="518" w:type="pct"/>
            <w:tcBorders>
              <w:top w:val="nil"/>
              <w:left w:val="nil"/>
              <w:bottom w:val="single" w:sz="8" w:space="0" w:color="auto"/>
              <w:right w:val="nil"/>
            </w:tcBorders>
            <w:shd w:val="clear" w:color="000000" w:fill="FFFFFF"/>
            <w:vAlign w:val="center"/>
            <w:hideMark/>
          </w:tcPr>
          <w:p w14:paraId="118B98B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16</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355</w:t>
            </w:r>
          </w:p>
        </w:tc>
        <w:tc>
          <w:tcPr>
            <w:tcW w:w="487" w:type="pct"/>
            <w:tcBorders>
              <w:top w:val="nil"/>
              <w:left w:val="nil"/>
              <w:bottom w:val="single" w:sz="8" w:space="0" w:color="auto"/>
              <w:right w:val="nil"/>
            </w:tcBorders>
            <w:shd w:val="clear" w:color="000000" w:fill="FFFFFF"/>
            <w:vAlign w:val="center"/>
            <w:hideMark/>
          </w:tcPr>
          <w:p w14:paraId="336D8A4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17</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227</w:t>
            </w:r>
          </w:p>
        </w:tc>
        <w:tc>
          <w:tcPr>
            <w:tcW w:w="707" w:type="pct"/>
            <w:tcBorders>
              <w:top w:val="nil"/>
              <w:left w:val="nil"/>
              <w:bottom w:val="single" w:sz="8" w:space="0" w:color="auto"/>
              <w:right w:val="nil"/>
            </w:tcBorders>
            <w:shd w:val="clear" w:color="000000" w:fill="FFFFFF"/>
            <w:vAlign w:val="center"/>
            <w:hideMark/>
          </w:tcPr>
          <w:p w14:paraId="0C5EA6A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single" w:sz="8" w:space="0" w:color="auto"/>
              <w:right w:val="nil"/>
            </w:tcBorders>
            <w:shd w:val="clear" w:color="000000" w:fill="FFFFFF"/>
            <w:noWrap/>
            <w:vAlign w:val="center"/>
            <w:hideMark/>
          </w:tcPr>
          <w:p w14:paraId="262D0F5E"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single" w:sz="8" w:space="0" w:color="auto"/>
              <w:right w:val="nil"/>
            </w:tcBorders>
            <w:shd w:val="clear" w:color="000000" w:fill="FFFFFF"/>
            <w:noWrap/>
            <w:vAlign w:val="center"/>
            <w:hideMark/>
          </w:tcPr>
          <w:p w14:paraId="29B35ECB"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45</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516</w:t>
            </w:r>
          </w:p>
        </w:tc>
        <w:tc>
          <w:tcPr>
            <w:tcW w:w="487" w:type="pct"/>
            <w:tcBorders>
              <w:top w:val="nil"/>
              <w:left w:val="nil"/>
              <w:bottom w:val="single" w:sz="8" w:space="0" w:color="auto"/>
              <w:right w:val="nil"/>
            </w:tcBorders>
            <w:shd w:val="clear" w:color="000000" w:fill="FFFFFF"/>
            <w:noWrap/>
            <w:vAlign w:val="center"/>
            <w:hideMark/>
          </w:tcPr>
          <w:p w14:paraId="61485CD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7</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543</w:t>
            </w:r>
          </w:p>
        </w:tc>
        <w:tc>
          <w:tcPr>
            <w:tcW w:w="838" w:type="pct"/>
            <w:tcBorders>
              <w:top w:val="nil"/>
              <w:left w:val="nil"/>
              <w:bottom w:val="single" w:sz="8" w:space="0" w:color="auto"/>
              <w:right w:val="nil"/>
            </w:tcBorders>
            <w:shd w:val="clear" w:color="000000" w:fill="FFFFFF"/>
            <w:noWrap/>
            <w:vAlign w:val="center"/>
            <w:hideMark/>
          </w:tcPr>
          <w:p w14:paraId="301DE4A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7A29CED6" w14:textId="77777777" w:rsidTr="00185F17">
        <w:trPr>
          <w:trHeight w:val="210"/>
        </w:trPr>
        <w:tc>
          <w:tcPr>
            <w:tcW w:w="1356" w:type="pct"/>
            <w:gridSpan w:val="2"/>
            <w:tcBorders>
              <w:top w:val="nil"/>
              <w:left w:val="nil"/>
              <w:bottom w:val="nil"/>
              <w:right w:val="nil"/>
            </w:tcBorders>
            <w:shd w:val="clear" w:color="000000" w:fill="FFFFFF"/>
            <w:noWrap/>
            <w:vAlign w:val="center"/>
            <w:hideMark/>
          </w:tcPr>
          <w:p w14:paraId="7B8CCD95" w14:textId="77777777" w:rsidR="00F770FF" w:rsidRPr="000F4D18" w:rsidRDefault="00F770FF" w:rsidP="009704E4">
            <w:pPr>
              <w:spacing w:after="0" w:line="240" w:lineRule="auto"/>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Sorted by analysts' turnover</w:t>
            </w:r>
          </w:p>
        </w:tc>
        <w:tc>
          <w:tcPr>
            <w:tcW w:w="518" w:type="pct"/>
            <w:tcBorders>
              <w:top w:val="nil"/>
              <w:left w:val="nil"/>
              <w:bottom w:val="nil"/>
              <w:right w:val="nil"/>
            </w:tcBorders>
            <w:shd w:val="clear" w:color="000000" w:fill="FFFFFF"/>
            <w:vAlign w:val="center"/>
            <w:hideMark/>
          </w:tcPr>
          <w:p w14:paraId="63B7C27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vAlign w:val="center"/>
            <w:hideMark/>
          </w:tcPr>
          <w:p w14:paraId="1BAC3A7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707" w:type="pct"/>
            <w:tcBorders>
              <w:top w:val="nil"/>
              <w:left w:val="nil"/>
              <w:bottom w:val="nil"/>
              <w:right w:val="nil"/>
            </w:tcBorders>
            <w:shd w:val="clear" w:color="000000" w:fill="FFFFFF"/>
            <w:vAlign w:val="center"/>
            <w:hideMark/>
          </w:tcPr>
          <w:p w14:paraId="394B4B3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18910CA5"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0F9EC7F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596B420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838" w:type="pct"/>
            <w:tcBorders>
              <w:top w:val="nil"/>
              <w:left w:val="nil"/>
              <w:bottom w:val="nil"/>
              <w:right w:val="nil"/>
            </w:tcBorders>
            <w:shd w:val="clear" w:color="000000" w:fill="FFFFFF"/>
            <w:noWrap/>
            <w:vAlign w:val="center"/>
            <w:hideMark/>
          </w:tcPr>
          <w:p w14:paraId="02CFD4F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43EAA0B7" w14:textId="77777777" w:rsidTr="00185F17">
        <w:trPr>
          <w:trHeight w:val="210"/>
        </w:trPr>
        <w:tc>
          <w:tcPr>
            <w:tcW w:w="868" w:type="pct"/>
            <w:tcBorders>
              <w:top w:val="nil"/>
              <w:left w:val="nil"/>
              <w:bottom w:val="nil"/>
              <w:right w:val="nil"/>
            </w:tcBorders>
            <w:shd w:val="clear" w:color="000000" w:fill="FFFFFF"/>
            <w:vAlign w:val="center"/>
            <w:hideMark/>
          </w:tcPr>
          <w:p w14:paraId="30F0D00C"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 Slow-turnover</w:t>
            </w:r>
          </w:p>
        </w:tc>
        <w:tc>
          <w:tcPr>
            <w:tcW w:w="488" w:type="pct"/>
            <w:tcBorders>
              <w:top w:val="nil"/>
              <w:left w:val="nil"/>
              <w:bottom w:val="nil"/>
              <w:right w:val="nil"/>
            </w:tcBorders>
            <w:shd w:val="clear" w:color="000000" w:fill="FFFFFF"/>
            <w:vAlign w:val="center"/>
            <w:hideMark/>
          </w:tcPr>
          <w:p w14:paraId="216A20E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−4.18%***</w:t>
            </w:r>
          </w:p>
        </w:tc>
        <w:tc>
          <w:tcPr>
            <w:tcW w:w="518" w:type="pct"/>
            <w:tcBorders>
              <w:top w:val="nil"/>
              <w:left w:val="nil"/>
              <w:bottom w:val="nil"/>
              <w:right w:val="nil"/>
            </w:tcBorders>
            <w:shd w:val="clear" w:color="000000" w:fill="FFFFFF"/>
            <w:vAlign w:val="center"/>
            <w:hideMark/>
          </w:tcPr>
          <w:p w14:paraId="7F7DB8E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−3.87%***</w:t>
            </w:r>
          </w:p>
        </w:tc>
        <w:tc>
          <w:tcPr>
            <w:tcW w:w="487" w:type="pct"/>
            <w:tcBorders>
              <w:top w:val="nil"/>
              <w:left w:val="nil"/>
              <w:bottom w:val="nil"/>
              <w:right w:val="nil"/>
            </w:tcBorders>
            <w:shd w:val="clear" w:color="000000" w:fill="FFFFFF"/>
            <w:vAlign w:val="center"/>
            <w:hideMark/>
          </w:tcPr>
          <w:p w14:paraId="152C48F9"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−3.39%***</w:t>
            </w:r>
          </w:p>
        </w:tc>
        <w:tc>
          <w:tcPr>
            <w:tcW w:w="707" w:type="pct"/>
            <w:tcBorders>
              <w:top w:val="nil"/>
              <w:left w:val="nil"/>
              <w:bottom w:val="nil"/>
              <w:right w:val="nil"/>
            </w:tcBorders>
            <w:shd w:val="clear" w:color="000000" w:fill="FFFFFF"/>
            <w:vAlign w:val="center"/>
            <w:hideMark/>
          </w:tcPr>
          <w:p w14:paraId="5EF8291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0.79%**</w:t>
            </w:r>
          </w:p>
        </w:tc>
        <w:tc>
          <w:tcPr>
            <w:tcW w:w="119" w:type="pct"/>
            <w:tcBorders>
              <w:top w:val="nil"/>
              <w:left w:val="nil"/>
              <w:bottom w:val="nil"/>
              <w:right w:val="nil"/>
            </w:tcBorders>
            <w:shd w:val="clear" w:color="000000" w:fill="FFFFFF"/>
            <w:noWrap/>
            <w:vAlign w:val="center"/>
            <w:hideMark/>
          </w:tcPr>
          <w:p w14:paraId="714D0668"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32FBC6A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−3.61%***</w:t>
            </w:r>
          </w:p>
        </w:tc>
        <w:tc>
          <w:tcPr>
            <w:tcW w:w="487" w:type="pct"/>
            <w:tcBorders>
              <w:top w:val="nil"/>
              <w:left w:val="nil"/>
              <w:bottom w:val="nil"/>
              <w:right w:val="nil"/>
            </w:tcBorders>
            <w:shd w:val="clear" w:color="000000" w:fill="FFFFFF"/>
            <w:noWrap/>
            <w:vAlign w:val="center"/>
            <w:hideMark/>
          </w:tcPr>
          <w:p w14:paraId="0001E7A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−3.97%***</w:t>
            </w:r>
          </w:p>
        </w:tc>
        <w:tc>
          <w:tcPr>
            <w:tcW w:w="838" w:type="pct"/>
            <w:tcBorders>
              <w:top w:val="nil"/>
              <w:left w:val="nil"/>
              <w:bottom w:val="nil"/>
              <w:right w:val="nil"/>
            </w:tcBorders>
            <w:shd w:val="clear" w:color="000000" w:fill="FFFFFF"/>
            <w:noWrap/>
            <w:vAlign w:val="center"/>
            <w:hideMark/>
          </w:tcPr>
          <w:p w14:paraId="64203DAA"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−0.36%***</w:t>
            </w:r>
          </w:p>
        </w:tc>
      </w:tr>
      <w:tr w:rsidR="00F770FF" w:rsidRPr="00F27F5B" w14:paraId="6512D0DE" w14:textId="77777777" w:rsidTr="00185F17">
        <w:trPr>
          <w:trHeight w:val="210"/>
        </w:trPr>
        <w:tc>
          <w:tcPr>
            <w:tcW w:w="868" w:type="pct"/>
            <w:tcBorders>
              <w:top w:val="nil"/>
              <w:left w:val="nil"/>
              <w:bottom w:val="nil"/>
              <w:right w:val="nil"/>
            </w:tcBorders>
            <w:shd w:val="clear" w:color="000000" w:fill="FFFFFF"/>
            <w:vAlign w:val="center"/>
            <w:hideMark/>
          </w:tcPr>
          <w:p w14:paraId="1B245AC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Std. error</w:t>
            </w:r>
          </w:p>
        </w:tc>
        <w:tc>
          <w:tcPr>
            <w:tcW w:w="488" w:type="pct"/>
            <w:tcBorders>
              <w:top w:val="nil"/>
              <w:left w:val="nil"/>
              <w:bottom w:val="nil"/>
              <w:right w:val="nil"/>
            </w:tcBorders>
            <w:shd w:val="clear" w:color="000000" w:fill="FFFFFF"/>
            <w:vAlign w:val="center"/>
            <w:hideMark/>
          </w:tcPr>
          <w:p w14:paraId="5CBB7D6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(0.003)</w:t>
            </w:r>
          </w:p>
        </w:tc>
        <w:tc>
          <w:tcPr>
            <w:tcW w:w="518" w:type="pct"/>
            <w:tcBorders>
              <w:top w:val="nil"/>
              <w:left w:val="nil"/>
              <w:bottom w:val="nil"/>
              <w:right w:val="nil"/>
            </w:tcBorders>
            <w:shd w:val="clear" w:color="000000" w:fill="FFFFFF"/>
            <w:vAlign w:val="center"/>
            <w:hideMark/>
          </w:tcPr>
          <w:p w14:paraId="1FC5BA19"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(0.002)</w:t>
            </w:r>
          </w:p>
        </w:tc>
        <w:tc>
          <w:tcPr>
            <w:tcW w:w="487" w:type="pct"/>
            <w:tcBorders>
              <w:top w:val="nil"/>
              <w:left w:val="nil"/>
              <w:bottom w:val="nil"/>
              <w:right w:val="nil"/>
            </w:tcBorders>
            <w:shd w:val="clear" w:color="000000" w:fill="FFFFFF"/>
            <w:vAlign w:val="center"/>
            <w:hideMark/>
          </w:tcPr>
          <w:p w14:paraId="7F810BF9"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707" w:type="pct"/>
            <w:tcBorders>
              <w:top w:val="nil"/>
              <w:left w:val="nil"/>
              <w:bottom w:val="nil"/>
              <w:right w:val="nil"/>
            </w:tcBorders>
            <w:shd w:val="clear" w:color="000000" w:fill="FFFFFF"/>
            <w:noWrap/>
            <w:vAlign w:val="center"/>
            <w:hideMark/>
          </w:tcPr>
          <w:p w14:paraId="14B546D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0.026</w:t>
            </w:r>
          </w:p>
        </w:tc>
        <w:tc>
          <w:tcPr>
            <w:tcW w:w="119" w:type="pct"/>
            <w:tcBorders>
              <w:top w:val="nil"/>
              <w:left w:val="nil"/>
              <w:bottom w:val="nil"/>
              <w:right w:val="nil"/>
            </w:tcBorders>
            <w:shd w:val="clear" w:color="000000" w:fill="FFFFFF"/>
            <w:noWrap/>
            <w:vAlign w:val="center"/>
            <w:hideMark/>
          </w:tcPr>
          <w:p w14:paraId="096AA768"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5BA4EE5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nil"/>
              <w:right w:val="nil"/>
            </w:tcBorders>
            <w:shd w:val="clear" w:color="000000" w:fill="FFFFFF"/>
            <w:noWrap/>
            <w:vAlign w:val="center"/>
            <w:hideMark/>
          </w:tcPr>
          <w:p w14:paraId="615843D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(0.002)</w:t>
            </w:r>
          </w:p>
        </w:tc>
        <w:tc>
          <w:tcPr>
            <w:tcW w:w="838" w:type="pct"/>
            <w:tcBorders>
              <w:top w:val="nil"/>
              <w:left w:val="nil"/>
              <w:bottom w:val="nil"/>
              <w:right w:val="nil"/>
            </w:tcBorders>
            <w:shd w:val="clear" w:color="000000" w:fill="FFFFFF"/>
            <w:noWrap/>
            <w:vAlign w:val="center"/>
            <w:hideMark/>
          </w:tcPr>
          <w:p w14:paraId="1230615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0.005</w:t>
            </w:r>
          </w:p>
        </w:tc>
      </w:tr>
      <w:tr w:rsidR="00F770FF" w:rsidRPr="00F27F5B" w14:paraId="1BF49313" w14:textId="77777777" w:rsidTr="00185F17">
        <w:trPr>
          <w:trHeight w:val="210"/>
        </w:trPr>
        <w:tc>
          <w:tcPr>
            <w:tcW w:w="868" w:type="pct"/>
            <w:tcBorders>
              <w:top w:val="nil"/>
              <w:left w:val="nil"/>
              <w:bottom w:val="nil"/>
              <w:right w:val="nil"/>
            </w:tcBorders>
            <w:shd w:val="clear" w:color="000000" w:fill="FFFFFF"/>
            <w:vAlign w:val="center"/>
            <w:hideMark/>
          </w:tcPr>
          <w:p w14:paraId="1DE3D06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Nobs.</w:t>
            </w:r>
          </w:p>
        </w:tc>
        <w:tc>
          <w:tcPr>
            <w:tcW w:w="488" w:type="pct"/>
            <w:tcBorders>
              <w:top w:val="nil"/>
              <w:left w:val="nil"/>
              <w:bottom w:val="nil"/>
              <w:right w:val="nil"/>
            </w:tcBorders>
            <w:shd w:val="clear" w:color="000000" w:fill="FFFFFF"/>
            <w:vAlign w:val="center"/>
            <w:hideMark/>
          </w:tcPr>
          <w:p w14:paraId="47BFE87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853</w:t>
            </w:r>
          </w:p>
        </w:tc>
        <w:tc>
          <w:tcPr>
            <w:tcW w:w="518" w:type="pct"/>
            <w:tcBorders>
              <w:top w:val="nil"/>
              <w:left w:val="nil"/>
              <w:bottom w:val="nil"/>
              <w:right w:val="nil"/>
            </w:tcBorders>
            <w:shd w:val="clear" w:color="000000" w:fill="FFFFFF"/>
            <w:vAlign w:val="center"/>
            <w:hideMark/>
          </w:tcPr>
          <w:p w14:paraId="2847367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170</w:t>
            </w:r>
          </w:p>
        </w:tc>
        <w:tc>
          <w:tcPr>
            <w:tcW w:w="487" w:type="pct"/>
            <w:tcBorders>
              <w:top w:val="nil"/>
              <w:left w:val="nil"/>
              <w:bottom w:val="nil"/>
              <w:right w:val="nil"/>
            </w:tcBorders>
            <w:shd w:val="clear" w:color="000000" w:fill="FFFFFF"/>
            <w:vAlign w:val="center"/>
            <w:hideMark/>
          </w:tcPr>
          <w:p w14:paraId="4F0237E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4</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165</w:t>
            </w:r>
          </w:p>
        </w:tc>
        <w:tc>
          <w:tcPr>
            <w:tcW w:w="707" w:type="pct"/>
            <w:tcBorders>
              <w:top w:val="nil"/>
              <w:left w:val="nil"/>
              <w:bottom w:val="nil"/>
              <w:right w:val="nil"/>
            </w:tcBorders>
            <w:shd w:val="clear" w:color="000000" w:fill="FFFFFF"/>
            <w:vAlign w:val="center"/>
            <w:hideMark/>
          </w:tcPr>
          <w:p w14:paraId="232727E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3032AF59"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237DA86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6</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137</w:t>
            </w:r>
          </w:p>
        </w:tc>
        <w:tc>
          <w:tcPr>
            <w:tcW w:w="487" w:type="pct"/>
            <w:tcBorders>
              <w:top w:val="nil"/>
              <w:left w:val="nil"/>
              <w:bottom w:val="nil"/>
              <w:right w:val="nil"/>
            </w:tcBorders>
            <w:shd w:val="clear" w:color="000000" w:fill="FFFFFF"/>
            <w:noWrap/>
            <w:vAlign w:val="center"/>
            <w:hideMark/>
          </w:tcPr>
          <w:p w14:paraId="26B30ED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051</w:t>
            </w:r>
          </w:p>
        </w:tc>
        <w:tc>
          <w:tcPr>
            <w:tcW w:w="838" w:type="pct"/>
            <w:tcBorders>
              <w:top w:val="nil"/>
              <w:left w:val="nil"/>
              <w:bottom w:val="nil"/>
              <w:right w:val="nil"/>
            </w:tcBorders>
            <w:shd w:val="clear" w:color="000000" w:fill="FFFFFF"/>
            <w:noWrap/>
            <w:vAlign w:val="center"/>
            <w:hideMark/>
          </w:tcPr>
          <w:p w14:paraId="3E4C9B7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6F90F951" w14:textId="77777777" w:rsidTr="00185F17">
        <w:trPr>
          <w:trHeight w:val="210"/>
        </w:trPr>
        <w:tc>
          <w:tcPr>
            <w:tcW w:w="868" w:type="pct"/>
            <w:tcBorders>
              <w:top w:val="nil"/>
              <w:left w:val="nil"/>
              <w:bottom w:val="nil"/>
              <w:right w:val="nil"/>
            </w:tcBorders>
            <w:shd w:val="clear" w:color="000000" w:fill="FFFFFF"/>
            <w:vAlign w:val="center"/>
            <w:hideMark/>
          </w:tcPr>
          <w:p w14:paraId="10BB02E4"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 Average-turnover</w:t>
            </w:r>
          </w:p>
        </w:tc>
        <w:tc>
          <w:tcPr>
            <w:tcW w:w="488" w:type="pct"/>
            <w:tcBorders>
              <w:top w:val="nil"/>
              <w:left w:val="nil"/>
              <w:bottom w:val="nil"/>
              <w:right w:val="nil"/>
            </w:tcBorders>
            <w:shd w:val="clear" w:color="000000" w:fill="FFFFFF"/>
            <w:vAlign w:val="center"/>
            <w:hideMark/>
          </w:tcPr>
          <w:p w14:paraId="716AA72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−3.76%***</w:t>
            </w:r>
          </w:p>
        </w:tc>
        <w:tc>
          <w:tcPr>
            <w:tcW w:w="518" w:type="pct"/>
            <w:tcBorders>
              <w:top w:val="nil"/>
              <w:left w:val="nil"/>
              <w:bottom w:val="nil"/>
              <w:right w:val="nil"/>
            </w:tcBorders>
            <w:shd w:val="clear" w:color="000000" w:fill="FFFFFF"/>
            <w:vAlign w:val="center"/>
            <w:hideMark/>
          </w:tcPr>
          <w:p w14:paraId="239AE06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−3.58%***</w:t>
            </w:r>
          </w:p>
        </w:tc>
        <w:tc>
          <w:tcPr>
            <w:tcW w:w="487" w:type="pct"/>
            <w:tcBorders>
              <w:top w:val="nil"/>
              <w:left w:val="nil"/>
              <w:bottom w:val="nil"/>
              <w:right w:val="nil"/>
            </w:tcBorders>
            <w:shd w:val="clear" w:color="000000" w:fill="FFFFFF"/>
            <w:vAlign w:val="center"/>
            <w:hideMark/>
          </w:tcPr>
          <w:p w14:paraId="079F9E79"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−3.18%***</w:t>
            </w:r>
          </w:p>
        </w:tc>
        <w:tc>
          <w:tcPr>
            <w:tcW w:w="707" w:type="pct"/>
            <w:tcBorders>
              <w:top w:val="nil"/>
              <w:left w:val="nil"/>
              <w:bottom w:val="nil"/>
              <w:right w:val="nil"/>
            </w:tcBorders>
            <w:shd w:val="clear" w:color="000000" w:fill="FFFFFF"/>
            <w:vAlign w:val="center"/>
            <w:hideMark/>
          </w:tcPr>
          <w:p w14:paraId="118F2D4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0.58%***</w:t>
            </w:r>
          </w:p>
        </w:tc>
        <w:tc>
          <w:tcPr>
            <w:tcW w:w="119" w:type="pct"/>
            <w:tcBorders>
              <w:top w:val="nil"/>
              <w:left w:val="nil"/>
              <w:bottom w:val="nil"/>
              <w:right w:val="nil"/>
            </w:tcBorders>
            <w:shd w:val="clear" w:color="000000" w:fill="FFFFFF"/>
            <w:noWrap/>
            <w:vAlign w:val="center"/>
            <w:hideMark/>
          </w:tcPr>
          <w:p w14:paraId="3CC89B70"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76FFFCB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−3.51%***</w:t>
            </w:r>
          </w:p>
        </w:tc>
        <w:tc>
          <w:tcPr>
            <w:tcW w:w="487" w:type="pct"/>
            <w:tcBorders>
              <w:top w:val="nil"/>
              <w:left w:val="nil"/>
              <w:bottom w:val="nil"/>
              <w:right w:val="nil"/>
            </w:tcBorders>
            <w:shd w:val="clear" w:color="000000" w:fill="FFFFFF"/>
            <w:noWrap/>
            <w:vAlign w:val="center"/>
            <w:hideMark/>
          </w:tcPr>
          <w:p w14:paraId="558DE67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−3.48%***</w:t>
            </w:r>
          </w:p>
        </w:tc>
        <w:tc>
          <w:tcPr>
            <w:tcW w:w="838" w:type="pct"/>
            <w:tcBorders>
              <w:top w:val="nil"/>
              <w:left w:val="nil"/>
              <w:bottom w:val="nil"/>
              <w:right w:val="nil"/>
            </w:tcBorders>
            <w:shd w:val="clear" w:color="000000" w:fill="FFFFFF"/>
            <w:noWrap/>
            <w:vAlign w:val="center"/>
            <w:hideMark/>
          </w:tcPr>
          <w:p w14:paraId="3FCE7CA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0.04%</w:t>
            </w:r>
          </w:p>
        </w:tc>
      </w:tr>
      <w:tr w:rsidR="00F770FF" w:rsidRPr="00F27F5B" w14:paraId="1AD34EEA" w14:textId="77777777" w:rsidTr="00185F17">
        <w:trPr>
          <w:trHeight w:val="210"/>
        </w:trPr>
        <w:tc>
          <w:tcPr>
            <w:tcW w:w="868" w:type="pct"/>
            <w:tcBorders>
              <w:top w:val="nil"/>
              <w:left w:val="nil"/>
              <w:bottom w:val="nil"/>
              <w:right w:val="nil"/>
            </w:tcBorders>
            <w:shd w:val="clear" w:color="000000" w:fill="FFFFFF"/>
            <w:vAlign w:val="center"/>
            <w:hideMark/>
          </w:tcPr>
          <w:p w14:paraId="27B992C9"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Std. error</w:t>
            </w:r>
          </w:p>
        </w:tc>
        <w:tc>
          <w:tcPr>
            <w:tcW w:w="488" w:type="pct"/>
            <w:tcBorders>
              <w:top w:val="nil"/>
              <w:left w:val="nil"/>
              <w:bottom w:val="nil"/>
              <w:right w:val="nil"/>
            </w:tcBorders>
            <w:shd w:val="clear" w:color="000000" w:fill="FFFFFF"/>
            <w:vAlign w:val="center"/>
            <w:hideMark/>
          </w:tcPr>
          <w:p w14:paraId="1540F45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518" w:type="pct"/>
            <w:tcBorders>
              <w:top w:val="nil"/>
              <w:left w:val="nil"/>
              <w:bottom w:val="nil"/>
              <w:right w:val="nil"/>
            </w:tcBorders>
            <w:shd w:val="clear" w:color="000000" w:fill="FFFFFF"/>
            <w:vAlign w:val="center"/>
            <w:hideMark/>
          </w:tcPr>
          <w:p w14:paraId="77E9DCA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nil"/>
              <w:right w:val="nil"/>
            </w:tcBorders>
            <w:shd w:val="clear" w:color="000000" w:fill="FFFFFF"/>
            <w:vAlign w:val="center"/>
            <w:hideMark/>
          </w:tcPr>
          <w:p w14:paraId="61C3F8D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707" w:type="pct"/>
            <w:tcBorders>
              <w:top w:val="nil"/>
              <w:left w:val="nil"/>
              <w:bottom w:val="nil"/>
              <w:right w:val="nil"/>
            </w:tcBorders>
            <w:shd w:val="clear" w:color="000000" w:fill="FFFFFF"/>
            <w:noWrap/>
            <w:vAlign w:val="center"/>
            <w:hideMark/>
          </w:tcPr>
          <w:p w14:paraId="362D62A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w:t>
            </w:r>
          </w:p>
        </w:tc>
        <w:tc>
          <w:tcPr>
            <w:tcW w:w="119" w:type="pct"/>
            <w:tcBorders>
              <w:top w:val="nil"/>
              <w:left w:val="nil"/>
              <w:bottom w:val="nil"/>
              <w:right w:val="nil"/>
            </w:tcBorders>
            <w:shd w:val="clear" w:color="000000" w:fill="FFFFFF"/>
            <w:noWrap/>
            <w:vAlign w:val="center"/>
            <w:hideMark/>
          </w:tcPr>
          <w:p w14:paraId="062DD299"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26F4E0B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nil"/>
              <w:right w:val="nil"/>
            </w:tcBorders>
            <w:shd w:val="clear" w:color="000000" w:fill="FFFFFF"/>
            <w:noWrap/>
            <w:vAlign w:val="center"/>
            <w:hideMark/>
          </w:tcPr>
          <w:p w14:paraId="1B5DC1F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838" w:type="pct"/>
            <w:tcBorders>
              <w:top w:val="nil"/>
              <w:left w:val="nil"/>
              <w:bottom w:val="nil"/>
              <w:right w:val="nil"/>
            </w:tcBorders>
            <w:shd w:val="clear" w:color="000000" w:fill="FFFFFF"/>
            <w:noWrap/>
            <w:vAlign w:val="center"/>
            <w:hideMark/>
          </w:tcPr>
          <w:p w14:paraId="76E719B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0.320</w:t>
            </w:r>
          </w:p>
        </w:tc>
      </w:tr>
      <w:tr w:rsidR="00F770FF" w:rsidRPr="00F27F5B" w14:paraId="79147D75" w14:textId="77777777" w:rsidTr="00185F17">
        <w:trPr>
          <w:trHeight w:val="210"/>
        </w:trPr>
        <w:tc>
          <w:tcPr>
            <w:tcW w:w="868" w:type="pct"/>
            <w:tcBorders>
              <w:top w:val="nil"/>
              <w:left w:val="nil"/>
              <w:bottom w:val="nil"/>
              <w:right w:val="nil"/>
            </w:tcBorders>
            <w:shd w:val="clear" w:color="000000" w:fill="FFFFFF"/>
            <w:vAlign w:val="center"/>
            <w:hideMark/>
          </w:tcPr>
          <w:p w14:paraId="3787262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Nobs.</w:t>
            </w:r>
          </w:p>
        </w:tc>
        <w:tc>
          <w:tcPr>
            <w:tcW w:w="488" w:type="pct"/>
            <w:tcBorders>
              <w:top w:val="nil"/>
              <w:left w:val="nil"/>
              <w:bottom w:val="nil"/>
              <w:right w:val="nil"/>
            </w:tcBorders>
            <w:shd w:val="clear" w:color="000000" w:fill="FFFFFF"/>
            <w:vAlign w:val="center"/>
            <w:hideMark/>
          </w:tcPr>
          <w:p w14:paraId="56D0448B"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964</w:t>
            </w:r>
          </w:p>
        </w:tc>
        <w:tc>
          <w:tcPr>
            <w:tcW w:w="518" w:type="pct"/>
            <w:tcBorders>
              <w:top w:val="nil"/>
              <w:left w:val="nil"/>
              <w:bottom w:val="nil"/>
              <w:right w:val="nil"/>
            </w:tcBorders>
            <w:shd w:val="clear" w:color="000000" w:fill="FFFFFF"/>
            <w:vAlign w:val="center"/>
            <w:hideMark/>
          </w:tcPr>
          <w:p w14:paraId="0EE26B2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12</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322</w:t>
            </w:r>
          </w:p>
        </w:tc>
        <w:tc>
          <w:tcPr>
            <w:tcW w:w="487" w:type="pct"/>
            <w:tcBorders>
              <w:top w:val="nil"/>
              <w:left w:val="nil"/>
              <w:bottom w:val="nil"/>
              <w:right w:val="nil"/>
            </w:tcBorders>
            <w:shd w:val="clear" w:color="000000" w:fill="FFFFFF"/>
            <w:vAlign w:val="center"/>
            <w:hideMark/>
          </w:tcPr>
          <w:p w14:paraId="1F367FA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804</w:t>
            </w:r>
          </w:p>
        </w:tc>
        <w:tc>
          <w:tcPr>
            <w:tcW w:w="707" w:type="pct"/>
            <w:tcBorders>
              <w:top w:val="nil"/>
              <w:left w:val="nil"/>
              <w:bottom w:val="nil"/>
              <w:right w:val="nil"/>
            </w:tcBorders>
            <w:shd w:val="clear" w:color="000000" w:fill="FFFFFF"/>
            <w:vAlign w:val="center"/>
            <w:hideMark/>
          </w:tcPr>
          <w:p w14:paraId="08CC0F8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177B4F36"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709A767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151</w:t>
            </w:r>
          </w:p>
        </w:tc>
        <w:tc>
          <w:tcPr>
            <w:tcW w:w="487" w:type="pct"/>
            <w:tcBorders>
              <w:top w:val="nil"/>
              <w:left w:val="nil"/>
              <w:bottom w:val="nil"/>
              <w:right w:val="nil"/>
            </w:tcBorders>
            <w:shd w:val="clear" w:color="000000" w:fill="FFFFFF"/>
            <w:noWrap/>
            <w:vAlign w:val="center"/>
            <w:hideMark/>
          </w:tcPr>
          <w:p w14:paraId="70BEFD9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4</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939</w:t>
            </w:r>
          </w:p>
        </w:tc>
        <w:tc>
          <w:tcPr>
            <w:tcW w:w="838" w:type="pct"/>
            <w:tcBorders>
              <w:top w:val="nil"/>
              <w:left w:val="nil"/>
              <w:bottom w:val="nil"/>
              <w:right w:val="nil"/>
            </w:tcBorders>
            <w:shd w:val="clear" w:color="000000" w:fill="FFFFFF"/>
            <w:noWrap/>
            <w:vAlign w:val="center"/>
            <w:hideMark/>
          </w:tcPr>
          <w:p w14:paraId="6A1314D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7F191D7F" w14:textId="77777777" w:rsidTr="00185F17">
        <w:trPr>
          <w:trHeight w:val="210"/>
        </w:trPr>
        <w:tc>
          <w:tcPr>
            <w:tcW w:w="868" w:type="pct"/>
            <w:tcBorders>
              <w:top w:val="nil"/>
              <w:left w:val="nil"/>
              <w:bottom w:val="nil"/>
              <w:right w:val="nil"/>
            </w:tcBorders>
            <w:shd w:val="clear" w:color="000000" w:fill="FFFFFF"/>
            <w:vAlign w:val="center"/>
            <w:hideMark/>
          </w:tcPr>
          <w:p w14:paraId="221DF887"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(3) Fast-turnover</w:t>
            </w:r>
          </w:p>
        </w:tc>
        <w:tc>
          <w:tcPr>
            <w:tcW w:w="488" w:type="pct"/>
            <w:tcBorders>
              <w:top w:val="nil"/>
              <w:left w:val="nil"/>
              <w:bottom w:val="nil"/>
              <w:right w:val="nil"/>
            </w:tcBorders>
            <w:shd w:val="clear" w:color="000000" w:fill="FFFFFF"/>
            <w:vAlign w:val="center"/>
            <w:hideMark/>
          </w:tcPr>
          <w:p w14:paraId="72D412C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−1.97%***</w:t>
            </w:r>
          </w:p>
        </w:tc>
        <w:tc>
          <w:tcPr>
            <w:tcW w:w="518" w:type="pct"/>
            <w:tcBorders>
              <w:top w:val="nil"/>
              <w:left w:val="nil"/>
              <w:bottom w:val="nil"/>
              <w:right w:val="nil"/>
            </w:tcBorders>
            <w:shd w:val="clear" w:color="000000" w:fill="FFFFFF"/>
            <w:vAlign w:val="center"/>
            <w:hideMark/>
          </w:tcPr>
          <w:p w14:paraId="4CE258C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−2.87%</w:t>
            </w:r>
          </w:p>
        </w:tc>
        <w:tc>
          <w:tcPr>
            <w:tcW w:w="487" w:type="pct"/>
            <w:tcBorders>
              <w:top w:val="nil"/>
              <w:left w:val="nil"/>
              <w:bottom w:val="nil"/>
              <w:right w:val="nil"/>
            </w:tcBorders>
            <w:shd w:val="clear" w:color="000000" w:fill="FFFFFF"/>
            <w:vAlign w:val="center"/>
            <w:hideMark/>
          </w:tcPr>
          <w:p w14:paraId="2274B28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−2.20%</w:t>
            </w:r>
          </w:p>
        </w:tc>
        <w:tc>
          <w:tcPr>
            <w:tcW w:w="707" w:type="pct"/>
            <w:tcBorders>
              <w:top w:val="nil"/>
              <w:left w:val="nil"/>
              <w:bottom w:val="nil"/>
              <w:right w:val="nil"/>
            </w:tcBorders>
            <w:shd w:val="clear" w:color="000000" w:fill="FFFFFF"/>
            <w:vAlign w:val="center"/>
            <w:hideMark/>
          </w:tcPr>
          <w:p w14:paraId="71F1653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−0.23%</w:t>
            </w:r>
          </w:p>
        </w:tc>
        <w:tc>
          <w:tcPr>
            <w:tcW w:w="119" w:type="pct"/>
            <w:tcBorders>
              <w:top w:val="nil"/>
              <w:left w:val="nil"/>
              <w:bottom w:val="nil"/>
              <w:right w:val="nil"/>
            </w:tcBorders>
            <w:shd w:val="clear" w:color="000000" w:fill="FFFFFF"/>
            <w:noWrap/>
            <w:vAlign w:val="center"/>
            <w:hideMark/>
          </w:tcPr>
          <w:p w14:paraId="54C3F093"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7BF1274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−2.16%***</w:t>
            </w:r>
          </w:p>
        </w:tc>
        <w:tc>
          <w:tcPr>
            <w:tcW w:w="487" w:type="pct"/>
            <w:tcBorders>
              <w:top w:val="nil"/>
              <w:left w:val="nil"/>
              <w:bottom w:val="nil"/>
              <w:right w:val="nil"/>
            </w:tcBorders>
            <w:shd w:val="clear" w:color="000000" w:fill="FFFFFF"/>
            <w:noWrap/>
            <w:vAlign w:val="center"/>
            <w:hideMark/>
          </w:tcPr>
          <w:p w14:paraId="6D7C632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−2.69%</w:t>
            </w:r>
          </w:p>
        </w:tc>
        <w:tc>
          <w:tcPr>
            <w:tcW w:w="838" w:type="pct"/>
            <w:tcBorders>
              <w:top w:val="nil"/>
              <w:left w:val="nil"/>
              <w:bottom w:val="nil"/>
              <w:right w:val="nil"/>
            </w:tcBorders>
            <w:shd w:val="clear" w:color="000000" w:fill="FFFFFF"/>
            <w:noWrap/>
            <w:vAlign w:val="center"/>
            <w:hideMark/>
          </w:tcPr>
          <w:p w14:paraId="57F5786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−0.53%</w:t>
            </w:r>
          </w:p>
        </w:tc>
      </w:tr>
      <w:tr w:rsidR="00F770FF" w:rsidRPr="00F27F5B" w14:paraId="47FB029A" w14:textId="77777777" w:rsidTr="00185F17">
        <w:trPr>
          <w:trHeight w:val="210"/>
        </w:trPr>
        <w:tc>
          <w:tcPr>
            <w:tcW w:w="868" w:type="pct"/>
            <w:tcBorders>
              <w:top w:val="nil"/>
              <w:left w:val="nil"/>
              <w:bottom w:val="nil"/>
              <w:right w:val="nil"/>
            </w:tcBorders>
            <w:shd w:val="clear" w:color="000000" w:fill="FFFFFF"/>
            <w:vAlign w:val="center"/>
            <w:hideMark/>
          </w:tcPr>
          <w:p w14:paraId="018D8AA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Std. error</w:t>
            </w:r>
          </w:p>
        </w:tc>
        <w:tc>
          <w:tcPr>
            <w:tcW w:w="488" w:type="pct"/>
            <w:tcBorders>
              <w:top w:val="nil"/>
              <w:left w:val="nil"/>
              <w:bottom w:val="nil"/>
              <w:right w:val="nil"/>
            </w:tcBorders>
            <w:shd w:val="clear" w:color="000000" w:fill="FFFFFF"/>
            <w:vAlign w:val="center"/>
            <w:hideMark/>
          </w:tcPr>
          <w:p w14:paraId="2E0DB3F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518" w:type="pct"/>
            <w:tcBorders>
              <w:top w:val="nil"/>
              <w:left w:val="nil"/>
              <w:bottom w:val="nil"/>
              <w:right w:val="nil"/>
            </w:tcBorders>
            <w:shd w:val="clear" w:color="000000" w:fill="FFFFFF"/>
            <w:vAlign w:val="center"/>
            <w:hideMark/>
          </w:tcPr>
          <w:p w14:paraId="5EBCD4A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(0.002)</w:t>
            </w:r>
          </w:p>
        </w:tc>
        <w:tc>
          <w:tcPr>
            <w:tcW w:w="487" w:type="pct"/>
            <w:tcBorders>
              <w:top w:val="nil"/>
              <w:left w:val="nil"/>
              <w:bottom w:val="nil"/>
              <w:right w:val="nil"/>
            </w:tcBorders>
            <w:shd w:val="clear" w:color="000000" w:fill="FFFFFF"/>
            <w:vAlign w:val="center"/>
            <w:hideMark/>
          </w:tcPr>
          <w:p w14:paraId="0D37078A"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(0.002)</w:t>
            </w:r>
          </w:p>
        </w:tc>
        <w:tc>
          <w:tcPr>
            <w:tcW w:w="707" w:type="pct"/>
            <w:tcBorders>
              <w:top w:val="nil"/>
              <w:left w:val="nil"/>
              <w:bottom w:val="nil"/>
              <w:right w:val="nil"/>
            </w:tcBorders>
            <w:shd w:val="clear" w:color="000000" w:fill="FFFFFF"/>
            <w:noWrap/>
            <w:vAlign w:val="center"/>
            <w:hideMark/>
          </w:tcPr>
          <w:p w14:paraId="1328F47B"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0.341</w:t>
            </w:r>
          </w:p>
        </w:tc>
        <w:tc>
          <w:tcPr>
            <w:tcW w:w="119" w:type="pct"/>
            <w:tcBorders>
              <w:top w:val="nil"/>
              <w:left w:val="nil"/>
              <w:bottom w:val="nil"/>
              <w:right w:val="nil"/>
            </w:tcBorders>
            <w:shd w:val="clear" w:color="000000" w:fill="FFFFFF"/>
            <w:noWrap/>
            <w:vAlign w:val="center"/>
            <w:hideMark/>
          </w:tcPr>
          <w:p w14:paraId="2537C0C4"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66EAEDE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nil"/>
              <w:right w:val="nil"/>
            </w:tcBorders>
            <w:shd w:val="clear" w:color="000000" w:fill="FFFFFF"/>
            <w:noWrap/>
            <w:vAlign w:val="center"/>
            <w:hideMark/>
          </w:tcPr>
          <w:p w14:paraId="5DB49FF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(0.003)</w:t>
            </w:r>
          </w:p>
        </w:tc>
        <w:tc>
          <w:tcPr>
            <w:tcW w:w="838" w:type="pct"/>
            <w:tcBorders>
              <w:top w:val="nil"/>
              <w:left w:val="nil"/>
              <w:bottom w:val="nil"/>
              <w:right w:val="nil"/>
            </w:tcBorders>
            <w:shd w:val="clear" w:color="000000" w:fill="FFFFFF"/>
            <w:noWrap/>
            <w:vAlign w:val="center"/>
            <w:hideMark/>
          </w:tcPr>
          <w:p w14:paraId="756893CC"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0.482</w:t>
            </w:r>
          </w:p>
        </w:tc>
      </w:tr>
      <w:tr w:rsidR="00F770FF" w:rsidRPr="00F27F5B" w14:paraId="75757CE3" w14:textId="77777777" w:rsidTr="00185F17">
        <w:trPr>
          <w:trHeight w:val="210"/>
        </w:trPr>
        <w:tc>
          <w:tcPr>
            <w:tcW w:w="868" w:type="pct"/>
            <w:tcBorders>
              <w:top w:val="nil"/>
              <w:left w:val="nil"/>
              <w:bottom w:val="single" w:sz="8" w:space="0" w:color="auto"/>
              <w:right w:val="nil"/>
            </w:tcBorders>
            <w:shd w:val="clear" w:color="000000" w:fill="FFFFFF"/>
            <w:vAlign w:val="center"/>
            <w:hideMark/>
          </w:tcPr>
          <w:p w14:paraId="039FB3C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Nobs.</w:t>
            </w:r>
          </w:p>
        </w:tc>
        <w:tc>
          <w:tcPr>
            <w:tcW w:w="488" w:type="pct"/>
            <w:tcBorders>
              <w:top w:val="nil"/>
              <w:left w:val="nil"/>
              <w:bottom w:val="single" w:sz="8" w:space="0" w:color="auto"/>
              <w:right w:val="nil"/>
            </w:tcBorders>
            <w:shd w:val="clear" w:color="000000" w:fill="FFFFFF"/>
            <w:vAlign w:val="center"/>
            <w:hideMark/>
          </w:tcPr>
          <w:p w14:paraId="20C0870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5</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660</w:t>
            </w:r>
          </w:p>
        </w:tc>
        <w:tc>
          <w:tcPr>
            <w:tcW w:w="518" w:type="pct"/>
            <w:tcBorders>
              <w:top w:val="nil"/>
              <w:left w:val="nil"/>
              <w:bottom w:val="single" w:sz="8" w:space="0" w:color="auto"/>
              <w:right w:val="nil"/>
            </w:tcBorders>
            <w:shd w:val="clear" w:color="000000" w:fill="FFFFFF"/>
            <w:vAlign w:val="center"/>
            <w:hideMark/>
          </w:tcPr>
          <w:p w14:paraId="1507DD33"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863</w:t>
            </w:r>
          </w:p>
        </w:tc>
        <w:tc>
          <w:tcPr>
            <w:tcW w:w="487" w:type="pct"/>
            <w:tcBorders>
              <w:top w:val="nil"/>
              <w:left w:val="nil"/>
              <w:bottom w:val="single" w:sz="8" w:space="0" w:color="auto"/>
              <w:right w:val="nil"/>
            </w:tcBorders>
            <w:shd w:val="clear" w:color="000000" w:fill="FFFFFF"/>
            <w:vAlign w:val="center"/>
            <w:hideMark/>
          </w:tcPr>
          <w:p w14:paraId="69BDAAF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258</w:t>
            </w:r>
          </w:p>
        </w:tc>
        <w:tc>
          <w:tcPr>
            <w:tcW w:w="707" w:type="pct"/>
            <w:tcBorders>
              <w:top w:val="nil"/>
              <w:left w:val="nil"/>
              <w:bottom w:val="single" w:sz="8" w:space="0" w:color="auto"/>
              <w:right w:val="nil"/>
            </w:tcBorders>
            <w:shd w:val="clear" w:color="000000" w:fill="FFFFFF"/>
            <w:noWrap/>
            <w:vAlign w:val="center"/>
            <w:hideMark/>
          </w:tcPr>
          <w:p w14:paraId="2C54C3D6"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4AE9B71E"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single" w:sz="8" w:space="0" w:color="auto"/>
              <w:right w:val="nil"/>
            </w:tcBorders>
            <w:shd w:val="clear" w:color="000000" w:fill="FFFFFF"/>
            <w:noWrap/>
            <w:vAlign w:val="center"/>
            <w:hideMark/>
          </w:tcPr>
          <w:p w14:paraId="0322D39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8</w:t>
            </w:r>
            <w:r>
              <w:rPr>
                <w:rFonts w:ascii="Century Schoolbook" w:eastAsia="Times New Roman" w:hAnsi="Century Schoolbook" w:cs="Times New Roman"/>
                <w:color w:val="000000"/>
                <w:sz w:val="18"/>
                <w:szCs w:val="20"/>
                <w:lang w:eastAsia="en-CA"/>
              </w:rPr>
              <w:t>,</w:t>
            </w:r>
            <w:r w:rsidRPr="000F4D18">
              <w:rPr>
                <w:rFonts w:ascii="Century Schoolbook" w:eastAsia="Times New Roman" w:hAnsi="Century Schoolbook" w:cs="Times New Roman"/>
                <w:color w:val="000000"/>
                <w:sz w:val="18"/>
                <w:szCs w:val="20"/>
                <w:lang w:eastAsia="en-CA"/>
              </w:rPr>
              <w:t>228</w:t>
            </w:r>
          </w:p>
        </w:tc>
        <w:tc>
          <w:tcPr>
            <w:tcW w:w="487" w:type="pct"/>
            <w:tcBorders>
              <w:top w:val="nil"/>
              <w:left w:val="nil"/>
              <w:bottom w:val="single" w:sz="8" w:space="0" w:color="auto"/>
              <w:right w:val="nil"/>
            </w:tcBorders>
            <w:shd w:val="clear" w:color="000000" w:fill="FFFFFF"/>
            <w:noWrap/>
            <w:vAlign w:val="center"/>
            <w:hideMark/>
          </w:tcPr>
          <w:p w14:paraId="6A1C0B97"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553</w:t>
            </w:r>
          </w:p>
        </w:tc>
        <w:tc>
          <w:tcPr>
            <w:tcW w:w="838" w:type="pct"/>
            <w:tcBorders>
              <w:top w:val="nil"/>
              <w:left w:val="nil"/>
              <w:bottom w:val="single" w:sz="8" w:space="0" w:color="auto"/>
              <w:right w:val="nil"/>
            </w:tcBorders>
            <w:shd w:val="clear" w:color="000000" w:fill="FFFFFF"/>
            <w:noWrap/>
            <w:vAlign w:val="center"/>
            <w:hideMark/>
          </w:tcPr>
          <w:p w14:paraId="50F5817D"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5333168B" w14:textId="77777777" w:rsidTr="00185F17">
        <w:trPr>
          <w:trHeight w:val="210"/>
        </w:trPr>
        <w:tc>
          <w:tcPr>
            <w:tcW w:w="868" w:type="pct"/>
            <w:tcBorders>
              <w:top w:val="nil"/>
              <w:left w:val="nil"/>
              <w:bottom w:val="nil"/>
              <w:right w:val="nil"/>
            </w:tcBorders>
            <w:shd w:val="clear" w:color="000000" w:fill="FFFFFF"/>
            <w:vAlign w:val="center"/>
            <w:hideMark/>
          </w:tcPr>
          <w:p w14:paraId="3745008F"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Slow − Fast</w:t>
            </w:r>
          </w:p>
        </w:tc>
        <w:tc>
          <w:tcPr>
            <w:tcW w:w="488" w:type="pct"/>
            <w:tcBorders>
              <w:top w:val="nil"/>
              <w:left w:val="nil"/>
              <w:bottom w:val="nil"/>
              <w:right w:val="nil"/>
            </w:tcBorders>
            <w:shd w:val="clear" w:color="000000" w:fill="FFFFFF"/>
            <w:vAlign w:val="center"/>
            <w:hideMark/>
          </w:tcPr>
          <w:p w14:paraId="6D333D9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−2.21%***</w:t>
            </w:r>
          </w:p>
        </w:tc>
        <w:tc>
          <w:tcPr>
            <w:tcW w:w="518" w:type="pct"/>
            <w:tcBorders>
              <w:top w:val="nil"/>
              <w:left w:val="nil"/>
              <w:bottom w:val="nil"/>
              <w:right w:val="nil"/>
            </w:tcBorders>
            <w:shd w:val="clear" w:color="000000" w:fill="FFFFFF"/>
            <w:vAlign w:val="center"/>
            <w:hideMark/>
          </w:tcPr>
          <w:p w14:paraId="61CEF3A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−1.00%***</w:t>
            </w:r>
          </w:p>
        </w:tc>
        <w:tc>
          <w:tcPr>
            <w:tcW w:w="487" w:type="pct"/>
            <w:tcBorders>
              <w:top w:val="nil"/>
              <w:left w:val="nil"/>
              <w:bottom w:val="nil"/>
              <w:right w:val="nil"/>
            </w:tcBorders>
            <w:shd w:val="clear" w:color="000000" w:fill="FFFFFF"/>
            <w:vAlign w:val="center"/>
            <w:hideMark/>
          </w:tcPr>
          <w:p w14:paraId="5B65CB7E"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−1.19%***</w:t>
            </w:r>
          </w:p>
        </w:tc>
        <w:tc>
          <w:tcPr>
            <w:tcW w:w="707" w:type="pct"/>
            <w:tcBorders>
              <w:top w:val="nil"/>
              <w:left w:val="nil"/>
              <w:bottom w:val="nil"/>
              <w:right w:val="nil"/>
            </w:tcBorders>
            <w:shd w:val="clear" w:color="000000" w:fill="FFFFFF"/>
            <w:noWrap/>
            <w:vAlign w:val="center"/>
            <w:hideMark/>
          </w:tcPr>
          <w:p w14:paraId="6B3C96B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nil"/>
              <w:right w:val="nil"/>
            </w:tcBorders>
            <w:shd w:val="clear" w:color="000000" w:fill="FFFFFF"/>
            <w:noWrap/>
            <w:vAlign w:val="center"/>
            <w:hideMark/>
          </w:tcPr>
          <w:p w14:paraId="0E6E9A37"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nil"/>
              <w:right w:val="nil"/>
            </w:tcBorders>
            <w:shd w:val="clear" w:color="000000" w:fill="FFFFFF"/>
            <w:noWrap/>
            <w:vAlign w:val="center"/>
            <w:hideMark/>
          </w:tcPr>
          <w:p w14:paraId="441ED83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−1.44%***</w:t>
            </w:r>
          </w:p>
        </w:tc>
        <w:tc>
          <w:tcPr>
            <w:tcW w:w="487" w:type="pct"/>
            <w:tcBorders>
              <w:top w:val="nil"/>
              <w:left w:val="nil"/>
              <w:bottom w:val="nil"/>
              <w:right w:val="nil"/>
            </w:tcBorders>
            <w:shd w:val="clear" w:color="000000" w:fill="FFFFFF"/>
            <w:noWrap/>
            <w:vAlign w:val="center"/>
            <w:hideMark/>
          </w:tcPr>
          <w:p w14:paraId="6E59A492"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−1.27%***</w:t>
            </w:r>
          </w:p>
        </w:tc>
        <w:tc>
          <w:tcPr>
            <w:tcW w:w="838" w:type="pct"/>
            <w:tcBorders>
              <w:top w:val="nil"/>
              <w:left w:val="nil"/>
              <w:bottom w:val="nil"/>
              <w:right w:val="nil"/>
            </w:tcBorders>
            <w:shd w:val="clear" w:color="000000" w:fill="FFFFFF"/>
            <w:noWrap/>
            <w:vAlign w:val="center"/>
            <w:hideMark/>
          </w:tcPr>
          <w:p w14:paraId="000B7924"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r w:rsidR="00F770FF" w:rsidRPr="00F27F5B" w14:paraId="2C548C89" w14:textId="77777777" w:rsidTr="00185F17">
        <w:trPr>
          <w:trHeight w:val="210"/>
        </w:trPr>
        <w:tc>
          <w:tcPr>
            <w:tcW w:w="868" w:type="pct"/>
            <w:tcBorders>
              <w:top w:val="nil"/>
              <w:left w:val="nil"/>
              <w:bottom w:val="double" w:sz="6" w:space="0" w:color="auto"/>
              <w:right w:val="nil"/>
            </w:tcBorders>
            <w:shd w:val="clear" w:color="000000" w:fill="FFFFFF"/>
            <w:hideMark/>
          </w:tcPr>
          <w:p w14:paraId="69F4C2BD" w14:textId="77777777" w:rsidR="00F770FF" w:rsidRPr="000F4D18" w:rsidRDefault="00F770FF" w:rsidP="009704E4">
            <w:pPr>
              <w:spacing w:after="0" w:line="240" w:lineRule="auto"/>
              <w:jc w:val="center"/>
              <w:rPr>
                <w:rFonts w:ascii="Century Schoolbook" w:eastAsia="Times New Roman" w:hAnsi="Century Schoolbook" w:cs="Times New Roman"/>
                <w:i/>
                <w:iCs/>
                <w:color w:val="000000"/>
                <w:sz w:val="18"/>
                <w:szCs w:val="20"/>
                <w:lang w:eastAsia="en-CA"/>
              </w:rPr>
            </w:pPr>
            <w:r w:rsidRPr="000F4D18">
              <w:rPr>
                <w:rFonts w:ascii="Century Schoolbook" w:eastAsia="Times New Roman" w:hAnsi="Century Schoolbook" w:cs="Times New Roman"/>
                <w:i/>
                <w:iCs/>
                <w:color w:val="000000"/>
                <w:sz w:val="18"/>
                <w:szCs w:val="20"/>
                <w:lang w:eastAsia="en-CA"/>
              </w:rPr>
              <w:t>p–</w:t>
            </w:r>
            <w:r w:rsidRPr="000F4D18">
              <w:rPr>
                <w:rFonts w:ascii="Century Schoolbook" w:eastAsia="Times New Roman" w:hAnsi="Century Schoolbook" w:cs="Times New Roman"/>
                <w:color w:val="000000"/>
                <w:sz w:val="18"/>
                <w:szCs w:val="20"/>
                <w:lang w:eastAsia="en-CA"/>
              </w:rPr>
              <w:t>value</w:t>
            </w:r>
          </w:p>
        </w:tc>
        <w:tc>
          <w:tcPr>
            <w:tcW w:w="488" w:type="pct"/>
            <w:tcBorders>
              <w:top w:val="nil"/>
              <w:left w:val="nil"/>
              <w:bottom w:val="double" w:sz="6" w:space="0" w:color="auto"/>
              <w:right w:val="nil"/>
            </w:tcBorders>
            <w:shd w:val="clear" w:color="000000" w:fill="FFFFFF"/>
            <w:noWrap/>
            <w:vAlign w:val="center"/>
            <w:hideMark/>
          </w:tcPr>
          <w:p w14:paraId="6DDFB7E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518" w:type="pct"/>
            <w:tcBorders>
              <w:top w:val="nil"/>
              <w:left w:val="nil"/>
              <w:bottom w:val="double" w:sz="6" w:space="0" w:color="auto"/>
              <w:right w:val="nil"/>
            </w:tcBorders>
            <w:shd w:val="clear" w:color="000000" w:fill="FFFFFF"/>
            <w:noWrap/>
            <w:vAlign w:val="center"/>
            <w:hideMark/>
          </w:tcPr>
          <w:p w14:paraId="3A9E302B"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0.0015</w:t>
            </w:r>
          </w:p>
        </w:tc>
        <w:tc>
          <w:tcPr>
            <w:tcW w:w="487" w:type="pct"/>
            <w:tcBorders>
              <w:top w:val="nil"/>
              <w:left w:val="nil"/>
              <w:bottom w:val="double" w:sz="6" w:space="0" w:color="auto"/>
              <w:right w:val="nil"/>
            </w:tcBorders>
            <w:shd w:val="clear" w:color="000000" w:fill="FFFFFF"/>
            <w:noWrap/>
            <w:vAlign w:val="center"/>
            <w:hideMark/>
          </w:tcPr>
          <w:p w14:paraId="61AABE2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707" w:type="pct"/>
            <w:tcBorders>
              <w:top w:val="nil"/>
              <w:left w:val="nil"/>
              <w:bottom w:val="double" w:sz="6" w:space="0" w:color="auto"/>
              <w:right w:val="nil"/>
            </w:tcBorders>
            <w:shd w:val="clear" w:color="000000" w:fill="FFFFFF"/>
            <w:noWrap/>
            <w:vAlign w:val="center"/>
            <w:hideMark/>
          </w:tcPr>
          <w:p w14:paraId="6E4DEAE1"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119" w:type="pct"/>
            <w:tcBorders>
              <w:top w:val="nil"/>
              <w:left w:val="nil"/>
              <w:bottom w:val="double" w:sz="6" w:space="0" w:color="auto"/>
              <w:right w:val="nil"/>
            </w:tcBorders>
            <w:shd w:val="clear" w:color="000000" w:fill="FFFFFF"/>
            <w:noWrap/>
            <w:vAlign w:val="center"/>
            <w:hideMark/>
          </w:tcPr>
          <w:p w14:paraId="3E38BE96" w14:textId="77777777" w:rsidR="00F770FF" w:rsidRPr="000F4D18" w:rsidRDefault="00F770FF" w:rsidP="009704E4">
            <w:pPr>
              <w:spacing w:after="0" w:line="240" w:lineRule="auto"/>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c>
          <w:tcPr>
            <w:tcW w:w="487" w:type="pct"/>
            <w:tcBorders>
              <w:top w:val="nil"/>
              <w:left w:val="nil"/>
              <w:bottom w:val="double" w:sz="6" w:space="0" w:color="auto"/>
              <w:right w:val="nil"/>
            </w:tcBorders>
            <w:shd w:val="clear" w:color="000000" w:fill="FFFFFF"/>
            <w:noWrap/>
            <w:vAlign w:val="center"/>
            <w:hideMark/>
          </w:tcPr>
          <w:p w14:paraId="21F45C48"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487" w:type="pct"/>
            <w:tcBorders>
              <w:top w:val="nil"/>
              <w:left w:val="nil"/>
              <w:bottom w:val="double" w:sz="6" w:space="0" w:color="auto"/>
              <w:right w:val="nil"/>
            </w:tcBorders>
            <w:shd w:val="clear" w:color="000000" w:fill="FFFFFF"/>
            <w:noWrap/>
            <w:vAlign w:val="center"/>
            <w:hideMark/>
          </w:tcPr>
          <w:p w14:paraId="3684FD30"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0.001</w:t>
            </w:r>
          </w:p>
        </w:tc>
        <w:tc>
          <w:tcPr>
            <w:tcW w:w="838" w:type="pct"/>
            <w:tcBorders>
              <w:top w:val="nil"/>
              <w:left w:val="nil"/>
              <w:bottom w:val="double" w:sz="6" w:space="0" w:color="auto"/>
              <w:right w:val="nil"/>
            </w:tcBorders>
            <w:shd w:val="clear" w:color="000000" w:fill="FFFFFF"/>
            <w:noWrap/>
            <w:vAlign w:val="center"/>
            <w:hideMark/>
          </w:tcPr>
          <w:p w14:paraId="26F1FBC5" w14:textId="77777777" w:rsidR="00F770FF" w:rsidRPr="000F4D18" w:rsidRDefault="00F770FF" w:rsidP="009704E4">
            <w:pPr>
              <w:spacing w:after="0" w:line="240" w:lineRule="auto"/>
              <w:jc w:val="center"/>
              <w:rPr>
                <w:rFonts w:ascii="Century Schoolbook" w:eastAsia="Times New Roman" w:hAnsi="Century Schoolbook" w:cs="Times New Roman"/>
                <w:color w:val="000000"/>
                <w:sz w:val="18"/>
                <w:szCs w:val="20"/>
                <w:lang w:eastAsia="en-CA"/>
              </w:rPr>
            </w:pPr>
            <w:r w:rsidRPr="000F4D18">
              <w:rPr>
                <w:rFonts w:ascii="Century Schoolbook" w:eastAsia="Times New Roman" w:hAnsi="Century Schoolbook" w:cs="Times New Roman"/>
                <w:color w:val="000000"/>
                <w:sz w:val="18"/>
                <w:szCs w:val="20"/>
                <w:lang w:eastAsia="en-CA"/>
              </w:rPr>
              <w:t> </w:t>
            </w:r>
          </w:p>
        </w:tc>
      </w:tr>
    </w:tbl>
    <w:p w14:paraId="42A020B0" w14:textId="32105A2F" w:rsidR="00F770FF" w:rsidRPr="000F4D18" w:rsidRDefault="00F770FF" w:rsidP="00F770FF">
      <w:pPr>
        <w:jc w:val="center"/>
        <w:rPr>
          <w:rFonts w:ascii="Century Schoolbook" w:eastAsia="Times New Roman" w:hAnsi="Century Schoolbook" w:cs="Times New Roman"/>
          <w:b/>
          <w:sz w:val="20"/>
          <w:szCs w:val="20"/>
          <w:lang w:eastAsia="fr-FR"/>
        </w:rPr>
        <w:sectPr w:rsidR="00F770FF" w:rsidRPr="000F4D18" w:rsidSect="009704E4">
          <w:pgSz w:w="15840" w:h="12240" w:orient="landscape"/>
          <w:pgMar w:top="1411" w:right="1411" w:bottom="1411" w:left="1282" w:header="706" w:footer="706" w:gutter="0"/>
          <w:cols w:space="708"/>
          <w:docGrid w:linePitch="360"/>
        </w:sectPr>
      </w:pPr>
    </w:p>
    <w:p w14:paraId="61E08EC2" w14:textId="48ED2D6A" w:rsidR="005226A1" w:rsidRPr="000F4D18" w:rsidRDefault="00E618CE" w:rsidP="005226A1">
      <w:pPr>
        <w:autoSpaceDE w:val="0"/>
        <w:autoSpaceDN w:val="0"/>
        <w:adjustRightInd w:val="0"/>
        <w:spacing w:after="0" w:line="240" w:lineRule="auto"/>
        <w:jc w:val="center"/>
        <w:rPr>
          <w:rFonts w:ascii="Century Schoolbook" w:eastAsia="Times New Roman" w:hAnsi="Century Schoolbook" w:cs="Times New Roman"/>
          <w:b/>
          <w:sz w:val="20"/>
          <w:szCs w:val="20"/>
          <w:lang w:eastAsia="fr-FR"/>
        </w:rPr>
      </w:pPr>
      <w:r w:rsidRPr="00AB75FD">
        <w:rPr>
          <w:rFonts w:ascii="Century Schoolbook" w:eastAsia="Times New Roman" w:hAnsi="Century Schoolbook" w:cs="Times New Roman"/>
          <w:b/>
          <w:sz w:val="20"/>
          <w:szCs w:val="20"/>
          <w:lang w:eastAsia="fr-FR"/>
        </w:rPr>
        <w:lastRenderedPageBreak/>
        <w:t>Appendix Table</w:t>
      </w:r>
      <w:r w:rsidRPr="000F4D18">
        <w:rPr>
          <w:rFonts w:ascii="Century Schoolbook" w:eastAsia="Times New Roman" w:hAnsi="Century Schoolbook" w:cs="Times New Roman"/>
          <w:b/>
          <w:sz w:val="20"/>
          <w:szCs w:val="20"/>
          <w:lang w:eastAsia="fr-FR"/>
        </w:rPr>
        <w:t xml:space="preserve"> </w:t>
      </w:r>
      <w:r w:rsidR="005226A1">
        <w:rPr>
          <w:rFonts w:ascii="Century Schoolbook" w:eastAsia="Times New Roman" w:hAnsi="Century Schoolbook" w:cs="Times New Roman"/>
          <w:b/>
          <w:sz w:val="20"/>
          <w:szCs w:val="20"/>
          <w:lang w:eastAsia="fr-FR"/>
        </w:rPr>
        <w:t>A2</w:t>
      </w:r>
    </w:p>
    <w:p w14:paraId="7ED191D2" w14:textId="77777777" w:rsidR="005226A1" w:rsidRPr="000F4D18" w:rsidRDefault="005226A1" w:rsidP="005226A1">
      <w:pPr>
        <w:spacing w:line="240" w:lineRule="auto"/>
        <w:jc w:val="center"/>
        <w:rPr>
          <w:rFonts w:ascii="Century Schoolbook" w:eastAsia="Times New Roman" w:hAnsi="Century Schoolbook" w:cs="Times New Roman"/>
          <w:b/>
          <w:i/>
          <w:sz w:val="20"/>
          <w:szCs w:val="20"/>
          <w:lang w:eastAsia="fr-FR"/>
        </w:rPr>
      </w:pPr>
      <w:r w:rsidRPr="000F4D18">
        <w:rPr>
          <w:rFonts w:ascii="Century Schoolbook" w:eastAsia="Times New Roman" w:hAnsi="Century Schoolbook" w:cs="Times New Roman"/>
          <w:b/>
          <w:i/>
          <w:sz w:val="20"/>
          <w:szCs w:val="20"/>
          <w:lang w:eastAsia="fr-FR"/>
        </w:rPr>
        <w:t>Real</w:t>
      </w:r>
      <w:r>
        <w:rPr>
          <w:rFonts w:ascii="Century Schoolbook" w:eastAsia="Times New Roman" w:hAnsi="Century Schoolbook" w:cs="Times New Roman"/>
          <w:color w:val="000000"/>
          <w:sz w:val="18"/>
          <w:szCs w:val="18"/>
          <w:lang w:eastAsia="en-CA"/>
        </w:rPr>
        <w:t>-</w:t>
      </w:r>
      <w:r w:rsidRPr="000F4D18">
        <w:rPr>
          <w:rFonts w:ascii="Century Schoolbook" w:eastAsia="Times New Roman" w:hAnsi="Century Schoolbook" w:cs="Times New Roman"/>
          <w:b/>
          <w:i/>
          <w:sz w:val="20"/>
          <w:szCs w:val="20"/>
          <w:lang w:eastAsia="fr-FR"/>
        </w:rPr>
        <w:t xml:space="preserve">calendar time Portfolio </w:t>
      </w:r>
      <w:r>
        <w:rPr>
          <w:rFonts w:ascii="Century Schoolbook" w:eastAsia="Times New Roman" w:hAnsi="Century Schoolbook" w:cs="Times New Roman"/>
          <w:b/>
          <w:i/>
          <w:sz w:val="20"/>
          <w:szCs w:val="20"/>
          <w:lang w:eastAsia="fr-FR"/>
        </w:rPr>
        <w:t>Strategy: Detailed Results</w:t>
      </w:r>
    </w:p>
    <w:p w14:paraId="48D43454" w14:textId="77777777" w:rsidR="005226A1" w:rsidRDefault="005226A1" w:rsidP="00D8387A">
      <w:pPr>
        <w:tabs>
          <w:tab w:val="left" w:pos="11160"/>
        </w:tabs>
        <w:spacing w:line="240" w:lineRule="auto"/>
        <w:ind w:left="-180" w:right="-180"/>
        <w:jc w:val="both"/>
        <w:rPr>
          <w:rFonts w:ascii="Century Schoolbook" w:eastAsia="Times New Roman" w:hAnsi="Century Schoolbook" w:cs="Times New Roman"/>
          <w:sz w:val="20"/>
          <w:szCs w:val="20"/>
          <w:lang w:eastAsia="fr-FR"/>
        </w:rPr>
      </w:pPr>
      <w:r w:rsidRPr="000F4D18">
        <w:rPr>
          <w:rFonts w:ascii="Century Schoolbook" w:eastAsia="Times New Roman" w:hAnsi="Century Schoolbook" w:cs="Times New Roman"/>
          <w:sz w:val="20"/>
          <w:szCs w:val="20"/>
          <w:lang w:eastAsia="fr-FR"/>
        </w:rPr>
        <w:t>This table presents risk</w:t>
      </w:r>
      <w:r>
        <w:rPr>
          <w:rFonts w:ascii="Century Schoolbook" w:eastAsia="Times New Roman" w:hAnsi="Century Schoolbook" w:cs="Times New Roman"/>
          <w:sz w:val="20"/>
          <w:szCs w:val="20"/>
          <w:lang w:eastAsia="fr-FR"/>
        </w:rPr>
        <w:t>-</w:t>
      </w:r>
      <w:r w:rsidRPr="000F4D18">
        <w:rPr>
          <w:rFonts w:ascii="Century Schoolbook" w:eastAsia="Times New Roman" w:hAnsi="Century Schoolbook" w:cs="Times New Roman"/>
          <w:sz w:val="20"/>
          <w:szCs w:val="20"/>
          <w:lang w:eastAsia="fr-FR"/>
        </w:rPr>
        <w:t xml:space="preserve">adjusted returns of </w:t>
      </w:r>
      <w:r>
        <w:rPr>
          <w:rFonts w:ascii="Century Schoolbook" w:eastAsia="Times New Roman" w:hAnsi="Century Schoolbook" w:cs="Times New Roman"/>
          <w:sz w:val="20"/>
          <w:szCs w:val="20"/>
          <w:lang w:eastAsia="fr-FR"/>
        </w:rPr>
        <w:t>real-</w:t>
      </w:r>
      <w:r w:rsidRPr="000F4D18">
        <w:rPr>
          <w:rFonts w:ascii="Century Schoolbook" w:eastAsia="Times New Roman" w:hAnsi="Century Schoolbook" w:cs="Times New Roman"/>
          <w:sz w:val="20"/>
          <w:szCs w:val="20"/>
          <w:lang w:eastAsia="fr-FR"/>
        </w:rPr>
        <w:t>calendar</w:t>
      </w:r>
      <w:r>
        <w:rPr>
          <w:rFonts w:ascii="Century Schoolbook" w:eastAsia="Times New Roman" w:hAnsi="Century Schoolbook" w:cs="Times New Roman"/>
          <w:color w:val="000000"/>
          <w:sz w:val="18"/>
          <w:szCs w:val="18"/>
          <w:lang w:eastAsia="en-CA"/>
        </w:rPr>
        <w:t xml:space="preserve"> </w:t>
      </w:r>
      <w:r w:rsidRPr="000F4D18">
        <w:rPr>
          <w:rFonts w:ascii="Century Schoolbook" w:eastAsia="Times New Roman" w:hAnsi="Century Schoolbook" w:cs="Times New Roman"/>
          <w:sz w:val="20"/>
          <w:szCs w:val="20"/>
          <w:lang w:eastAsia="fr-FR"/>
        </w:rPr>
        <w:t>time portfolio</w:t>
      </w:r>
      <w:r>
        <w:rPr>
          <w:rFonts w:ascii="Century Schoolbook" w:eastAsia="Times New Roman" w:hAnsi="Century Schoolbook" w:cs="Times New Roman"/>
          <w:sz w:val="20"/>
          <w:szCs w:val="20"/>
          <w:lang w:eastAsia="fr-FR"/>
        </w:rPr>
        <w:t xml:space="preserve">s earned by investors trading following analyst recommendations. </w:t>
      </w:r>
      <w:r w:rsidRPr="000F4D18">
        <w:rPr>
          <w:rFonts w:ascii="Century Schoolbook" w:eastAsia="Times New Roman" w:hAnsi="Century Schoolbook" w:cs="Times New Roman"/>
          <w:sz w:val="20"/>
          <w:szCs w:val="20"/>
          <w:lang w:eastAsia="fr-FR"/>
        </w:rPr>
        <w:t xml:space="preserve">We report </w:t>
      </w:r>
      <w:r>
        <w:rPr>
          <w:rFonts w:ascii="Century Schoolbook" w:eastAsia="Times New Roman" w:hAnsi="Century Schoolbook" w:cs="Times New Roman"/>
          <w:sz w:val="20"/>
          <w:szCs w:val="20"/>
          <w:lang w:eastAsia="fr-FR"/>
        </w:rPr>
        <w:t xml:space="preserve">daily portfolio returns and </w:t>
      </w:r>
      <w:r w:rsidRPr="000F4D18">
        <w:rPr>
          <w:rFonts w:ascii="Century Schoolbook" w:eastAsia="Times New Roman" w:hAnsi="Century Schoolbook" w:cs="Times New Roman"/>
          <w:sz w:val="20"/>
          <w:szCs w:val="20"/>
          <w:lang w:eastAsia="fr-FR"/>
        </w:rPr>
        <w:t xml:space="preserve">alphas earned by </w:t>
      </w:r>
      <w:r>
        <w:rPr>
          <w:rFonts w:ascii="Century Schoolbook" w:eastAsia="Times New Roman" w:hAnsi="Century Schoolbook" w:cs="Times New Roman"/>
          <w:sz w:val="20"/>
          <w:szCs w:val="20"/>
          <w:lang w:eastAsia="fr-FR"/>
        </w:rPr>
        <w:t xml:space="preserve">buying (selling) </w:t>
      </w:r>
      <w:r w:rsidRPr="000F4D18">
        <w:rPr>
          <w:rFonts w:ascii="Century Schoolbook" w:eastAsia="Times New Roman" w:hAnsi="Century Schoolbook" w:cs="Times New Roman"/>
          <w:sz w:val="20"/>
          <w:szCs w:val="20"/>
          <w:lang w:eastAsia="fr-FR"/>
        </w:rPr>
        <w:t>$1 on a stock at the closing</w:t>
      </w:r>
      <w:r>
        <w:rPr>
          <w:rFonts w:ascii="Times New Roman" w:eastAsia="Times New Roman" w:hAnsi="Times New Roman" w:cs="Times New Roman"/>
          <w:sz w:val="20"/>
          <w:szCs w:val="20"/>
          <w:lang w:eastAsia="fr-FR"/>
        </w:rPr>
        <w:t>-</w:t>
      </w:r>
      <w:r w:rsidRPr="000F4D18">
        <w:rPr>
          <w:rFonts w:ascii="Century Schoolbook" w:eastAsia="Times New Roman" w:hAnsi="Century Schoolbook" w:cs="Times New Roman"/>
          <w:sz w:val="20"/>
          <w:szCs w:val="20"/>
          <w:lang w:eastAsia="fr-FR"/>
        </w:rPr>
        <w:t xml:space="preserve">day price </w:t>
      </w:r>
      <w:r w:rsidRPr="000F4D18">
        <w:rPr>
          <w:rFonts w:ascii="Century Schoolbook" w:eastAsia="Times New Roman" w:hAnsi="Century Schoolbook" w:cs="Times New Roman"/>
          <w:i/>
          <w:sz w:val="20"/>
          <w:szCs w:val="20"/>
          <w:lang w:eastAsia="fr-FR"/>
        </w:rPr>
        <w:t>after</w:t>
      </w:r>
      <w:r w:rsidRPr="000F4D18">
        <w:rPr>
          <w:rFonts w:ascii="Century Schoolbook" w:eastAsia="Times New Roman" w:hAnsi="Century Schoolbook" w:cs="Times New Roman"/>
          <w:sz w:val="20"/>
          <w:szCs w:val="20"/>
          <w:lang w:eastAsia="fr-FR"/>
        </w:rPr>
        <w:t xml:space="preserve"> the recommendation upgrade </w:t>
      </w:r>
      <w:r>
        <w:rPr>
          <w:rFonts w:ascii="Century Schoolbook" w:eastAsia="Times New Roman" w:hAnsi="Century Schoolbook" w:cs="Times New Roman"/>
          <w:sz w:val="20"/>
          <w:szCs w:val="20"/>
          <w:lang w:eastAsia="fr-FR"/>
        </w:rPr>
        <w:t>(downgrade). We report results for three holding periods: 30, 60, and 120 trading days.</w:t>
      </w:r>
      <w:r w:rsidRPr="000F4D18">
        <w:rPr>
          <w:rFonts w:ascii="Century Schoolbook" w:eastAsia="Times New Roman" w:hAnsi="Century Schoolbook" w:cs="Times New Roman"/>
          <w:sz w:val="20"/>
          <w:szCs w:val="20"/>
          <w:lang w:eastAsia="fr-FR"/>
        </w:rPr>
        <w:t xml:space="preserve"> </w:t>
      </w:r>
      <w:r>
        <w:rPr>
          <w:rFonts w:ascii="Century Schoolbook" w:eastAsia="Times New Roman" w:hAnsi="Century Schoolbook" w:cs="Times New Roman"/>
          <w:sz w:val="20"/>
          <w:szCs w:val="20"/>
          <w:lang w:eastAsia="fr-FR"/>
        </w:rPr>
        <w:t>Panels A and B report results for the portfolio strategy that follows recommendation</w:t>
      </w:r>
      <w:r w:rsidRPr="000F4D18">
        <w:rPr>
          <w:rFonts w:ascii="Century Schoolbook" w:eastAsia="Times New Roman" w:hAnsi="Century Schoolbook" w:cs="Times New Roman"/>
          <w:sz w:val="20"/>
          <w:szCs w:val="20"/>
          <w:lang w:eastAsia="fr-FR"/>
        </w:rPr>
        <w:t xml:space="preserve"> changes issued by slow</w:t>
      </w:r>
      <w:r>
        <w:rPr>
          <w:rFonts w:ascii="Century Schoolbook" w:eastAsia="Times New Roman" w:hAnsi="Century Schoolbook" w:cs="Times New Roman"/>
          <w:sz w:val="20"/>
          <w:szCs w:val="20"/>
          <w:lang w:eastAsia="fr-FR"/>
        </w:rPr>
        <w:t xml:space="preserve">-turnover analysts </w:t>
      </w:r>
      <w:r w:rsidRPr="000F4D18">
        <w:rPr>
          <w:rFonts w:ascii="Century Schoolbook" w:eastAsia="Times New Roman" w:hAnsi="Century Schoolbook" w:cs="Times New Roman"/>
          <w:sz w:val="20"/>
          <w:szCs w:val="20"/>
          <w:lang w:eastAsia="fr-FR"/>
        </w:rPr>
        <w:t>and fast</w:t>
      </w:r>
      <w:r>
        <w:rPr>
          <w:rFonts w:ascii="Century Schoolbook" w:eastAsia="Times New Roman" w:hAnsi="Century Schoolbook" w:cs="Times New Roman"/>
          <w:i/>
          <w:sz w:val="20"/>
          <w:szCs w:val="20"/>
          <w:lang w:eastAsia="fr-FR"/>
        </w:rPr>
        <w:t>-</w:t>
      </w:r>
      <w:r w:rsidRPr="000F4D18">
        <w:rPr>
          <w:rFonts w:ascii="Century Schoolbook" w:eastAsia="Times New Roman" w:hAnsi="Century Schoolbook" w:cs="Times New Roman"/>
          <w:sz w:val="20"/>
          <w:szCs w:val="20"/>
          <w:lang w:eastAsia="fr-FR"/>
        </w:rPr>
        <w:t>turnover analysts,</w:t>
      </w:r>
      <w:r>
        <w:rPr>
          <w:rFonts w:ascii="Century Schoolbook" w:eastAsia="Times New Roman" w:hAnsi="Century Schoolbook" w:cs="Times New Roman"/>
          <w:sz w:val="20"/>
          <w:szCs w:val="20"/>
          <w:lang w:eastAsia="fr-FR"/>
        </w:rPr>
        <w:t xml:space="preserve"> respectively, from 1996 through 2013</w:t>
      </w:r>
      <w:r w:rsidRPr="000F4D18">
        <w:rPr>
          <w:rFonts w:ascii="Century Schoolbook" w:eastAsia="Times New Roman" w:hAnsi="Century Schoolbook" w:cs="Times New Roman"/>
          <w:sz w:val="20"/>
          <w:szCs w:val="20"/>
          <w:lang w:eastAsia="fr-FR"/>
        </w:rPr>
        <w:t>.</w:t>
      </w:r>
      <w:r>
        <w:rPr>
          <w:rFonts w:ascii="Century Schoolbook" w:eastAsia="Times New Roman" w:hAnsi="Century Schoolbook" w:cs="Times New Roman"/>
          <w:sz w:val="20"/>
          <w:szCs w:val="20"/>
          <w:lang w:eastAsia="fr-FR"/>
        </w:rPr>
        <w:t xml:space="preserve"> Analyst turnover classification are shown in Table 2. </w:t>
      </w:r>
      <w:r w:rsidRPr="000F4D18">
        <w:rPr>
          <w:rFonts w:ascii="Century Schoolbook" w:eastAsia="Times New Roman" w:hAnsi="Century Schoolbook" w:cs="Times New Roman"/>
          <w:sz w:val="20"/>
          <w:szCs w:val="20"/>
          <w:lang w:eastAsia="fr-FR"/>
        </w:rPr>
        <w:t>Portfolios are formed over the 1996</w:t>
      </w:r>
      <w:r w:rsidRPr="000F4D18">
        <w:rPr>
          <w:rFonts w:ascii="Century Schoolbook" w:eastAsia="Times New Roman" w:hAnsi="Century Schoolbook" w:cs="Times New Roman"/>
          <w:color w:val="000000"/>
          <w:sz w:val="18"/>
          <w:szCs w:val="18"/>
          <w:lang w:eastAsia="en-CA"/>
        </w:rPr>
        <w:t>–</w:t>
      </w:r>
      <w:r w:rsidRPr="000F4D18">
        <w:rPr>
          <w:rFonts w:ascii="Century Schoolbook" w:eastAsia="Times New Roman" w:hAnsi="Century Schoolbook" w:cs="Times New Roman"/>
          <w:sz w:val="20"/>
          <w:szCs w:val="20"/>
          <w:lang w:eastAsia="fr-FR"/>
        </w:rPr>
        <w:t>201</w:t>
      </w:r>
      <w:r>
        <w:rPr>
          <w:rFonts w:ascii="Century Schoolbook" w:eastAsia="Times New Roman" w:hAnsi="Century Schoolbook" w:cs="Times New Roman"/>
          <w:sz w:val="20"/>
          <w:szCs w:val="20"/>
          <w:lang w:eastAsia="fr-FR"/>
        </w:rPr>
        <w:t>3</w:t>
      </w:r>
      <w:r w:rsidRPr="000F4D18">
        <w:rPr>
          <w:rFonts w:ascii="Century Schoolbook" w:eastAsia="Times New Roman" w:hAnsi="Century Schoolbook" w:cs="Times New Roman"/>
          <w:sz w:val="20"/>
          <w:szCs w:val="20"/>
          <w:lang w:eastAsia="fr-FR"/>
        </w:rPr>
        <w:t xml:space="preserve"> period and thei</w:t>
      </w:r>
      <w:r>
        <w:rPr>
          <w:rFonts w:ascii="Century Schoolbook" w:eastAsia="Times New Roman" w:hAnsi="Century Schoolbook" w:cs="Times New Roman"/>
          <w:sz w:val="20"/>
          <w:szCs w:val="20"/>
          <w:lang w:eastAsia="fr-FR"/>
        </w:rPr>
        <w:t xml:space="preserve">r returns are calculated daily. For each holding period, we report results for a long only, short only, and a long-short portfolio strategy. For a long (short) only strategy, only recommendation upgrades (downgrades) are considered. We report t-statistic next to each alpha estimate. Abnormal returns are calculated using three benchmarks: CAPM, </w:t>
      </w:r>
      <w:proofErr w:type="spellStart"/>
      <w:r>
        <w:rPr>
          <w:rFonts w:ascii="Century Schoolbook" w:eastAsia="Times New Roman" w:hAnsi="Century Schoolbook" w:cs="Times New Roman"/>
          <w:sz w:val="20"/>
          <w:szCs w:val="20"/>
          <w:lang w:eastAsia="fr-FR"/>
        </w:rPr>
        <w:t>Fama</w:t>
      </w:r>
      <w:proofErr w:type="spellEnd"/>
      <w:r>
        <w:rPr>
          <w:rFonts w:ascii="Century Schoolbook" w:eastAsia="Times New Roman" w:hAnsi="Century Schoolbook" w:cs="Times New Roman"/>
          <w:sz w:val="20"/>
          <w:szCs w:val="20"/>
          <w:lang w:eastAsia="fr-FR"/>
        </w:rPr>
        <w:t xml:space="preserve">-French three-factor model, and Carhart four-factor model. </w:t>
      </w:r>
    </w:p>
    <w:tbl>
      <w:tblPr>
        <w:tblW w:w="13271" w:type="dxa"/>
        <w:tblInd w:w="-180" w:type="dxa"/>
        <w:tblLook w:val="04A0" w:firstRow="1" w:lastRow="0" w:firstColumn="1" w:lastColumn="0" w:noHBand="0" w:noVBand="1"/>
      </w:tblPr>
      <w:tblGrid>
        <w:gridCol w:w="1250"/>
        <w:gridCol w:w="267"/>
        <w:gridCol w:w="1333"/>
        <w:gridCol w:w="268"/>
        <w:gridCol w:w="1293"/>
        <w:gridCol w:w="1897"/>
        <w:gridCol w:w="1207"/>
        <w:gridCol w:w="268"/>
        <w:gridCol w:w="776"/>
        <w:gridCol w:w="680"/>
        <w:gridCol w:w="268"/>
        <w:gridCol w:w="1124"/>
        <w:gridCol w:w="680"/>
        <w:gridCol w:w="268"/>
        <w:gridCol w:w="1012"/>
        <w:gridCol w:w="680"/>
      </w:tblGrid>
      <w:tr w:rsidR="00D8387A" w:rsidRPr="009E0578" w14:paraId="659FE935" w14:textId="77777777" w:rsidTr="00D8387A">
        <w:trPr>
          <w:trHeight w:val="251"/>
        </w:trPr>
        <w:tc>
          <w:tcPr>
            <w:tcW w:w="0" w:type="auto"/>
            <w:vMerge w:val="restart"/>
            <w:tcBorders>
              <w:top w:val="single" w:sz="4" w:space="0" w:color="auto"/>
              <w:left w:val="nil"/>
              <w:bottom w:val="single" w:sz="4" w:space="0" w:color="000000"/>
              <w:right w:val="nil"/>
            </w:tcBorders>
            <w:shd w:val="clear" w:color="auto" w:fill="auto"/>
            <w:vAlign w:val="center"/>
            <w:hideMark/>
          </w:tcPr>
          <w:p w14:paraId="0FE84AE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Holding period</w:t>
            </w:r>
          </w:p>
        </w:tc>
        <w:tc>
          <w:tcPr>
            <w:tcW w:w="0" w:type="auto"/>
            <w:tcBorders>
              <w:top w:val="single" w:sz="4" w:space="0" w:color="auto"/>
              <w:left w:val="nil"/>
              <w:bottom w:val="nil"/>
              <w:right w:val="nil"/>
            </w:tcBorders>
            <w:shd w:val="clear" w:color="auto" w:fill="auto"/>
            <w:noWrap/>
            <w:vAlign w:val="bottom"/>
            <w:hideMark/>
          </w:tcPr>
          <w:p w14:paraId="5D8EC906"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49C2D91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Portfolio type</w:t>
            </w:r>
          </w:p>
        </w:tc>
        <w:tc>
          <w:tcPr>
            <w:tcW w:w="0" w:type="auto"/>
            <w:tcBorders>
              <w:top w:val="single" w:sz="4" w:space="0" w:color="auto"/>
              <w:left w:val="nil"/>
              <w:bottom w:val="nil"/>
              <w:right w:val="nil"/>
            </w:tcBorders>
            <w:shd w:val="clear" w:color="auto" w:fill="auto"/>
            <w:noWrap/>
            <w:vAlign w:val="bottom"/>
            <w:hideMark/>
          </w:tcPr>
          <w:p w14:paraId="530F7FD4" w14:textId="77777777" w:rsidR="005226A1" w:rsidRPr="009E0578" w:rsidRDefault="005226A1" w:rsidP="00AA2627">
            <w:pPr>
              <w:spacing w:after="0" w:line="240" w:lineRule="auto"/>
              <w:rPr>
                <w:rFonts w:ascii="Century Schoolbook" w:eastAsia="Times New Roman" w:hAnsi="Century Schoolbook" w:cs="Times New Roman"/>
                <w:b/>
                <w:bCs/>
                <w:i/>
                <w:iCs/>
                <w:color w:val="000000"/>
                <w:sz w:val="18"/>
                <w:szCs w:val="18"/>
              </w:rPr>
            </w:pPr>
            <w:r w:rsidRPr="009E0578">
              <w:rPr>
                <w:rFonts w:ascii="Century Schoolbook" w:eastAsia="Times New Roman" w:hAnsi="Century Schoolbook" w:cs="Times New Roman"/>
                <w:b/>
                <w:bCs/>
                <w:i/>
                <w:iCs/>
                <w:color w:val="000000"/>
                <w:sz w:val="18"/>
                <w:szCs w:val="18"/>
              </w:rPr>
              <w:t> </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14A7C98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xml:space="preserve">Average daily </w:t>
            </w:r>
            <w:r w:rsidRPr="009E0578">
              <w:rPr>
                <w:rFonts w:ascii="Century Schoolbook" w:eastAsia="Times New Roman" w:hAnsi="Century Schoolbook" w:cs="Times New Roman"/>
                <w:color w:val="000000"/>
                <w:sz w:val="18"/>
                <w:szCs w:val="18"/>
              </w:rPr>
              <w:br/>
              <w:t>number of firms</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03E9F30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xml:space="preserve">Number of </w:t>
            </w:r>
            <w:r w:rsidRPr="009E0578">
              <w:rPr>
                <w:rFonts w:ascii="Century Schoolbook" w:eastAsia="Times New Roman" w:hAnsi="Century Schoolbook" w:cs="Times New Roman"/>
                <w:color w:val="000000"/>
                <w:sz w:val="18"/>
                <w:szCs w:val="18"/>
              </w:rPr>
              <w:br/>
              <w:t>daily return observations</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411DA1A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Raw return (%)</w:t>
            </w:r>
          </w:p>
        </w:tc>
        <w:tc>
          <w:tcPr>
            <w:tcW w:w="0" w:type="auto"/>
            <w:tcBorders>
              <w:top w:val="single" w:sz="4" w:space="0" w:color="auto"/>
              <w:left w:val="nil"/>
              <w:bottom w:val="nil"/>
              <w:right w:val="nil"/>
            </w:tcBorders>
            <w:shd w:val="clear" w:color="auto" w:fill="auto"/>
            <w:noWrap/>
            <w:vAlign w:val="bottom"/>
            <w:hideMark/>
          </w:tcPr>
          <w:p w14:paraId="28D01190"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gridSpan w:val="8"/>
            <w:tcBorders>
              <w:top w:val="single" w:sz="4" w:space="0" w:color="auto"/>
              <w:left w:val="nil"/>
              <w:bottom w:val="single" w:sz="4" w:space="0" w:color="auto"/>
              <w:right w:val="nil"/>
            </w:tcBorders>
            <w:shd w:val="clear" w:color="auto" w:fill="auto"/>
            <w:vAlign w:val="bottom"/>
            <w:hideMark/>
          </w:tcPr>
          <w:p w14:paraId="513E7F2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Daily portfolio alpha (%)</w:t>
            </w:r>
          </w:p>
        </w:tc>
      </w:tr>
      <w:tr w:rsidR="00D8387A" w:rsidRPr="009E0578" w14:paraId="1F2A0DD6" w14:textId="77777777" w:rsidTr="00D8387A">
        <w:trPr>
          <w:trHeight w:val="809"/>
        </w:trPr>
        <w:tc>
          <w:tcPr>
            <w:tcW w:w="0" w:type="auto"/>
            <w:vMerge/>
            <w:tcBorders>
              <w:top w:val="single" w:sz="4" w:space="0" w:color="auto"/>
              <w:left w:val="nil"/>
              <w:bottom w:val="single" w:sz="4" w:space="0" w:color="000000"/>
              <w:right w:val="nil"/>
            </w:tcBorders>
            <w:vAlign w:val="center"/>
            <w:hideMark/>
          </w:tcPr>
          <w:p w14:paraId="42C27663"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14:paraId="39448F87"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vMerge/>
            <w:tcBorders>
              <w:top w:val="single" w:sz="4" w:space="0" w:color="auto"/>
              <w:left w:val="nil"/>
              <w:bottom w:val="single" w:sz="4" w:space="0" w:color="000000"/>
              <w:right w:val="nil"/>
            </w:tcBorders>
            <w:vAlign w:val="center"/>
            <w:hideMark/>
          </w:tcPr>
          <w:p w14:paraId="16430689"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245E7D1A"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vMerge/>
            <w:tcBorders>
              <w:top w:val="single" w:sz="4" w:space="0" w:color="auto"/>
              <w:left w:val="nil"/>
              <w:bottom w:val="single" w:sz="4" w:space="0" w:color="000000"/>
              <w:right w:val="nil"/>
            </w:tcBorders>
            <w:vAlign w:val="center"/>
            <w:hideMark/>
          </w:tcPr>
          <w:p w14:paraId="57F22549"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vMerge/>
            <w:tcBorders>
              <w:top w:val="single" w:sz="4" w:space="0" w:color="auto"/>
              <w:left w:val="nil"/>
              <w:bottom w:val="single" w:sz="4" w:space="0" w:color="000000"/>
              <w:right w:val="nil"/>
            </w:tcBorders>
            <w:vAlign w:val="center"/>
            <w:hideMark/>
          </w:tcPr>
          <w:p w14:paraId="7F8D4F5C"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vMerge/>
            <w:tcBorders>
              <w:top w:val="single" w:sz="4" w:space="0" w:color="auto"/>
              <w:left w:val="nil"/>
              <w:bottom w:val="single" w:sz="4" w:space="0" w:color="000000"/>
              <w:right w:val="nil"/>
            </w:tcBorders>
            <w:vAlign w:val="center"/>
            <w:hideMark/>
          </w:tcPr>
          <w:p w14:paraId="6B2A8790"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99F84FD"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center"/>
            <w:hideMark/>
          </w:tcPr>
          <w:p w14:paraId="57BDCA7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CAPM</w:t>
            </w:r>
          </w:p>
        </w:tc>
        <w:tc>
          <w:tcPr>
            <w:tcW w:w="0" w:type="auto"/>
            <w:tcBorders>
              <w:top w:val="nil"/>
              <w:left w:val="nil"/>
              <w:bottom w:val="single" w:sz="4" w:space="0" w:color="auto"/>
              <w:right w:val="nil"/>
            </w:tcBorders>
            <w:shd w:val="clear" w:color="auto" w:fill="auto"/>
            <w:noWrap/>
            <w:vAlign w:val="center"/>
            <w:hideMark/>
          </w:tcPr>
          <w:p w14:paraId="270DB21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i/>
                <w:iCs/>
                <w:color w:val="000000"/>
                <w:sz w:val="16"/>
                <w:szCs w:val="16"/>
              </w:rPr>
              <w:t>t</w:t>
            </w:r>
            <w:r w:rsidRPr="009E0578">
              <w:rPr>
                <w:rFonts w:ascii="Century Schoolbook" w:eastAsia="Times New Roman" w:hAnsi="Century Schoolbook" w:cs="Times New Roman"/>
                <w:color w:val="000000"/>
                <w:sz w:val="18"/>
                <w:szCs w:val="18"/>
              </w:rPr>
              <w:t>-stat</w:t>
            </w:r>
          </w:p>
        </w:tc>
        <w:tc>
          <w:tcPr>
            <w:tcW w:w="0" w:type="auto"/>
            <w:tcBorders>
              <w:top w:val="nil"/>
              <w:left w:val="nil"/>
              <w:bottom w:val="nil"/>
              <w:right w:val="nil"/>
            </w:tcBorders>
            <w:shd w:val="clear" w:color="auto" w:fill="auto"/>
            <w:noWrap/>
            <w:vAlign w:val="center"/>
            <w:hideMark/>
          </w:tcPr>
          <w:p w14:paraId="5375FB4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single" w:sz="4" w:space="0" w:color="auto"/>
              <w:right w:val="nil"/>
            </w:tcBorders>
            <w:shd w:val="clear" w:color="auto" w:fill="auto"/>
            <w:vAlign w:val="center"/>
            <w:hideMark/>
          </w:tcPr>
          <w:p w14:paraId="7036250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roofErr w:type="spellStart"/>
            <w:r w:rsidRPr="009E0578">
              <w:rPr>
                <w:rFonts w:ascii="Century Schoolbook" w:eastAsia="Times New Roman" w:hAnsi="Century Schoolbook" w:cs="Times New Roman"/>
                <w:color w:val="000000"/>
                <w:sz w:val="18"/>
                <w:szCs w:val="18"/>
              </w:rPr>
              <w:t>Fama</w:t>
            </w:r>
            <w:proofErr w:type="spellEnd"/>
            <w:r w:rsidRPr="009E0578">
              <w:rPr>
                <w:rFonts w:ascii="Century Schoolbook" w:eastAsia="Times New Roman" w:hAnsi="Century Schoolbook" w:cs="Times New Roman"/>
                <w:color w:val="000000"/>
                <w:sz w:val="18"/>
                <w:szCs w:val="18"/>
              </w:rPr>
              <w:t xml:space="preserve"> French </w:t>
            </w:r>
            <w:r w:rsidRPr="009E0578">
              <w:rPr>
                <w:rFonts w:ascii="Century Schoolbook" w:eastAsia="Times New Roman" w:hAnsi="Century Schoolbook" w:cs="Times New Roman"/>
                <w:color w:val="000000"/>
                <w:sz w:val="18"/>
                <w:szCs w:val="18"/>
              </w:rPr>
              <w:br/>
              <w:t>three-factor</w:t>
            </w:r>
          </w:p>
        </w:tc>
        <w:tc>
          <w:tcPr>
            <w:tcW w:w="0" w:type="auto"/>
            <w:tcBorders>
              <w:top w:val="nil"/>
              <w:left w:val="nil"/>
              <w:bottom w:val="single" w:sz="4" w:space="0" w:color="auto"/>
              <w:right w:val="nil"/>
            </w:tcBorders>
            <w:shd w:val="clear" w:color="auto" w:fill="auto"/>
            <w:noWrap/>
            <w:vAlign w:val="center"/>
            <w:hideMark/>
          </w:tcPr>
          <w:p w14:paraId="6837E4B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i/>
                <w:iCs/>
                <w:color w:val="000000"/>
                <w:sz w:val="16"/>
                <w:szCs w:val="16"/>
              </w:rPr>
              <w:t>t</w:t>
            </w:r>
            <w:r w:rsidRPr="009E0578">
              <w:rPr>
                <w:rFonts w:ascii="Century Schoolbook" w:eastAsia="Times New Roman" w:hAnsi="Century Schoolbook" w:cs="Times New Roman"/>
                <w:color w:val="000000"/>
                <w:sz w:val="18"/>
                <w:szCs w:val="18"/>
              </w:rPr>
              <w:t>-stat</w:t>
            </w:r>
          </w:p>
        </w:tc>
        <w:tc>
          <w:tcPr>
            <w:tcW w:w="0" w:type="auto"/>
            <w:tcBorders>
              <w:top w:val="nil"/>
              <w:left w:val="nil"/>
              <w:bottom w:val="nil"/>
              <w:right w:val="nil"/>
            </w:tcBorders>
            <w:shd w:val="clear" w:color="auto" w:fill="auto"/>
            <w:noWrap/>
            <w:vAlign w:val="center"/>
            <w:hideMark/>
          </w:tcPr>
          <w:p w14:paraId="434D687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single" w:sz="4" w:space="0" w:color="auto"/>
              <w:right w:val="nil"/>
            </w:tcBorders>
            <w:shd w:val="clear" w:color="auto" w:fill="auto"/>
            <w:vAlign w:val="center"/>
            <w:hideMark/>
          </w:tcPr>
          <w:p w14:paraId="0BAC807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Car</w:t>
            </w:r>
            <w:r w:rsidRPr="009E0578">
              <w:rPr>
                <w:rFonts w:ascii="Century Schoolbook" w:eastAsia="Times New Roman" w:hAnsi="Century Schoolbook" w:cs="Times New Roman"/>
                <w:color w:val="000000"/>
                <w:sz w:val="18"/>
                <w:szCs w:val="18"/>
              </w:rPr>
              <w:t xml:space="preserve">hart </w:t>
            </w:r>
            <w:r w:rsidRPr="009E0578">
              <w:rPr>
                <w:rFonts w:ascii="Century Schoolbook" w:eastAsia="Times New Roman" w:hAnsi="Century Schoolbook" w:cs="Times New Roman"/>
                <w:color w:val="000000"/>
                <w:sz w:val="18"/>
                <w:szCs w:val="18"/>
              </w:rPr>
              <w:br/>
              <w:t>four-factor</w:t>
            </w:r>
          </w:p>
        </w:tc>
        <w:tc>
          <w:tcPr>
            <w:tcW w:w="0" w:type="auto"/>
            <w:tcBorders>
              <w:top w:val="nil"/>
              <w:left w:val="nil"/>
              <w:bottom w:val="single" w:sz="4" w:space="0" w:color="auto"/>
              <w:right w:val="nil"/>
            </w:tcBorders>
            <w:shd w:val="clear" w:color="auto" w:fill="auto"/>
            <w:noWrap/>
            <w:vAlign w:val="center"/>
            <w:hideMark/>
          </w:tcPr>
          <w:p w14:paraId="73C9C8D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i/>
                <w:iCs/>
                <w:color w:val="000000"/>
                <w:sz w:val="16"/>
                <w:szCs w:val="16"/>
              </w:rPr>
              <w:t>t</w:t>
            </w:r>
            <w:r w:rsidRPr="009E0578">
              <w:rPr>
                <w:rFonts w:ascii="Century Schoolbook" w:eastAsia="Times New Roman" w:hAnsi="Century Schoolbook" w:cs="Times New Roman"/>
                <w:color w:val="000000"/>
                <w:sz w:val="18"/>
                <w:szCs w:val="18"/>
              </w:rPr>
              <w:t>-stat</w:t>
            </w:r>
          </w:p>
        </w:tc>
      </w:tr>
      <w:tr w:rsidR="005226A1" w:rsidRPr="009E0578" w14:paraId="596FD6C5" w14:textId="77777777" w:rsidTr="00D8387A">
        <w:trPr>
          <w:trHeight w:val="313"/>
        </w:trPr>
        <w:tc>
          <w:tcPr>
            <w:tcW w:w="0" w:type="auto"/>
            <w:gridSpan w:val="16"/>
            <w:tcBorders>
              <w:top w:val="nil"/>
              <w:left w:val="nil"/>
              <w:bottom w:val="nil"/>
              <w:right w:val="nil"/>
            </w:tcBorders>
            <w:shd w:val="clear" w:color="auto" w:fill="auto"/>
            <w:vAlign w:val="bottom"/>
            <w:hideMark/>
          </w:tcPr>
          <w:p w14:paraId="2B6193CD"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b/>
                <w:bCs/>
                <w:color w:val="000000"/>
                <w:sz w:val="18"/>
                <w:szCs w:val="18"/>
              </w:rPr>
              <w:t xml:space="preserve">Panel A. </w:t>
            </w:r>
            <w:r w:rsidRPr="009E0578">
              <w:rPr>
                <w:rFonts w:ascii="Century Schoolbook" w:eastAsia="Times New Roman" w:hAnsi="Century Schoolbook" w:cs="Times New Roman"/>
                <w:color w:val="000000"/>
                <w:sz w:val="18"/>
                <w:szCs w:val="18"/>
              </w:rPr>
              <w:t>Slow-turnover analyst</w:t>
            </w:r>
          </w:p>
        </w:tc>
      </w:tr>
      <w:tr w:rsidR="00D8387A" w:rsidRPr="009E0578" w14:paraId="0C2E2FDD" w14:textId="77777777" w:rsidTr="00D8387A">
        <w:trPr>
          <w:trHeight w:val="241"/>
        </w:trPr>
        <w:tc>
          <w:tcPr>
            <w:tcW w:w="0" w:type="auto"/>
            <w:tcBorders>
              <w:top w:val="nil"/>
              <w:left w:val="nil"/>
              <w:bottom w:val="nil"/>
              <w:right w:val="nil"/>
            </w:tcBorders>
            <w:shd w:val="clear" w:color="auto" w:fill="auto"/>
            <w:noWrap/>
            <w:vAlign w:val="bottom"/>
            <w:hideMark/>
          </w:tcPr>
          <w:p w14:paraId="328F1F5B"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30 days</w:t>
            </w:r>
          </w:p>
        </w:tc>
        <w:tc>
          <w:tcPr>
            <w:tcW w:w="0" w:type="auto"/>
            <w:tcBorders>
              <w:top w:val="nil"/>
              <w:left w:val="nil"/>
              <w:bottom w:val="nil"/>
              <w:right w:val="nil"/>
            </w:tcBorders>
            <w:shd w:val="clear" w:color="auto" w:fill="auto"/>
            <w:noWrap/>
            <w:vAlign w:val="bottom"/>
            <w:hideMark/>
          </w:tcPr>
          <w:p w14:paraId="37B2AD17"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CA72CB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Long</w:t>
            </w:r>
          </w:p>
        </w:tc>
        <w:tc>
          <w:tcPr>
            <w:tcW w:w="0" w:type="auto"/>
            <w:tcBorders>
              <w:top w:val="nil"/>
              <w:left w:val="nil"/>
              <w:bottom w:val="nil"/>
              <w:right w:val="nil"/>
            </w:tcBorders>
            <w:shd w:val="clear" w:color="auto" w:fill="auto"/>
            <w:noWrap/>
            <w:vAlign w:val="bottom"/>
            <w:hideMark/>
          </w:tcPr>
          <w:p w14:paraId="146A33E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4956083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62</w:t>
            </w:r>
          </w:p>
        </w:tc>
        <w:tc>
          <w:tcPr>
            <w:tcW w:w="0" w:type="auto"/>
            <w:tcBorders>
              <w:top w:val="nil"/>
              <w:left w:val="nil"/>
              <w:bottom w:val="nil"/>
              <w:right w:val="nil"/>
            </w:tcBorders>
            <w:shd w:val="clear" w:color="auto" w:fill="auto"/>
            <w:noWrap/>
            <w:vAlign w:val="bottom"/>
            <w:hideMark/>
          </w:tcPr>
          <w:p w14:paraId="048559D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4,280</w:t>
            </w:r>
          </w:p>
        </w:tc>
        <w:tc>
          <w:tcPr>
            <w:tcW w:w="0" w:type="auto"/>
            <w:tcBorders>
              <w:top w:val="nil"/>
              <w:left w:val="nil"/>
              <w:bottom w:val="nil"/>
              <w:right w:val="nil"/>
            </w:tcBorders>
            <w:shd w:val="clear" w:color="auto" w:fill="auto"/>
            <w:noWrap/>
            <w:vAlign w:val="bottom"/>
            <w:hideMark/>
          </w:tcPr>
          <w:p w14:paraId="0AD4EB6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0.072</w:t>
            </w:r>
          </w:p>
        </w:tc>
        <w:tc>
          <w:tcPr>
            <w:tcW w:w="0" w:type="auto"/>
            <w:tcBorders>
              <w:top w:val="nil"/>
              <w:left w:val="nil"/>
              <w:bottom w:val="nil"/>
              <w:right w:val="nil"/>
            </w:tcBorders>
            <w:shd w:val="clear" w:color="auto" w:fill="auto"/>
            <w:noWrap/>
            <w:vAlign w:val="bottom"/>
            <w:hideMark/>
          </w:tcPr>
          <w:p w14:paraId="25583EF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4573599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0.047</w:t>
            </w:r>
          </w:p>
        </w:tc>
        <w:tc>
          <w:tcPr>
            <w:tcW w:w="0" w:type="auto"/>
            <w:tcBorders>
              <w:top w:val="nil"/>
              <w:left w:val="nil"/>
              <w:bottom w:val="nil"/>
              <w:right w:val="nil"/>
            </w:tcBorders>
            <w:shd w:val="clear" w:color="auto" w:fill="auto"/>
            <w:noWrap/>
            <w:vAlign w:val="bottom"/>
            <w:hideMark/>
          </w:tcPr>
          <w:p w14:paraId="754034D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5.17</w:t>
            </w:r>
          </w:p>
        </w:tc>
        <w:tc>
          <w:tcPr>
            <w:tcW w:w="0" w:type="auto"/>
            <w:tcBorders>
              <w:top w:val="nil"/>
              <w:left w:val="nil"/>
              <w:bottom w:val="nil"/>
              <w:right w:val="nil"/>
            </w:tcBorders>
            <w:shd w:val="clear" w:color="auto" w:fill="auto"/>
            <w:noWrap/>
            <w:vAlign w:val="bottom"/>
            <w:hideMark/>
          </w:tcPr>
          <w:p w14:paraId="3B371CA7"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4C530DB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0.040</w:t>
            </w:r>
          </w:p>
        </w:tc>
        <w:tc>
          <w:tcPr>
            <w:tcW w:w="0" w:type="auto"/>
            <w:tcBorders>
              <w:top w:val="nil"/>
              <w:left w:val="nil"/>
              <w:bottom w:val="nil"/>
              <w:right w:val="nil"/>
            </w:tcBorders>
            <w:shd w:val="clear" w:color="auto" w:fill="auto"/>
            <w:noWrap/>
            <w:vAlign w:val="bottom"/>
            <w:hideMark/>
          </w:tcPr>
          <w:p w14:paraId="2941A6D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5.09</w:t>
            </w:r>
          </w:p>
        </w:tc>
        <w:tc>
          <w:tcPr>
            <w:tcW w:w="0" w:type="auto"/>
            <w:tcBorders>
              <w:top w:val="nil"/>
              <w:left w:val="nil"/>
              <w:bottom w:val="nil"/>
              <w:right w:val="nil"/>
            </w:tcBorders>
            <w:shd w:val="clear" w:color="auto" w:fill="auto"/>
            <w:noWrap/>
            <w:vAlign w:val="bottom"/>
            <w:hideMark/>
          </w:tcPr>
          <w:p w14:paraId="56A9F73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17D0D6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0.044</w:t>
            </w:r>
          </w:p>
        </w:tc>
        <w:tc>
          <w:tcPr>
            <w:tcW w:w="0" w:type="auto"/>
            <w:tcBorders>
              <w:top w:val="nil"/>
              <w:left w:val="nil"/>
              <w:bottom w:val="nil"/>
              <w:right w:val="nil"/>
            </w:tcBorders>
            <w:shd w:val="clear" w:color="auto" w:fill="auto"/>
            <w:noWrap/>
            <w:vAlign w:val="bottom"/>
            <w:hideMark/>
          </w:tcPr>
          <w:p w14:paraId="457748B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5.57</w:t>
            </w:r>
          </w:p>
        </w:tc>
      </w:tr>
      <w:tr w:rsidR="00D8387A" w:rsidRPr="009E0578" w14:paraId="37B57689" w14:textId="77777777" w:rsidTr="00D8387A">
        <w:trPr>
          <w:trHeight w:val="241"/>
        </w:trPr>
        <w:tc>
          <w:tcPr>
            <w:tcW w:w="0" w:type="auto"/>
            <w:tcBorders>
              <w:top w:val="nil"/>
              <w:left w:val="nil"/>
              <w:bottom w:val="nil"/>
              <w:right w:val="nil"/>
            </w:tcBorders>
            <w:shd w:val="clear" w:color="auto" w:fill="auto"/>
            <w:noWrap/>
            <w:vAlign w:val="bottom"/>
            <w:hideMark/>
          </w:tcPr>
          <w:p w14:paraId="62EEE36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019720D8"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DD3AEF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Short</w:t>
            </w:r>
          </w:p>
        </w:tc>
        <w:tc>
          <w:tcPr>
            <w:tcW w:w="0" w:type="auto"/>
            <w:tcBorders>
              <w:top w:val="nil"/>
              <w:left w:val="nil"/>
              <w:bottom w:val="nil"/>
              <w:right w:val="nil"/>
            </w:tcBorders>
            <w:shd w:val="clear" w:color="auto" w:fill="auto"/>
            <w:noWrap/>
            <w:vAlign w:val="bottom"/>
            <w:hideMark/>
          </w:tcPr>
          <w:p w14:paraId="5CEB67C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4DF86DC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79</w:t>
            </w:r>
          </w:p>
        </w:tc>
        <w:tc>
          <w:tcPr>
            <w:tcW w:w="0" w:type="auto"/>
            <w:tcBorders>
              <w:top w:val="nil"/>
              <w:left w:val="nil"/>
              <w:bottom w:val="nil"/>
              <w:right w:val="nil"/>
            </w:tcBorders>
            <w:shd w:val="clear" w:color="auto" w:fill="auto"/>
            <w:noWrap/>
            <w:vAlign w:val="bottom"/>
            <w:hideMark/>
          </w:tcPr>
          <w:p w14:paraId="4E977967"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4,280</w:t>
            </w:r>
          </w:p>
        </w:tc>
        <w:tc>
          <w:tcPr>
            <w:tcW w:w="0" w:type="auto"/>
            <w:tcBorders>
              <w:top w:val="nil"/>
              <w:left w:val="nil"/>
              <w:bottom w:val="nil"/>
              <w:right w:val="nil"/>
            </w:tcBorders>
            <w:shd w:val="clear" w:color="auto" w:fill="auto"/>
            <w:noWrap/>
            <w:vAlign w:val="bottom"/>
            <w:hideMark/>
          </w:tcPr>
          <w:p w14:paraId="24193AA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0.038</w:t>
            </w:r>
          </w:p>
        </w:tc>
        <w:tc>
          <w:tcPr>
            <w:tcW w:w="0" w:type="auto"/>
            <w:tcBorders>
              <w:top w:val="nil"/>
              <w:left w:val="nil"/>
              <w:bottom w:val="nil"/>
              <w:right w:val="nil"/>
            </w:tcBorders>
            <w:shd w:val="clear" w:color="auto" w:fill="auto"/>
            <w:noWrap/>
            <w:vAlign w:val="bottom"/>
            <w:hideMark/>
          </w:tcPr>
          <w:p w14:paraId="76EC41D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60A74DF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0.064</w:t>
            </w:r>
          </w:p>
        </w:tc>
        <w:tc>
          <w:tcPr>
            <w:tcW w:w="0" w:type="auto"/>
            <w:tcBorders>
              <w:top w:val="nil"/>
              <w:left w:val="nil"/>
              <w:bottom w:val="nil"/>
              <w:right w:val="nil"/>
            </w:tcBorders>
            <w:shd w:val="clear" w:color="auto" w:fill="auto"/>
            <w:noWrap/>
            <w:vAlign w:val="bottom"/>
            <w:hideMark/>
          </w:tcPr>
          <w:p w14:paraId="0D65F93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5.80</w:t>
            </w:r>
          </w:p>
        </w:tc>
        <w:tc>
          <w:tcPr>
            <w:tcW w:w="0" w:type="auto"/>
            <w:tcBorders>
              <w:top w:val="nil"/>
              <w:left w:val="nil"/>
              <w:bottom w:val="nil"/>
              <w:right w:val="nil"/>
            </w:tcBorders>
            <w:shd w:val="clear" w:color="auto" w:fill="auto"/>
            <w:noWrap/>
            <w:vAlign w:val="bottom"/>
            <w:hideMark/>
          </w:tcPr>
          <w:p w14:paraId="1C172EB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4068EE7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0.070</w:t>
            </w:r>
          </w:p>
        </w:tc>
        <w:tc>
          <w:tcPr>
            <w:tcW w:w="0" w:type="auto"/>
            <w:tcBorders>
              <w:top w:val="nil"/>
              <w:left w:val="nil"/>
              <w:bottom w:val="nil"/>
              <w:right w:val="nil"/>
            </w:tcBorders>
            <w:shd w:val="clear" w:color="auto" w:fill="auto"/>
            <w:noWrap/>
            <w:vAlign w:val="bottom"/>
            <w:hideMark/>
          </w:tcPr>
          <w:p w14:paraId="1492057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6.84</w:t>
            </w:r>
          </w:p>
        </w:tc>
        <w:tc>
          <w:tcPr>
            <w:tcW w:w="0" w:type="auto"/>
            <w:tcBorders>
              <w:top w:val="nil"/>
              <w:left w:val="nil"/>
              <w:bottom w:val="nil"/>
              <w:right w:val="nil"/>
            </w:tcBorders>
            <w:shd w:val="clear" w:color="auto" w:fill="auto"/>
            <w:noWrap/>
            <w:vAlign w:val="bottom"/>
            <w:hideMark/>
          </w:tcPr>
          <w:p w14:paraId="40E911E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485FC88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0.059</w:t>
            </w:r>
          </w:p>
        </w:tc>
        <w:tc>
          <w:tcPr>
            <w:tcW w:w="0" w:type="auto"/>
            <w:tcBorders>
              <w:top w:val="nil"/>
              <w:left w:val="nil"/>
              <w:bottom w:val="nil"/>
              <w:right w:val="nil"/>
            </w:tcBorders>
            <w:shd w:val="clear" w:color="auto" w:fill="auto"/>
            <w:noWrap/>
            <w:vAlign w:val="bottom"/>
            <w:hideMark/>
          </w:tcPr>
          <w:p w14:paraId="1D9D543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6.33</w:t>
            </w:r>
          </w:p>
        </w:tc>
      </w:tr>
      <w:tr w:rsidR="00D8387A" w:rsidRPr="009E0578" w14:paraId="27742E4D" w14:textId="77777777" w:rsidTr="00D8387A">
        <w:trPr>
          <w:trHeight w:val="241"/>
        </w:trPr>
        <w:tc>
          <w:tcPr>
            <w:tcW w:w="0" w:type="auto"/>
            <w:tcBorders>
              <w:top w:val="nil"/>
              <w:left w:val="nil"/>
              <w:bottom w:val="nil"/>
              <w:right w:val="nil"/>
            </w:tcBorders>
            <w:shd w:val="clear" w:color="auto" w:fill="auto"/>
            <w:noWrap/>
            <w:vAlign w:val="bottom"/>
            <w:hideMark/>
          </w:tcPr>
          <w:p w14:paraId="47913F7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2A3C559B"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67ACD693"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Long−Short</w:t>
            </w:r>
          </w:p>
        </w:tc>
        <w:tc>
          <w:tcPr>
            <w:tcW w:w="0" w:type="auto"/>
            <w:tcBorders>
              <w:top w:val="nil"/>
              <w:left w:val="nil"/>
              <w:bottom w:val="nil"/>
              <w:right w:val="nil"/>
            </w:tcBorders>
            <w:shd w:val="clear" w:color="auto" w:fill="auto"/>
            <w:noWrap/>
            <w:vAlign w:val="bottom"/>
            <w:hideMark/>
          </w:tcPr>
          <w:p w14:paraId="6CB0B93D"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52BF5252"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141</w:t>
            </w:r>
          </w:p>
        </w:tc>
        <w:tc>
          <w:tcPr>
            <w:tcW w:w="0" w:type="auto"/>
            <w:tcBorders>
              <w:top w:val="nil"/>
              <w:left w:val="nil"/>
              <w:bottom w:val="nil"/>
              <w:right w:val="nil"/>
            </w:tcBorders>
            <w:shd w:val="clear" w:color="auto" w:fill="auto"/>
            <w:noWrap/>
            <w:vAlign w:val="bottom"/>
            <w:hideMark/>
          </w:tcPr>
          <w:p w14:paraId="10C5E2B1"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4,280</w:t>
            </w:r>
          </w:p>
        </w:tc>
        <w:tc>
          <w:tcPr>
            <w:tcW w:w="0" w:type="auto"/>
            <w:tcBorders>
              <w:top w:val="nil"/>
              <w:left w:val="nil"/>
              <w:bottom w:val="nil"/>
              <w:right w:val="nil"/>
            </w:tcBorders>
            <w:shd w:val="clear" w:color="auto" w:fill="auto"/>
            <w:noWrap/>
            <w:vAlign w:val="bottom"/>
            <w:hideMark/>
          </w:tcPr>
          <w:p w14:paraId="12965E0B"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0.111</w:t>
            </w:r>
          </w:p>
        </w:tc>
        <w:tc>
          <w:tcPr>
            <w:tcW w:w="0" w:type="auto"/>
            <w:tcBorders>
              <w:top w:val="nil"/>
              <w:left w:val="nil"/>
              <w:bottom w:val="nil"/>
              <w:right w:val="nil"/>
            </w:tcBorders>
            <w:shd w:val="clear" w:color="auto" w:fill="auto"/>
            <w:noWrap/>
            <w:vAlign w:val="bottom"/>
            <w:hideMark/>
          </w:tcPr>
          <w:p w14:paraId="2DA29940"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51DDEA24"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0.111</w:t>
            </w:r>
          </w:p>
        </w:tc>
        <w:tc>
          <w:tcPr>
            <w:tcW w:w="0" w:type="auto"/>
            <w:tcBorders>
              <w:top w:val="nil"/>
              <w:left w:val="nil"/>
              <w:bottom w:val="nil"/>
              <w:right w:val="nil"/>
            </w:tcBorders>
            <w:shd w:val="clear" w:color="auto" w:fill="auto"/>
            <w:noWrap/>
            <w:vAlign w:val="bottom"/>
            <w:hideMark/>
          </w:tcPr>
          <w:p w14:paraId="496C4244"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9.95</w:t>
            </w:r>
          </w:p>
        </w:tc>
        <w:tc>
          <w:tcPr>
            <w:tcW w:w="0" w:type="auto"/>
            <w:tcBorders>
              <w:top w:val="nil"/>
              <w:left w:val="nil"/>
              <w:bottom w:val="nil"/>
              <w:right w:val="nil"/>
            </w:tcBorders>
            <w:shd w:val="clear" w:color="auto" w:fill="auto"/>
            <w:noWrap/>
            <w:vAlign w:val="bottom"/>
            <w:hideMark/>
          </w:tcPr>
          <w:p w14:paraId="593706B7"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2F09766B"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0.110</w:t>
            </w:r>
          </w:p>
        </w:tc>
        <w:tc>
          <w:tcPr>
            <w:tcW w:w="0" w:type="auto"/>
            <w:tcBorders>
              <w:top w:val="nil"/>
              <w:left w:val="nil"/>
              <w:bottom w:val="nil"/>
              <w:right w:val="nil"/>
            </w:tcBorders>
            <w:shd w:val="clear" w:color="auto" w:fill="auto"/>
            <w:noWrap/>
            <w:vAlign w:val="bottom"/>
            <w:hideMark/>
          </w:tcPr>
          <w:p w14:paraId="1910BBD8"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9.89</w:t>
            </w:r>
          </w:p>
        </w:tc>
        <w:tc>
          <w:tcPr>
            <w:tcW w:w="0" w:type="auto"/>
            <w:tcBorders>
              <w:top w:val="nil"/>
              <w:left w:val="nil"/>
              <w:bottom w:val="nil"/>
              <w:right w:val="nil"/>
            </w:tcBorders>
            <w:shd w:val="clear" w:color="auto" w:fill="auto"/>
            <w:noWrap/>
            <w:vAlign w:val="bottom"/>
            <w:hideMark/>
          </w:tcPr>
          <w:p w14:paraId="32030032"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382B56E1"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0.102</w:t>
            </w:r>
          </w:p>
        </w:tc>
        <w:tc>
          <w:tcPr>
            <w:tcW w:w="0" w:type="auto"/>
            <w:tcBorders>
              <w:top w:val="nil"/>
              <w:left w:val="nil"/>
              <w:bottom w:val="nil"/>
              <w:right w:val="nil"/>
            </w:tcBorders>
            <w:shd w:val="clear" w:color="auto" w:fill="auto"/>
            <w:noWrap/>
            <w:vAlign w:val="bottom"/>
            <w:hideMark/>
          </w:tcPr>
          <w:p w14:paraId="71B0D1F9"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9.53</w:t>
            </w:r>
          </w:p>
        </w:tc>
      </w:tr>
      <w:tr w:rsidR="00D8387A" w:rsidRPr="009E0578" w14:paraId="713A85BA" w14:textId="77777777" w:rsidTr="00D8387A">
        <w:trPr>
          <w:trHeight w:val="177"/>
        </w:trPr>
        <w:tc>
          <w:tcPr>
            <w:tcW w:w="0" w:type="auto"/>
            <w:tcBorders>
              <w:top w:val="nil"/>
              <w:left w:val="nil"/>
              <w:bottom w:val="nil"/>
              <w:right w:val="nil"/>
            </w:tcBorders>
            <w:shd w:val="clear" w:color="auto" w:fill="auto"/>
            <w:noWrap/>
            <w:vAlign w:val="bottom"/>
            <w:hideMark/>
          </w:tcPr>
          <w:p w14:paraId="2F2108B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2158AFB9"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625A121D"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3475CE6F"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267D4162"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2E4203E6"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359C6A58"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4CA87900"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7636D654"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30C952D9"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367C0BE6"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4FE151D1"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120CA1E9"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09AC191A"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2A4BA96D"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33AF902B"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r>
      <w:tr w:rsidR="00D8387A" w:rsidRPr="009E0578" w14:paraId="57712E41" w14:textId="77777777" w:rsidTr="00D8387A">
        <w:trPr>
          <w:trHeight w:val="241"/>
        </w:trPr>
        <w:tc>
          <w:tcPr>
            <w:tcW w:w="0" w:type="auto"/>
            <w:tcBorders>
              <w:top w:val="nil"/>
              <w:left w:val="nil"/>
              <w:bottom w:val="nil"/>
              <w:right w:val="nil"/>
            </w:tcBorders>
            <w:shd w:val="clear" w:color="auto" w:fill="auto"/>
            <w:noWrap/>
            <w:vAlign w:val="bottom"/>
            <w:hideMark/>
          </w:tcPr>
          <w:p w14:paraId="6D29350B"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60 days</w:t>
            </w:r>
          </w:p>
        </w:tc>
        <w:tc>
          <w:tcPr>
            <w:tcW w:w="0" w:type="auto"/>
            <w:tcBorders>
              <w:top w:val="nil"/>
              <w:left w:val="nil"/>
              <w:bottom w:val="nil"/>
              <w:right w:val="nil"/>
            </w:tcBorders>
            <w:shd w:val="clear" w:color="auto" w:fill="auto"/>
            <w:noWrap/>
            <w:vAlign w:val="bottom"/>
            <w:hideMark/>
          </w:tcPr>
          <w:p w14:paraId="60E4C63A"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43959A2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Long</w:t>
            </w:r>
          </w:p>
        </w:tc>
        <w:tc>
          <w:tcPr>
            <w:tcW w:w="0" w:type="auto"/>
            <w:tcBorders>
              <w:top w:val="nil"/>
              <w:left w:val="nil"/>
              <w:bottom w:val="nil"/>
              <w:right w:val="nil"/>
            </w:tcBorders>
            <w:shd w:val="clear" w:color="auto" w:fill="auto"/>
            <w:noWrap/>
            <w:vAlign w:val="bottom"/>
            <w:hideMark/>
          </w:tcPr>
          <w:p w14:paraId="5D489AE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456B284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124</w:t>
            </w:r>
          </w:p>
        </w:tc>
        <w:tc>
          <w:tcPr>
            <w:tcW w:w="0" w:type="auto"/>
            <w:tcBorders>
              <w:top w:val="nil"/>
              <w:left w:val="nil"/>
              <w:bottom w:val="nil"/>
              <w:right w:val="nil"/>
            </w:tcBorders>
            <w:shd w:val="clear" w:color="auto" w:fill="auto"/>
            <w:noWrap/>
            <w:vAlign w:val="bottom"/>
            <w:hideMark/>
          </w:tcPr>
          <w:p w14:paraId="3AF4BA2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4,280</w:t>
            </w:r>
          </w:p>
        </w:tc>
        <w:tc>
          <w:tcPr>
            <w:tcW w:w="0" w:type="auto"/>
            <w:tcBorders>
              <w:top w:val="nil"/>
              <w:left w:val="nil"/>
              <w:bottom w:val="nil"/>
              <w:right w:val="nil"/>
            </w:tcBorders>
            <w:shd w:val="clear" w:color="auto" w:fill="auto"/>
            <w:noWrap/>
            <w:vAlign w:val="bottom"/>
            <w:hideMark/>
          </w:tcPr>
          <w:p w14:paraId="59974BC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0.046</w:t>
            </w:r>
          </w:p>
        </w:tc>
        <w:tc>
          <w:tcPr>
            <w:tcW w:w="0" w:type="auto"/>
            <w:tcBorders>
              <w:top w:val="nil"/>
              <w:left w:val="nil"/>
              <w:bottom w:val="nil"/>
              <w:right w:val="nil"/>
            </w:tcBorders>
            <w:shd w:val="clear" w:color="auto" w:fill="auto"/>
            <w:noWrap/>
            <w:vAlign w:val="bottom"/>
            <w:hideMark/>
          </w:tcPr>
          <w:p w14:paraId="1C420B2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2CB36B94"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0.020</w:t>
            </w:r>
          </w:p>
        </w:tc>
        <w:tc>
          <w:tcPr>
            <w:tcW w:w="0" w:type="auto"/>
            <w:tcBorders>
              <w:top w:val="nil"/>
              <w:left w:val="nil"/>
              <w:bottom w:val="nil"/>
              <w:right w:val="nil"/>
            </w:tcBorders>
            <w:shd w:val="clear" w:color="auto" w:fill="auto"/>
            <w:noWrap/>
            <w:vAlign w:val="bottom"/>
            <w:hideMark/>
          </w:tcPr>
          <w:p w14:paraId="7A32E96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2.58</w:t>
            </w:r>
          </w:p>
        </w:tc>
        <w:tc>
          <w:tcPr>
            <w:tcW w:w="0" w:type="auto"/>
            <w:tcBorders>
              <w:top w:val="nil"/>
              <w:left w:val="nil"/>
              <w:bottom w:val="nil"/>
              <w:right w:val="nil"/>
            </w:tcBorders>
            <w:shd w:val="clear" w:color="auto" w:fill="auto"/>
            <w:noWrap/>
            <w:vAlign w:val="bottom"/>
            <w:hideMark/>
          </w:tcPr>
          <w:p w14:paraId="0E2FF53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60DE599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0.013</w:t>
            </w:r>
          </w:p>
        </w:tc>
        <w:tc>
          <w:tcPr>
            <w:tcW w:w="0" w:type="auto"/>
            <w:tcBorders>
              <w:top w:val="nil"/>
              <w:left w:val="nil"/>
              <w:bottom w:val="nil"/>
              <w:right w:val="nil"/>
            </w:tcBorders>
            <w:shd w:val="clear" w:color="auto" w:fill="auto"/>
            <w:noWrap/>
            <w:vAlign w:val="bottom"/>
            <w:hideMark/>
          </w:tcPr>
          <w:p w14:paraId="4D204C0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2.12</w:t>
            </w:r>
          </w:p>
        </w:tc>
        <w:tc>
          <w:tcPr>
            <w:tcW w:w="0" w:type="auto"/>
            <w:tcBorders>
              <w:top w:val="nil"/>
              <w:left w:val="nil"/>
              <w:bottom w:val="nil"/>
              <w:right w:val="nil"/>
            </w:tcBorders>
            <w:shd w:val="clear" w:color="auto" w:fill="auto"/>
            <w:noWrap/>
            <w:vAlign w:val="bottom"/>
            <w:hideMark/>
          </w:tcPr>
          <w:p w14:paraId="6B107AC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7243423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0.016</w:t>
            </w:r>
          </w:p>
        </w:tc>
        <w:tc>
          <w:tcPr>
            <w:tcW w:w="0" w:type="auto"/>
            <w:tcBorders>
              <w:top w:val="nil"/>
              <w:left w:val="nil"/>
              <w:bottom w:val="nil"/>
              <w:right w:val="nil"/>
            </w:tcBorders>
            <w:shd w:val="clear" w:color="auto" w:fill="auto"/>
            <w:noWrap/>
            <w:vAlign w:val="bottom"/>
            <w:hideMark/>
          </w:tcPr>
          <w:p w14:paraId="19511A7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2.60</w:t>
            </w:r>
          </w:p>
        </w:tc>
      </w:tr>
      <w:tr w:rsidR="00D8387A" w:rsidRPr="009E0578" w14:paraId="2B1DD22A" w14:textId="77777777" w:rsidTr="00D8387A">
        <w:trPr>
          <w:trHeight w:val="241"/>
        </w:trPr>
        <w:tc>
          <w:tcPr>
            <w:tcW w:w="0" w:type="auto"/>
            <w:tcBorders>
              <w:top w:val="nil"/>
              <w:left w:val="nil"/>
              <w:bottom w:val="nil"/>
              <w:right w:val="nil"/>
            </w:tcBorders>
            <w:shd w:val="clear" w:color="auto" w:fill="auto"/>
            <w:noWrap/>
            <w:vAlign w:val="bottom"/>
            <w:hideMark/>
          </w:tcPr>
          <w:p w14:paraId="2C086A7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9E89AC3"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B8614A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Short</w:t>
            </w:r>
          </w:p>
        </w:tc>
        <w:tc>
          <w:tcPr>
            <w:tcW w:w="0" w:type="auto"/>
            <w:tcBorders>
              <w:top w:val="nil"/>
              <w:left w:val="nil"/>
              <w:bottom w:val="nil"/>
              <w:right w:val="nil"/>
            </w:tcBorders>
            <w:shd w:val="clear" w:color="auto" w:fill="auto"/>
            <w:noWrap/>
            <w:vAlign w:val="bottom"/>
            <w:hideMark/>
          </w:tcPr>
          <w:p w14:paraId="71D29D5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37EACA34"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156</w:t>
            </w:r>
          </w:p>
        </w:tc>
        <w:tc>
          <w:tcPr>
            <w:tcW w:w="0" w:type="auto"/>
            <w:tcBorders>
              <w:top w:val="nil"/>
              <w:left w:val="nil"/>
              <w:bottom w:val="nil"/>
              <w:right w:val="nil"/>
            </w:tcBorders>
            <w:shd w:val="clear" w:color="auto" w:fill="auto"/>
            <w:noWrap/>
            <w:vAlign w:val="bottom"/>
            <w:hideMark/>
          </w:tcPr>
          <w:p w14:paraId="455BFE56"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4,280</w:t>
            </w:r>
          </w:p>
        </w:tc>
        <w:tc>
          <w:tcPr>
            <w:tcW w:w="0" w:type="auto"/>
            <w:tcBorders>
              <w:top w:val="nil"/>
              <w:left w:val="nil"/>
              <w:bottom w:val="nil"/>
              <w:right w:val="nil"/>
            </w:tcBorders>
            <w:shd w:val="clear" w:color="auto" w:fill="auto"/>
            <w:noWrap/>
            <w:vAlign w:val="bottom"/>
            <w:hideMark/>
          </w:tcPr>
          <w:p w14:paraId="75391416"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0.041</w:t>
            </w:r>
          </w:p>
        </w:tc>
        <w:tc>
          <w:tcPr>
            <w:tcW w:w="0" w:type="auto"/>
            <w:tcBorders>
              <w:top w:val="nil"/>
              <w:left w:val="nil"/>
              <w:bottom w:val="nil"/>
              <w:right w:val="nil"/>
            </w:tcBorders>
            <w:shd w:val="clear" w:color="auto" w:fill="auto"/>
            <w:noWrap/>
            <w:vAlign w:val="bottom"/>
            <w:hideMark/>
          </w:tcPr>
          <w:p w14:paraId="29C490F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74F95E9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0.067</w:t>
            </w:r>
          </w:p>
        </w:tc>
        <w:tc>
          <w:tcPr>
            <w:tcW w:w="0" w:type="auto"/>
            <w:tcBorders>
              <w:top w:val="nil"/>
              <w:left w:val="nil"/>
              <w:bottom w:val="nil"/>
              <w:right w:val="nil"/>
            </w:tcBorders>
            <w:shd w:val="clear" w:color="auto" w:fill="auto"/>
            <w:noWrap/>
            <w:vAlign w:val="bottom"/>
            <w:hideMark/>
          </w:tcPr>
          <w:p w14:paraId="1DAFB0E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7.13</w:t>
            </w:r>
          </w:p>
        </w:tc>
        <w:tc>
          <w:tcPr>
            <w:tcW w:w="0" w:type="auto"/>
            <w:tcBorders>
              <w:top w:val="nil"/>
              <w:left w:val="nil"/>
              <w:bottom w:val="nil"/>
              <w:right w:val="nil"/>
            </w:tcBorders>
            <w:shd w:val="clear" w:color="auto" w:fill="auto"/>
            <w:noWrap/>
            <w:vAlign w:val="bottom"/>
            <w:hideMark/>
          </w:tcPr>
          <w:p w14:paraId="7822A87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64A6DF6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0.074</w:t>
            </w:r>
          </w:p>
        </w:tc>
        <w:tc>
          <w:tcPr>
            <w:tcW w:w="0" w:type="auto"/>
            <w:tcBorders>
              <w:top w:val="nil"/>
              <w:left w:val="nil"/>
              <w:bottom w:val="nil"/>
              <w:right w:val="nil"/>
            </w:tcBorders>
            <w:shd w:val="clear" w:color="auto" w:fill="auto"/>
            <w:noWrap/>
            <w:vAlign w:val="bottom"/>
            <w:hideMark/>
          </w:tcPr>
          <w:p w14:paraId="70D59FE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8.89</w:t>
            </w:r>
          </w:p>
        </w:tc>
        <w:tc>
          <w:tcPr>
            <w:tcW w:w="0" w:type="auto"/>
            <w:tcBorders>
              <w:top w:val="nil"/>
              <w:left w:val="nil"/>
              <w:bottom w:val="nil"/>
              <w:right w:val="nil"/>
            </w:tcBorders>
            <w:shd w:val="clear" w:color="auto" w:fill="auto"/>
            <w:noWrap/>
            <w:vAlign w:val="bottom"/>
            <w:hideMark/>
          </w:tcPr>
          <w:p w14:paraId="4E63415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0CDC4D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0.064</w:t>
            </w:r>
          </w:p>
        </w:tc>
        <w:tc>
          <w:tcPr>
            <w:tcW w:w="0" w:type="auto"/>
            <w:tcBorders>
              <w:top w:val="nil"/>
              <w:left w:val="nil"/>
              <w:bottom w:val="nil"/>
              <w:right w:val="nil"/>
            </w:tcBorders>
            <w:shd w:val="clear" w:color="auto" w:fill="auto"/>
            <w:noWrap/>
            <w:vAlign w:val="bottom"/>
            <w:hideMark/>
          </w:tcPr>
          <w:p w14:paraId="0104AAE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8.67</w:t>
            </w:r>
          </w:p>
        </w:tc>
      </w:tr>
      <w:tr w:rsidR="00D8387A" w:rsidRPr="009E0578" w14:paraId="2CFA171D" w14:textId="77777777" w:rsidTr="00D8387A">
        <w:trPr>
          <w:trHeight w:val="241"/>
        </w:trPr>
        <w:tc>
          <w:tcPr>
            <w:tcW w:w="0" w:type="auto"/>
            <w:tcBorders>
              <w:top w:val="nil"/>
              <w:left w:val="nil"/>
              <w:bottom w:val="nil"/>
              <w:right w:val="nil"/>
            </w:tcBorders>
            <w:shd w:val="clear" w:color="auto" w:fill="auto"/>
            <w:noWrap/>
            <w:vAlign w:val="bottom"/>
            <w:hideMark/>
          </w:tcPr>
          <w:p w14:paraId="3214521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09E814E"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D364F6"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Long−Short</w:t>
            </w:r>
          </w:p>
        </w:tc>
        <w:tc>
          <w:tcPr>
            <w:tcW w:w="0" w:type="auto"/>
            <w:tcBorders>
              <w:top w:val="nil"/>
              <w:left w:val="nil"/>
              <w:bottom w:val="nil"/>
              <w:right w:val="nil"/>
            </w:tcBorders>
            <w:shd w:val="clear" w:color="auto" w:fill="auto"/>
            <w:noWrap/>
            <w:vAlign w:val="bottom"/>
            <w:hideMark/>
          </w:tcPr>
          <w:p w14:paraId="27D52ECD"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387124A6"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279</w:t>
            </w:r>
          </w:p>
        </w:tc>
        <w:tc>
          <w:tcPr>
            <w:tcW w:w="0" w:type="auto"/>
            <w:tcBorders>
              <w:top w:val="nil"/>
              <w:left w:val="nil"/>
              <w:bottom w:val="nil"/>
              <w:right w:val="nil"/>
            </w:tcBorders>
            <w:shd w:val="clear" w:color="auto" w:fill="auto"/>
            <w:noWrap/>
            <w:vAlign w:val="bottom"/>
            <w:hideMark/>
          </w:tcPr>
          <w:p w14:paraId="6797B44B"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4,280</w:t>
            </w:r>
          </w:p>
        </w:tc>
        <w:tc>
          <w:tcPr>
            <w:tcW w:w="0" w:type="auto"/>
            <w:tcBorders>
              <w:top w:val="nil"/>
              <w:left w:val="nil"/>
              <w:bottom w:val="nil"/>
              <w:right w:val="nil"/>
            </w:tcBorders>
            <w:shd w:val="clear" w:color="auto" w:fill="auto"/>
            <w:noWrap/>
            <w:vAlign w:val="bottom"/>
            <w:hideMark/>
          </w:tcPr>
          <w:p w14:paraId="41EC7FBB"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0.088</w:t>
            </w:r>
          </w:p>
        </w:tc>
        <w:tc>
          <w:tcPr>
            <w:tcW w:w="0" w:type="auto"/>
            <w:tcBorders>
              <w:top w:val="nil"/>
              <w:left w:val="nil"/>
              <w:bottom w:val="nil"/>
              <w:right w:val="nil"/>
            </w:tcBorders>
            <w:shd w:val="clear" w:color="auto" w:fill="auto"/>
            <w:noWrap/>
            <w:vAlign w:val="bottom"/>
            <w:hideMark/>
          </w:tcPr>
          <w:p w14:paraId="28ED04A6"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27D8145F"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0.087</w:t>
            </w:r>
          </w:p>
        </w:tc>
        <w:tc>
          <w:tcPr>
            <w:tcW w:w="0" w:type="auto"/>
            <w:tcBorders>
              <w:top w:val="nil"/>
              <w:left w:val="nil"/>
              <w:bottom w:val="nil"/>
              <w:right w:val="nil"/>
            </w:tcBorders>
            <w:shd w:val="clear" w:color="auto" w:fill="auto"/>
            <w:noWrap/>
            <w:vAlign w:val="bottom"/>
            <w:hideMark/>
          </w:tcPr>
          <w:p w14:paraId="27923F9A"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10.45</w:t>
            </w:r>
          </w:p>
        </w:tc>
        <w:tc>
          <w:tcPr>
            <w:tcW w:w="0" w:type="auto"/>
            <w:tcBorders>
              <w:top w:val="nil"/>
              <w:left w:val="nil"/>
              <w:bottom w:val="nil"/>
              <w:right w:val="nil"/>
            </w:tcBorders>
            <w:shd w:val="clear" w:color="auto" w:fill="auto"/>
            <w:noWrap/>
            <w:vAlign w:val="bottom"/>
            <w:hideMark/>
          </w:tcPr>
          <w:p w14:paraId="309ECE8A"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57664492"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0.087</w:t>
            </w:r>
          </w:p>
        </w:tc>
        <w:tc>
          <w:tcPr>
            <w:tcW w:w="0" w:type="auto"/>
            <w:tcBorders>
              <w:top w:val="nil"/>
              <w:left w:val="nil"/>
              <w:bottom w:val="nil"/>
              <w:right w:val="nil"/>
            </w:tcBorders>
            <w:shd w:val="clear" w:color="auto" w:fill="auto"/>
            <w:noWrap/>
            <w:vAlign w:val="bottom"/>
            <w:hideMark/>
          </w:tcPr>
          <w:p w14:paraId="096176F9"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10.39</w:t>
            </w:r>
          </w:p>
        </w:tc>
        <w:tc>
          <w:tcPr>
            <w:tcW w:w="0" w:type="auto"/>
            <w:tcBorders>
              <w:top w:val="nil"/>
              <w:left w:val="nil"/>
              <w:bottom w:val="nil"/>
              <w:right w:val="nil"/>
            </w:tcBorders>
            <w:shd w:val="clear" w:color="auto" w:fill="auto"/>
            <w:noWrap/>
            <w:vAlign w:val="bottom"/>
            <w:hideMark/>
          </w:tcPr>
          <w:p w14:paraId="7B1DF171"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46C464BA"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0.080</w:t>
            </w:r>
          </w:p>
        </w:tc>
        <w:tc>
          <w:tcPr>
            <w:tcW w:w="0" w:type="auto"/>
            <w:tcBorders>
              <w:top w:val="nil"/>
              <w:left w:val="nil"/>
              <w:bottom w:val="nil"/>
              <w:right w:val="nil"/>
            </w:tcBorders>
            <w:shd w:val="clear" w:color="auto" w:fill="auto"/>
            <w:noWrap/>
            <w:vAlign w:val="bottom"/>
            <w:hideMark/>
          </w:tcPr>
          <w:p w14:paraId="775903F7"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10.09</w:t>
            </w:r>
          </w:p>
        </w:tc>
      </w:tr>
      <w:tr w:rsidR="00D8387A" w:rsidRPr="009E0578" w14:paraId="2888416C" w14:textId="77777777" w:rsidTr="00D8387A">
        <w:trPr>
          <w:trHeight w:val="241"/>
        </w:trPr>
        <w:tc>
          <w:tcPr>
            <w:tcW w:w="0" w:type="auto"/>
            <w:tcBorders>
              <w:top w:val="nil"/>
              <w:left w:val="nil"/>
              <w:bottom w:val="nil"/>
              <w:right w:val="nil"/>
            </w:tcBorders>
            <w:shd w:val="clear" w:color="auto" w:fill="auto"/>
            <w:noWrap/>
            <w:vAlign w:val="bottom"/>
            <w:hideMark/>
          </w:tcPr>
          <w:p w14:paraId="11557B1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17600D1B"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AE37FED"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4AF8D00"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DC1140A"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32A91B6"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24B0F0"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1A4950B"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F6A722"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E768F8E" w14:textId="77777777" w:rsidR="005226A1" w:rsidRPr="009E0578" w:rsidRDefault="005226A1" w:rsidP="00AA262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56E0A02"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982DD3F"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6E90A7"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8B03D8B"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C35E666"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AD495EB" w14:textId="77777777" w:rsidR="005226A1" w:rsidRPr="009E0578" w:rsidRDefault="005226A1" w:rsidP="00AA2627">
            <w:pPr>
              <w:spacing w:after="0" w:line="240" w:lineRule="auto"/>
              <w:rPr>
                <w:rFonts w:ascii="Times New Roman" w:eastAsia="Times New Roman" w:hAnsi="Times New Roman" w:cs="Times New Roman"/>
                <w:sz w:val="20"/>
                <w:szCs w:val="20"/>
              </w:rPr>
            </w:pPr>
          </w:p>
        </w:tc>
      </w:tr>
      <w:tr w:rsidR="00D8387A" w:rsidRPr="009E0578" w14:paraId="2F5BBB48" w14:textId="77777777" w:rsidTr="00D8387A">
        <w:trPr>
          <w:trHeight w:val="241"/>
        </w:trPr>
        <w:tc>
          <w:tcPr>
            <w:tcW w:w="0" w:type="auto"/>
            <w:tcBorders>
              <w:top w:val="nil"/>
              <w:left w:val="nil"/>
              <w:bottom w:val="nil"/>
              <w:right w:val="nil"/>
            </w:tcBorders>
            <w:shd w:val="clear" w:color="auto" w:fill="auto"/>
            <w:noWrap/>
            <w:vAlign w:val="bottom"/>
            <w:hideMark/>
          </w:tcPr>
          <w:p w14:paraId="0E42990A"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120 days</w:t>
            </w:r>
          </w:p>
        </w:tc>
        <w:tc>
          <w:tcPr>
            <w:tcW w:w="0" w:type="auto"/>
            <w:tcBorders>
              <w:top w:val="nil"/>
              <w:left w:val="nil"/>
              <w:bottom w:val="nil"/>
              <w:right w:val="nil"/>
            </w:tcBorders>
            <w:shd w:val="clear" w:color="auto" w:fill="auto"/>
            <w:noWrap/>
            <w:vAlign w:val="bottom"/>
            <w:hideMark/>
          </w:tcPr>
          <w:p w14:paraId="2BF5CF14"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1015FFD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Long</w:t>
            </w:r>
          </w:p>
        </w:tc>
        <w:tc>
          <w:tcPr>
            <w:tcW w:w="0" w:type="auto"/>
            <w:tcBorders>
              <w:top w:val="nil"/>
              <w:left w:val="nil"/>
              <w:bottom w:val="nil"/>
              <w:right w:val="nil"/>
            </w:tcBorders>
            <w:shd w:val="clear" w:color="auto" w:fill="auto"/>
            <w:noWrap/>
            <w:vAlign w:val="bottom"/>
            <w:hideMark/>
          </w:tcPr>
          <w:p w14:paraId="3703CEB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281D270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245</w:t>
            </w:r>
          </w:p>
        </w:tc>
        <w:tc>
          <w:tcPr>
            <w:tcW w:w="0" w:type="auto"/>
            <w:tcBorders>
              <w:top w:val="nil"/>
              <w:left w:val="nil"/>
              <w:bottom w:val="nil"/>
              <w:right w:val="nil"/>
            </w:tcBorders>
            <w:shd w:val="clear" w:color="auto" w:fill="auto"/>
            <w:noWrap/>
            <w:vAlign w:val="bottom"/>
            <w:hideMark/>
          </w:tcPr>
          <w:p w14:paraId="016E2EE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4,280</w:t>
            </w:r>
          </w:p>
        </w:tc>
        <w:tc>
          <w:tcPr>
            <w:tcW w:w="0" w:type="auto"/>
            <w:tcBorders>
              <w:top w:val="nil"/>
              <w:left w:val="nil"/>
              <w:bottom w:val="nil"/>
              <w:right w:val="nil"/>
            </w:tcBorders>
            <w:shd w:val="clear" w:color="auto" w:fill="auto"/>
            <w:noWrap/>
            <w:vAlign w:val="bottom"/>
            <w:hideMark/>
          </w:tcPr>
          <w:p w14:paraId="7B09153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0.032</w:t>
            </w:r>
          </w:p>
        </w:tc>
        <w:tc>
          <w:tcPr>
            <w:tcW w:w="0" w:type="auto"/>
            <w:tcBorders>
              <w:top w:val="nil"/>
              <w:left w:val="nil"/>
              <w:bottom w:val="nil"/>
              <w:right w:val="nil"/>
            </w:tcBorders>
            <w:shd w:val="clear" w:color="auto" w:fill="auto"/>
            <w:noWrap/>
            <w:vAlign w:val="bottom"/>
            <w:hideMark/>
          </w:tcPr>
          <w:p w14:paraId="2680215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1C8C191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0.005</w:t>
            </w:r>
          </w:p>
        </w:tc>
        <w:tc>
          <w:tcPr>
            <w:tcW w:w="0" w:type="auto"/>
            <w:tcBorders>
              <w:top w:val="nil"/>
              <w:left w:val="nil"/>
              <w:bottom w:val="nil"/>
              <w:right w:val="nil"/>
            </w:tcBorders>
            <w:shd w:val="clear" w:color="auto" w:fill="auto"/>
            <w:noWrap/>
            <w:vAlign w:val="bottom"/>
            <w:hideMark/>
          </w:tcPr>
          <w:p w14:paraId="45AB655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0.74</w:t>
            </w:r>
          </w:p>
        </w:tc>
        <w:tc>
          <w:tcPr>
            <w:tcW w:w="0" w:type="auto"/>
            <w:tcBorders>
              <w:top w:val="nil"/>
              <w:left w:val="nil"/>
              <w:bottom w:val="nil"/>
              <w:right w:val="nil"/>
            </w:tcBorders>
            <w:shd w:val="clear" w:color="auto" w:fill="auto"/>
            <w:noWrap/>
            <w:vAlign w:val="bottom"/>
            <w:hideMark/>
          </w:tcPr>
          <w:p w14:paraId="5B5AA5B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3F94871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0.002</w:t>
            </w:r>
          </w:p>
        </w:tc>
        <w:tc>
          <w:tcPr>
            <w:tcW w:w="0" w:type="auto"/>
            <w:tcBorders>
              <w:top w:val="nil"/>
              <w:left w:val="nil"/>
              <w:bottom w:val="nil"/>
              <w:right w:val="nil"/>
            </w:tcBorders>
            <w:shd w:val="clear" w:color="auto" w:fill="auto"/>
            <w:noWrap/>
            <w:vAlign w:val="bottom"/>
            <w:hideMark/>
          </w:tcPr>
          <w:p w14:paraId="40106CB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0.32</w:t>
            </w:r>
          </w:p>
        </w:tc>
        <w:tc>
          <w:tcPr>
            <w:tcW w:w="0" w:type="auto"/>
            <w:tcBorders>
              <w:top w:val="nil"/>
              <w:left w:val="nil"/>
              <w:bottom w:val="nil"/>
              <w:right w:val="nil"/>
            </w:tcBorders>
            <w:shd w:val="clear" w:color="auto" w:fill="auto"/>
            <w:noWrap/>
            <w:vAlign w:val="bottom"/>
            <w:hideMark/>
          </w:tcPr>
          <w:p w14:paraId="51280BD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085A0827"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0.001</w:t>
            </w:r>
          </w:p>
        </w:tc>
        <w:tc>
          <w:tcPr>
            <w:tcW w:w="0" w:type="auto"/>
            <w:tcBorders>
              <w:top w:val="nil"/>
              <w:left w:val="nil"/>
              <w:bottom w:val="nil"/>
              <w:right w:val="nil"/>
            </w:tcBorders>
            <w:shd w:val="clear" w:color="auto" w:fill="auto"/>
            <w:noWrap/>
            <w:vAlign w:val="bottom"/>
            <w:hideMark/>
          </w:tcPr>
          <w:p w14:paraId="00F76EA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0.10</w:t>
            </w:r>
          </w:p>
        </w:tc>
      </w:tr>
      <w:tr w:rsidR="00D8387A" w:rsidRPr="009E0578" w14:paraId="44ABBA74" w14:textId="77777777" w:rsidTr="00D8387A">
        <w:trPr>
          <w:trHeight w:val="241"/>
        </w:trPr>
        <w:tc>
          <w:tcPr>
            <w:tcW w:w="0" w:type="auto"/>
            <w:tcBorders>
              <w:top w:val="nil"/>
              <w:left w:val="nil"/>
              <w:bottom w:val="nil"/>
              <w:right w:val="nil"/>
            </w:tcBorders>
            <w:shd w:val="clear" w:color="auto" w:fill="auto"/>
            <w:noWrap/>
            <w:vAlign w:val="bottom"/>
            <w:hideMark/>
          </w:tcPr>
          <w:p w14:paraId="6D2C73C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D6173BD"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A1F9F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Short</w:t>
            </w:r>
          </w:p>
        </w:tc>
        <w:tc>
          <w:tcPr>
            <w:tcW w:w="0" w:type="auto"/>
            <w:tcBorders>
              <w:top w:val="nil"/>
              <w:left w:val="nil"/>
              <w:bottom w:val="nil"/>
              <w:right w:val="nil"/>
            </w:tcBorders>
            <w:shd w:val="clear" w:color="auto" w:fill="auto"/>
            <w:noWrap/>
            <w:vAlign w:val="bottom"/>
            <w:hideMark/>
          </w:tcPr>
          <w:p w14:paraId="26FE7C0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0BE9CEF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304</w:t>
            </w:r>
          </w:p>
        </w:tc>
        <w:tc>
          <w:tcPr>
            <w:tcW w:w="0" w:type="auto"/>
            <w:tcBorders>
              <w:top w:val="nil"/>
              <w:left w:val="nil"/>
              <w:bottom w:val="nil"/>
              <w:right w:val="nil"/>
            </w:tcBorders>
            <w:shd w:val="clear" w:color="auto" w:fill="auto"/>
            <w:noWrap/>
            <w:vAlign w:val="bottom"/>
            <w:hideMark/>
          </w:tcPr>
          <w:p w14:paraId="23B5EE8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4,280</w:t>
            </w:r>
          </w:p>
        </w:tc>
        <w:tc>
          <w:tcPr>
            <w:tcW w:w="0" w:type="auto"/>
            <w:tcBorders>
              <w:top w:val="nil"/>
              <w:left w:val="nil"/>
              <w:bottom w:val="nil"/>
              <w:right w:val="nil"/>
            </w:tcBorders>
            <w:shd w:val="clear" w:color="auto" w:fill="auto"/>
            <w:noWrap/>
            <w:vAlign w:val="bottom"/>
            <w:hideMark/>
          </w:tcPr>
          <w:p w14:paraId="158CF3EF"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0.027</w:t>
            </w:r>
          </w:p>
        </w:tc>
        <w:tc>
          <w:tcPr>
            <w:tcW w:w="0" w:type="auto"/>
            <w:tcBorders>
              <w:top w:val="nil"/>
              <w:left w:val="nil"/>
              <w:bottom w:val="nil"/>
              <w:right w:val="nil"/>
            </w:tcBorders>
            <w:shd w:val="clear" w:color="auto" w:fill="auto"/>
            <w:noWrap/>
            <w:vAlign w:val="bottom"/>
            <w:hideMark/>
          </w:tcPr>
          <w:p w14:paraId="5B76DC7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79F45D07"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0.053</w:t>
            </w:r>
          </w:p>
        </w:tc>
        <w:tc>
          <w:tcPr>
            <w:tcW w:w="0" w:type="auto"/>
            <w:tcBorders>
              <w:top w:val="nil"/>
              <w:left w:val="nil"/>
              <w:bottom w:val="nil"/>
              <w:right w:val="nil"/>
            </w:tcBorders>
            <w:shd w:val="clear" w:color="auto" w:fill="auto"/>
            <w:noWrap/>
            <w:vAlign w:val="bottom"/>
            <w:hideMark/>
          </w:tcPr>
          <w:p w14:paraId="2EA1BE4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6.36</w:t>
            </w:r>
          </w:p>
        </w:tc>
        <w:tc>
          <w:tcPr>
            <w:tcW w:w="0" w:type="auto"/>
            <w:tcBorders>
              <w:top w:val="nil"/>
              <w:left w:val="nil"/>
              <w:bottom w:val="nil"/>
              <w:right w:val="nil"/>
            </w:tcBorders>
            <w:shd w:val="clear" w:color="auto" w:fill="auto"/>
            <w:noWrap/>
            <w:vAlign w:val="bottom"/>
            <w:hideMark/>
          </w:tcPr>
          <w:p w14:paraId="0E0E1AB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4E22AAC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0.060</w:t>
            </w:r>
          </w:p>
        </w:tc>
        <w:tc>
          <w:tcPr>
            <w:tcW w:w="0" w:type="auto"/>
            <w:tcBorders>
              <w:top w:val="nil"/>
              <w:left w:val="nil"/>
              <w:bottom w:val="nil"/>
              <w:right w:val="nil"/>
            </w:tcBorders>
            <w:shd w:val="clear" w:color="auto" w:fill="auto"/>
            <w:noWrap/>
            <w:vAlign w:val="bottom"/>
            <w:hideMark/>
          </w:tcPr>
          <w:p w14:paraId="22FF64A6"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8.86</w:t>
            </w:r>
          </w:p>
        </w:tc>
        <w:tc>
          <w:tcPr>
            <w:tcW w:w="0" w:type="auto"/>
            <w:tcBorders>
              <w:top w:val="nil"/>
              <w:left w:val="nil"/>
              <w:bottom w:val="nil"/>
              <w:right w:val="nil"/>
            </w:tcBorders>
            <w:shd w:val="clear" w:color="auto" w:fill="auto"/>
            <w:noWrap/>
            <w:vAlign w:val="bottom"/>
            <w:hideMark/>
          </w:tcPr>
          <w:p w14:paraId="3AC4F68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3132FBD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0.052</w:t>
            </w:r>
          </w:p>
        </w:tc>
        <w:tc>
          <w:tcPr>
            <w:tcW w:w="0" w:type="auto"/>
            <w:tcBorders>
              <w:top w:val="nil"/>
              <w:left w:val="nil"/>
              <w:bottom w:val="nil"/>
              <w:right w:val="nil"/>
            </w:tcBorders>
            <w:shd w:val="clear" w:color="auto" w:fill="auto"/>
            <w:noWrap/>
            <w:vAlign w:val="bottom"/>
            <w:hideMark/>
          </w:tcPr>
          <w:p w14:paraId="0BF4AD5F"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8.64</w:t>
            </w:r>
          </w:p>
        </w:tc>
      </w:tr>
      <w:tr w:rsidR="00D8387A" w:rsidRPr="009E0578" w14:paraId="5D2B0D5C" w14:textId="77777777" w:rsidTr="00D8387A">
        <w:trPr>
          <w:trHeight w:val="241"/>
        </w:trPr>
        <w:tc>
          <w:tcPr>
            <w:tcW w:w="0" w:type="auto"/>
            <w:tcBorders>
              <w:top w:val="nil"/>
              <w:left w:val="nil"/>
              <w:bottom w:val="nil"/>
              <w:right w:val="nil"/>
            </w:tcBorders>
            <w:shd w:val="clear" w:color="auto" w:fill="auto"/>
            <w:noWrap/>
            <w:vAlign w:val="bottom"/>
            <w:hideMark/>
          </w:tcPr>
          <w:p w14:paraId="0B1CBCA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687EE5BA"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7400934"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Long−Short</w:t>
            </w:r>
          </w:p>
        </w:tc>
        <w:tc>
          <w:tcPr>
            <w:tcW w:w="0" w:type="auto"/>
            <w:tcBorders>
              <w:top w:val="nil"/>
              <w:left w:val="nil"/>
              <w:bottom w:val="nil"/>
              <w:right w:val="nil"/>
            </w:tcBorders>
            <w:shd w:val="clear" w:color="auto" w:fill="auto"/>
            <w:noWrap/>
            <w:vAlign w:val="bottom"/>
            <w:hideMark/>
          </w:tcPr>
          <w:p w14:paraId="1EADFAAA"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13761F61"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549</w:t>
            </w:r>
          </w:p>
        </w:tc>
        <w:tc>
          <w:tcPr>
            <w:tcW w:w="0" w:type="auto"/>
            <w:tcBorders>
              <w:top w:val="nil"/>
              <w:left w:val="nil"/>
              <w:bottom w:val="nil"/>
              <w:right w:val="nil"/>
            </w:tcBorders>
            <w:shd w:val="clear" w:color="auto" w:fill="auto"/>
            <w:noWrap/>
            <w:vAlign w:val="bottom"/>
            <w:hideMark/>
          </w:tcPr>
          <w:p w14:paraId="359E9AFD"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4,280</w:t>
            </w:r>
          </w:p>
        </w:tc>
        <w:tc>
          <w:tcPr>
            <w:tcW w:w="0" w:type="auto"/>
            <w:tcBorders>
              <w:top w:val="nil"/>
              <w:left w:val="nil"/>
              <w:bottom w:val="nil"/>
              <w:right w:val="nil"/>
            </w:tcBorders>
            <w:shd w:val="clear" w:color="auto" w:fill="auto"/>
            <w:noWrap/>
            <w:vAlign w:val="bottom"/>
            <w:hideMark/>
          </w:tcPr>
          <w:p w14:paraId="20ACB214"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0.058</w:t>
            </w:r>
          </w:p>
        </w:tc>
        <w:tc>
          <w:tcPr>
            <w:tcW w:w="0" w:type="auto"/>
            <w:tcBorders>
              <w:top w:val="nil"/>
              <w:left w:val="nil"/>
              <w:bottom w:val="nil"/>
              <w:right w:val="nil"/>
            </w:tcBorders>
            <w:shd w:val="clear" w:color="auto" w:fill="auto"/>
            <w:noWrap/>
            <w:vAlign w:val="bottom"/>
            <w:hideMark/>
          </w:tcPr>
          <w:p w14:paraId="1C387EC3"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3E63BBFB"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0.058</w:t>
            </w:r>
          </w:p>
        </w:tc>
        <w:tc>
          <w:tcPr>
            <w:tcW w:w="0" w:type="auto"/>
            <w:tcBorders>
              <w:top w:val="nil"/>
              <w:left w:val="nil"/>
              <w:bottom w:val="nil"/>
              <w:right w:val="nil"/>
            </w:tcBorders>
            <w:shd w:val="clear" w:color="auto" w:fill="auto"/>
            <w:noWrap/>
            <w:vAlign w:val="bottom"/>
            <w:hideMark/>
          </w:tcPr>
          <w:p w14:paraId="132F6E6B"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9.47</w:t>
            </w:r>
          </w:p>
        </w:tc>
        <w:tc>
          <w:tcPr>
            <w:tcW w:w="0" w:type="auto"/>
            <w:tcBorders>
              <w:top w:val="nil"/>
              <w:left w:val="nil"/>
              <w:bottom w:val="nil"/>
              <w:right w:val="nil"/>
            </w:tcBorders>
            <w:shd w:val="clear" w:color="auto" w:fill="auto"/>
            <w:noWrap/>
            <w:vAlign w:val="bottom"/>
            <w:hideMark/>
          </w:tcPr>
          <w:p w14:paraId="1DABB75F"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5FA66956"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0.059</w:t>
            </w:r>
          </w:p>
        </w:tc>
        <w:tc>
          <w:tcPr>
            <w:tcW w:w="0" w:type="auto"/>
            <w:tcBorders>
              <w:top w:val="nil"/>
              <w:left w:val="nil"/>
              <w:bottom w:val="nil"/>
              <w:right w:val="nil"/>
            </w:tcBorders>
            <w:shd w:val="clear" w:color="auto" w:fill="auto"/>
            <w:noWrap/>
            <w:vAlign w:val="bottom"/>
            <w:hideMark/>
          </w:tcPr>
          <w:p w14:paraId="0E24006E"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9.50</w:t>
            </w:r>
          </w:p>
        </w:tc>
        <w:tc>
          <w:tcPr>
            <w:tcW w:w="0" w:type="auto"/>
            <w:tcBorders>
              <w:top w:val="nil"/>
              <w:left w:val="nil"/>
              <w:bottom w:val="nil"/>
              <w:right w:val="nil"/>
            </w:tcBorders>
            <w:shd w:val="clear" w:color="auto" w:fill="auto"/>
            <w:noWrap/>
            <w:vAlign w:val="bottom"/>
            <w:hideMark/>
          </w:tcPr>
          <w:p w14:paraId="16313CED"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79FB1614"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0.053</w:t>
            </w:r>
          </w:p>
        </w:tc>
        <w:tc>
          <w:tcPr>
            <w:tcW w:w="0" w:type="auto"/>
            <w:tcBorders>
              <w:top w:val="nil"/>
              <w:left w:val="nil"/>
              <w:bottom w:val="nil"/>
              <w:right w:val="nil"/>
            </w:tcBorders>
            <w:shd w:val="clear" w:color="auto" w:fill="auto"/>
            <w:noWrap/>
            <w:vAlign w:val="bottom"/>
            <w:hideMark/>
          </w:tcPr>
          <w:p w14:paraId="308AF022"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9.19</w:t>
            </w:r>
          </w:p>
        </w:tc>
      </w:tr>
      <w:tr w:rsidR="005226A1" w:rsidRPr="009E0578" w14:paraId="0C0894BF" w14:textId="77777777" w:rsidTr="00D8387A">
        <w:trPr>
          <w:trHeight w:val="329"/>
        </w:trPr>
        <w:tc>
          <w:tcPr>
            <w:tcW w:w="0" w:type="auto"/>
            <w:gridSpan w:val="16"/>
            <w:tcBorders>
              <w:top w:val="nil"/>
              <w:left w:val="nil"/>
              <w:bottom w:val="nil"/>
              <w:right w:val="nil"/>
            </w:tcBorders>
            <w:shd w:val="clear" w:color="auto" w:fill="auto"/>
            <w:vAlign w:val="bottom"/>
            <w:hideMark/>
          </w:tcPr>
          <w:p w14:paraId="57AC676D"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b/>
                <w:bCs/>
                <w:color w:val="000000"/>
                <w:sz w:val="18"/>
                <w:szCs w:val="18"/>
              </w:rPr>
              <w:t xml:space="preserve">Panel B. </w:t>
            </w:r>
            <w:r w:rsidRPr="009E0578">
              <w:rPr>
                <w:rFonts w:ascii="Century Schoolbook" w:eastAsia="Times New Roman" w:hAnsi="Century Schoolbook" w:cs="Times New Roman"/>
                <w:color w:val="000000"/>
                <w:sz w:val="18"/>
                <w:szCs w:val="18"/>
              </w:rPr>
              <w:t>Fast</w:t>
            </w: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turnover analyst</w:t>
            </w:r>
          </w:p>
        </w:tc>
      </w:tr>
      <w:tr w:rsidR="00D8387A" w:rsidRPr="009E0578" w14:paraId="55B7EB7B" w14:textId="77777777" w:rsidTr="00D8387A">
        <w:trPr>
          <w:trHeight w:val="241"/>
        </w:trPr>
        <w:tc>
          <w:tcPr>
            <w:tcW w:w="0" w:type="auto"/>
            <w:tcBorders>
              <w:top w:val="nil"/>
              <w:left w:val="nil"/>
              <w:bottom w:val="nil"/>
              <w:right w:val="nil"/>
            </w:tcBorders>
            <w:shd w:val="clear" w:color="auto" w:fill="auto"/>
            <w:noWrap/>
            <w:vAlign w:val="bottom"/>
            <w:hideMark/>
          </w:tcPr>
          <w:p w14:paraId="403F1630"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30 days</w:t>
            </w:r>
          </w:p>
        </w:tc>
        <w:tc>
          <w:tcPr>
            <w:tcW w:w="0" w:type="auto"/>
            <w:tcBorders>
              <w:top w:val="nil"/>
              <w:left w:val="nil"/>
              <w:bottom w:val="nil"/>
              <w:right w:val="nil"/>
            </w:tcBorders>
            <w:shd w:val="clear" w:color="auto" w:fill="auto"/>
            <w:noWrap/>
            <w:vAlign w:val="bottom"/>
            <w:hideMark/>
          </w:tcPr>
          <w:p w14:paraId="4F430F1F"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AA7F06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Long</w:t>
            </w:r>
          </w:p>
        </w:tc>
        <w:tc>
          <w:tcPr>
            <w:tcW w:w="0" w:type="auto"/>
            <w:tcBorders>
              <w:top w:val="nil"/>
              <w:left w:val="nil"/>
              <w:bottom w:val="nil"/>
              <w:right w:val="nil"/>
            </w:tcBorders>
            <w:shd w:val="clear" w:color="auto" w:fill="auto"/>
            <w:noWrap/>
            <w:vAlign w:val="bottom"/>
            <w:hideMark/>
          </w:tcPr>
          <w:p w14:paraId="77BD8417"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3C8151C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71</w:t>
            </w:r>
          </w:p>
        </w:tc>
        <w:tc>
          <w:tcPr>
            <w:tcW w:w="0" w:type="auto"/>
            <w:tcBorders>
              <w:top w:val="nil"/>
              <w:left w:val="nil"/>
              <w:bottom w:val="nil"/>
              <w:right w:val="nil"/>
            </w:tcBorders>
            <w:shd w:val="clear" w:color="auto" w:fill="auto"/>
            <w:noWrap/>
            <w:vAlign w:val="bottom"/>
            <w:hideMark/>
          </w:tcPr>
          <w:p w14:paraId="482C119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4,279</w:t>
            </w:r>
          </w:p>
        </w:tc>
        <w:tc>
          <w:tcPr>
            <w:tcW w:w="0" w:type="auto"/>
            <w:tcBorders>
              <w:top w:val="nil"/>
              <w:left w:val="nil"/>
              <w:bottom w:val="nil"/>
              <w:right w:val="nil"/>
            </w:tcBorders>
            <w:shd w:val="clear" w:color="auto" w:fill="auto"/>
            <w:noWrap/>
            <w:vAlign w:val="bottom"/>
            <w:hideMark/>
          </w:tcPr>
          <w:p w14:paraId="5DABD22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0.058</w:t>
            </w:r>
          </w:p>
        </w:tc>
        <w:tc>
          <w:tcPr>
            <w:tcW w:w="0" w:type="auto"/>
            <w:tcBorders>
              <w:top w:val="nil"/>
              <w:left w:val="nil"/>
              <w:bottom w:val="nil"/>
              <w:right w:val="nil"/>
            </w:tcBorders>
            <w:shd w:val="clear" w:color="auto" w:fill="auto"/>
            <w:noWrap/>
            <w:vAlign w:val="bottom"/>
            <w:hideMark/>
          </w:tcPr>
          <w:p w14:paraId="23AB000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722C29A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0.031</w:t>
            </w:r>
          </w:p>
        </w:tc>
        <w:tc>
          <w:tcPr>
            <w:tcW w:w="0" w:type="auto"/>
            <w:tcBorders>
              <w:top w:val="nil"/>
              <w:left w:val="nil"/>
              <w:bottom w:val="nil"/>
              <w:right w:val="nil"/>
            </w:tcBorders>
            <w:shd w:val="clear" w:color="auto" w:fill="auto"/>
            <w:noWrap/>
            <w:vAlign w:val="bottom"/>
            <w:hideMark/>
          </w:tcPr>
          <w:p w14:paraId="2346350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2.98</w:t>
            </w:r>
          </w:p>
        </w:tc>
        <w:tc>
          <w:tcPr>
            <w:tcW w:w="0" w:type="auto"/>
            <w:tcBorders>
              <w:top w:val="nil"/>
              <w:left w:val="nil"/>
              <w:bottom w:val="nil"/>
              <w:right w:val="nil"/>
            </w:tcBorders>
            <w:shd w:val="clear" w:color="auto" w:fill="auto"/>
            <w:noWrap/>
            <w:vAlign w:val="bottom"/>
            <w:hideMark/>
          </w:tcPr>
          <w:p w14:paraId="576DD75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2BE9FC9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0.022</w:t>
            </w:r>
          </w:p>
        </w:tc>
        <w:tc>
          <w:tcPr>
            <w:tcW w:w="0" w:type="auto"/>
            <w:tcBorders>
              <w:top w:val="nil"/>
              <w:left w:val="nil"/>
              <w:bottom w:val="nil"/>
              <w:right w:val="nil"/>
            </w:tcBorders>
            <w:shd w:val="clear" w:color="auto" w:fill="auto"/>
            <w:noWrap/>
            <w:vAlign w:val="bottom"/>
            <w:hideMark/>
          </w:tcPr>
          <w:p w14:paraId="4A8D0A1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2.48</w:t>
            </w:r>
          </w:p>
        </w:tc>
        <w:tc>
          <w:tcPr>
            <w:tcW w:w="0" w:type="auto"/>
            <w:tcBorders>
              <w:top w:val="nil"/>
              <w:left w:val="nil"/>
              <w:bottom w:val="nil"/>
              <w:right w:val="nil"/>
            </w:tcBorders>
            <w:shd w:val="clear" w:color="auto" w:fill="auto"/>
            <w:noWrap/>
            <w:vAlign w:val="bottom"/>
            <w:hideMark/>
          </w:tcPr>
          <w:p w14:paraId="1FC92C9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03C13A1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0.027</w:t>
            </w:r>
          </w:p>
        </w:tc>
        <w:tc>
          <w:tcPr>
            <w:tcW w:w="0" w:type="auto"/>
            <w:tcBorders>
              <w:top w:val="nil"/>
              <w:left w:val="nil"/>
              <w:bottom w:val="nil"/>
              <w:right w:val="nil"/>
            </w:tcBorders>
            <w:shd w:val="clear" w:color="auto" w:fill="auto"/>
            <w:noWrap/>
            <w:vAlign w:val="bottom"/>
            <w:hideMark/>
          </w:tcPr>
          <w:p w14:paraId="26DF0B0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3.07</w:t>
            </w:r>
          </w:p>
        </w:tc>
      </w:tr>
      <w:tr w:rsidR="00D8387A" w:rsidRPr="009E0578" w14:paraId="75EF1057" w14:textId="77777777" w:rsidTr="00D8387A">
        <w:trPr>
          <w:trHeight w:val="241"/>
        </w:trPr>
        <w:tc>
          <w:tcPr>
            <w:tcW w:w="0" w:type="auto"/>
            <w:tcBorders>
              <w:top w:val="nil"/>
              <w:left w:val="nil"/>
              <w:bottom w:val="nil"/>
              <w:right w:val="nil"/>
            </w:tcBorders>
            <w:shd w:val="clear" w:color="auto" w:fill="auto"/>
            <w:noWrap/>
            <w:vAlign w:val="bottom"/>
            <w:hideMark/>
          </w:tcPr>
          <w:p w14:paraId="0BD1ADE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0608E65D"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E7A2BC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Short</w:t>
            </w:r>
          </w:p>
        </w:tc>
        <w:tc>
          <w:tcPr>
            <w:tcW w:w="0" w:type="auto"/>
            <w:tcBorders>
              <w:top w:val="nil"/>
              <w:left w:val="nil"/>
              <w:bottom w:val="nil"/>
              <w:right w:val="nil"/>
            </w:tcBorders>
            <w:shd w:val="clear" w:color="auto" w:fill="auto"/>
            <w:noWrap/>
            <w:vAlign w:val="bottom"/>
            <w:hideMark/>
          </w:tcPr>
          <w:p w14:paraId="4FEED274"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180C7F77"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81</w:t>
            </w:r>
          </w:p>
        </w:tc>
        <w:tc>
          <w:tcPr>
            <w:tcW w:w="0" w:type="auto"/>
            <w:tcBorders>
              <w:top w:val="nil"/>
              <w:left w:val="nil"/>
              <w:bottom w:val="nil"/>
              <w:right w:val="nil"/>
            </w:tcBorders>
            <w:shd w:val="clear" w:color="auto" w:fill="auto"/>
            <w:noWrap/>
            <w:vAlign w:val="bottom"/>
            <w:hideMark/>
          </w:tcPr>
          <w:p w14:paraId="3282AB1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4,280</w:t>
            </w:r>
          </w:p>
        </w:tc>
        <w:tc>
          <w:tcPr>
            <w:tcW w:w="0" w:type="auto"/>
            <w:tcBorders>
              <w:top w:val="nil"/>
              <w:left w:val="nil"/>
              <w:bottom w:val="nil"/>
              <w:right w:val="nil"/>
            </w:tcBorders>
            <w:shd w:val="clear" w:color="auto" w:fill="auto"/>
            <w:noWrap/>
            <w:vAlign w:val="bottom"/>
            <w:hideMark/>
          </w:tcPr>
          <w:p w14:paraId="59EB1176"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0.016</w:t>
            </w:r>
          </w:p>
        </w:tc>
        <w:tc>
          <w:tcPr>
            <w:tcW w:w="0" w:type="auto"/>
            <w:tcBorders>
              <w:top w:val="nil"/>
              <w:left w:val="nil"/>
              <w:bottom w:val="nil"/>
              <w:right w:val="nil"/>
            </w:tcBorders>
            <w:shd w:val="clear" w:color="auto" w:fill="auto"/>
            <w:noWrap/>
            <w:vAlign w:val="bottom"/>
            <w:hideMark/>
          </w:tcPr>
          <w:p w14:paraId="2A09AFD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0AC7C8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0.042</w:t>
            </w:r>
          </w:p>
        </w:tc>
        <w:tc>
          <w:tcPr>
            <w:tcW w:w="0" w:type="auto"/>
            <w:tcBorders>
              <w:top w:val="nil"/>
              <w:left w:val="nil"/>
              <w:bottom w:val="nil"/>
              <w:right w:val="nil"/>
            </w:tcBorders>
            <w:shd w:val="clear" w:color="auto" w:fill="auto"/>
            <w:noWrap/>
            <w:vAlign w:val="bottom"/>
            <w:hideMark/>
          </w:tcPr>
          <w:p w14:paraId="0431958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3.88</w:t>
            </w:r>
          </w:p>
        </w:tc>
        <w:tc>
          <w:tcPr>
            <w:tcW w:w="0" w:type="auto"/>
            <w:tcBorders>
              <w:top w:val="nil"/>
              <w:left w:val="nil"/>
              <w:bottom w:val="nil"/>
              <w:right w:val="nil"/>
            </w:tcBorders>
            <w:shd w:val="clear" w:color="auto" w:fill="auto"/>
            <w:noWrap/>
            <w:vAlign w:val="bottom"/>
            <w:hideMark/>
          </w:tcPr>
          <w:p w14:paraId="7D41C05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E7BDBAF"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0.051</w:t>
            </w:r>
          </w:p>
        </w:tc>
        <w:tc>
          <w:tcPr>
            <w:tcW w:w="0" w:type="auto"/>
            <w:tcBorders>
              <w:top w:val="nil"/>
              <w:left w:val="nil"/>
              <w:bottom w:val="nil"/>
              <w:right w:val="nil"/>
            </w:tcBorders>
            <w:shd w:val="clear" w:color="auto" w:fill="auto"/>
            <w:noWrap/>
            <w:vAlign w:val="bottom"/>
            <w:hideMark/>
          </w:tcPr>
          <w:p w14:paraId="50A7B6F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5.26</w:t>
            </w:r>
          </w:p>
        </w:tc>
        <w:tc>
          <w:tcPr>
            <w:tcW w:w="0" w:type="auto"/>
            <w:tcBorders>
              <w:top w:val="nil"/>
              <w:left w:val="nil"/>
              <w:bottom w:val="nil"/>
              <w:right w:val="nil"/>
            </w:tcBorders>
            <w:shd w:val="clear" w:color="auto" w:fill="auto"/>
            <w:noWrap/>
            <w:vAlign w:val="bottom"/>
            <w:hideMark/>
          </w:tcPr>
          <w:p w14:paraId="4D222AB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32CEAA2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0.042</w:t>
            </w:r>
          </w:p>
        </w:tc>
        <w:tc>
          <w:tcPr>
            <w:tcW w:w="0" w:type="auto"/>
            <w:tcBorders>
              <w:top w:val="nil"/>
              <w:left w:val="nil"/>
              <w:bottom w:val="nil"/>
              <w:right w:val="nil"/>
            </w:tcBorders>
            <w:shd w:val="clear" w:color="auto" w:fill="auto"/>
            <w:noWrap/>
            <w:vAlign w:val="bottom"/>
            <w:hideMark/>
          </w:tcPr>
          <w:p w14:paraId="3D620F3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4.62</w:t>
            </w:r>
          </w:p>
        </w:tc>
      </w:tr>
      <w:tr w:rsidR="00D8387A" w:rsidRPr="009E0578" w14:paraId="4071A444" w14:textId="77777777" w:rsidTr="00D8387A">
        <w:trPr>
          <w:trHeight w:val="241"/>
        </w:trPr>
        <w:tc>
          <w:tcPr>
            <w:tcW w:w="0" w:type="auto"/>
            <w:tcBorders>
              <w:top w:val="nil"/>
              <w:left w:val="nil"/>
              <w:bottom w:val="nil"/>
              <w:right w:val="nil"/>
            </w:tcBorders>
            <w:shd w:val="clear" w:color="auto" w:fill="auto"/>
            <w:noWrap/>
            <w:vAlign w:val="bottom"/>
            <w:hideMark/>
          </w:tcPr>
          <w:p w14:paraId="6F52C58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556FAEEB"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8964B1B"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Long−Short</w:t>
            </w:r>
          </w:p>
        </w:tc>
        <w:tc>
          <w:tcPr>
            <w:tcW w:w="0" w:type="auto"/>
            <w:tcBorders>
              <w:top w:val="nil"/>
              <w:left w:val="nil"/>
              <w:bottom w:val="nil"/>
              <w:right w:val="nil"/>
            </w:tcBorders>
            <w:shd w:val="clear" w:color="auto" w:fill="auto"/>
            <w:noWrap/>
            <w:vAlign w:val="bottom"/>
            <w:hideMark/>
          </w:tcPr>
          <w:p w14:paraId="78CC2D90"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4BFCD696"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152</w:t>
            </w:r>
          </w:p>
        </w:tc>
        <w:tc>
          <w:tcPr>
            <w:tcW w:w="0" w:type="auto"/>
            <w:tcBorders>
              <w:top w:val="nil"/>
              <w:left w:val="nil"/>
              <w:bottom w:val="nil"/>
              <w:right w:val="nil"/>
            </w:tcBorders>
            <w:shd w:val="clear" w:color="auto" w:fill="auto"/>
            <w:noWrap/>
            <w:vAlign w:val="bottom"/>
            <w:hideMark/>
          </w:tcPr>
          <w:p w14:paraId="3DC11A46"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4,279</w:t>
            </w:r>
          </w:p>
        </w:tc>
        <w:tc>
          <w:tcPr>
            <w:tcW w:w="0" w:type="auto"/>
            <w:tcBorders>
              <w:top w:val="nil"/>
              <w:left w:val="nil"/>
              <w:bottom w:val="nil"/>
              <w:right w:val="nil"/>
            </w:tcBorders>
            <w:shd w:val="clear" w:color="auto" w:fill="auto"/>
            <w:noWrap/>
            <w:vAlign w:val="bottom"/>
            <w:hideMark/>
          </w:tcPr>
          <w:p w14:paraId="3419CAD8"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0.073</w:t>
            </w:r>
          </w:p>
        </w:tc>
        <w:tc>
          <w:tcPr>
            <w:tcW w:w="0" w:type="auto"/>
            <w:tcBorders>
              <w:top w:val="nil"/>
              <w:left w:val="nil"/>
              <w:bottom w:val="nil"/>
              <w:right w:val="nil"/>
            </w:tcBorders>
            <w:shd w:val="clear" w:color="auto" w:fill="auto"/>
            <w:noWrap/>
            <w:vAlign w:val="bottom"/>
            <w:hideMark/>
          </w:tcPr>
          <w:p w14:paraId="5C878B05"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56ED34C1"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0.073</w:t>
            </w:r>
          </w:p>
        </w:tc>
        <w:tc>
          <w:tcPr>
            <w:tcW w:w="0" w:type="auto"/>
            <w:tcBorders>
              <w:top w:val="nil"/>
              <w:left w:val="nil"/>
              <w:bottom w:val="nil"/>
              <w:right w:val="nil"/>
            </w:tcBorders>
            <w:shd w:val="clear" w:color="auto" w:fill="auto"/>
            <w:noWrap/>
            <w:vAlign w:val="bottom"/>
            <w:hideMark/>
          </w:tcPr>
          <w:p w14:paraId="650DA634"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7.48</w:t>
            </w:r>
          </w:p>
        </w:tc>
        <w:tc>
          <w:tcPr>
            <w:tcW w:w="0" w:type="auto"/>
            <w:tcBorders>
              <w:top w:val="nil"/>
              <w:left w:val="nil"/>
              <w:bottom w:val="nil"/>
              <w:right w:val="nil"/>
            </w:tcBorders>
            <w:shd w:val="clear" w:color="auto" w:fill="auto"/>
            <w:noWrap/>
            <w:vAlign w:val="bottom"/>
            <w:hideMark/>
          </w:tcPr>
          <w:p w14:paraId="57AE0DC7"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4B5372EB"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0.073</w:t>
            </w:r>
          </w:p>
        </w:tc>
        <w:tc>
          <w:tcPr>
            <w:tcW w:w="0" w:type="auto"/>
            <w:tcBorders>
              <w:top w:val="nil"/>
              <w:left w:val="nil"/>
              <w:bottom w:val="nil"/>
              <w:right w:val="nil"/>
            </w:tcBorders>
            <w:shd w:val="clear" w:color="auto" w:fill="auto"/>
            <w:noWrap/>
            <w:vAlign w:val="bottom"/>
            <w:hideMark/>
          </w:tcPr>
          <w:p w14:paraId="5B6C833A"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7.51</w:t>
            </w:r>
          </w:p>
        </w:tc>
        <w:tc>
          <w:tcPr>
            <w:tcW w:w="0" w:type="auto"/>
            <w:tcBorders>
              <w:top w:val="nil"/>
              <w:left w:val="nil"/>
              <w:bottom w:val="nil"/>
              <w:right w:val="nil"/>
            </w:tcBorders>
            <w:shd w:val="clear" w:color="auto" w:fill="auto"/>
            <w:noWrap/>
            <w:vAlign w:val="bottom"/>
            <w:hideMark/>
          </w:tcPr>
          <w:p w14:paraId="6CF32A73"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p>
        </w:tc>
        <w:tc>
          <w:tcPr>
            <w:tcW w:w="0" w:type="auto"/>
            <w:tcBorders>
              <w:top w:val="nil"/>
              <w:left w:val="nil"/>
              <w:bottom w:val="nil"/>
              <w:right w:val="nil"/>
            </w:tcBorders>
            <w:shd w:val="clear" w:color="auto" w:fill="auto"/>
            <w:noWrap/>
            <w:vAlign w:val="bottom"/>
            <w:hideMark/>
          </w:tcPr>
          <w:p w14:paraId="47B06A93"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0.069</w:t>
            </w:r>
          </w:p>
        </w:tc>
        <w:tc>
          <w:tcPr>
            <w:tcW w:w="0" w:type="auto"/>
            <w:tcBorders>
              <w:top w:val="nil"/>
              <w:left w:val="nil"/>
              <w:bottom w:val="nil"/>
              <w:right w:val="nil"/>
            </w:tcBorders>
            <w:shd w:val="clear" w:color="auto" w:fill="auto"/>
            <w:noWrap/>
            <w:vAlign w:val="bottom"/>
            <w:hideMark/>
          </w:tcPr>
          <w:p w14:paraId="55F5595A"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7.14</w:t>
            </w:r>
          </w:p>
        </w:tc>
      </w:tr>
      <w:tr w:rsidR="00D8387A" w:rsidRPr="009E0578" w14:paraId="559A5F5B" w14:textId="77777777" w:rsidTr="00D8387A">
        <w:trPr>
          <w:trHeight w:val="241"/>
        </w:trPr>
        <w:tc>
          <w:tcPr>
            <w:tcW w:w="0" w:type="auto"/>
            <w:tcBorders>
              <w:top w:val="nil"/>
              <w:left w:val="nil"/>
              <w:bottom w:val="nil"/>
              <w:right w:val="nil"/>
            </w:tcBorders>
            <w:shd w:val="clear" w:color="auto" w:fill="auto"/>
            <w:noWrap/>
            <w:vAlign w:val="bottom"/>
            <w:hideMark/>
          </w:tcPr>
          <w:p w14:paraId="62B7A4F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p>
        </w:tc>
        <w:tc>
          <w:tcPr>
            <w:tcW w:w="0" w:type="auto"/>
            <w:tcBorders>
              <w:top w:val="nil"/>
              <w:left w:val="nil"/>
              <w:bottom w:val="nil"/>
              <w:right w:val="nil"/>
            </w:tcBorders>
            <w:shd w:val="clear" w:color="auto" w:fill="auto"/>
            <w:noWrap/>
            <w:vAlign w:val="bottom"/>
            <w:hideMark/>
          </w:tcPr>
          <w:p w14:paraId="3A41410C" w14:textId="77777777" w:rsidR="005226A1" w:rsidRPr="009E0578" w:rsidRDefault="005226A1" w:rsidP="00AA262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469399B"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03D3DDC2"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71EF050F"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79A20961"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584ED508"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634F8B6A"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7DA456D8"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24A4878B"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56F0A8B3"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6984C69F" w14:textId="77777777" w:rsidR="005226A1" w:rsidRPr="00A41E04" w:rsidRDefault="005226A1" w:rsidP="00AA2627">
            <w:pPr>
              <w:spacing w:after="0" w:line="240" w:lineRule="auto"/>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25C4BBAC"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07607D45"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1BB273FF"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c>
          <w:tcPr>
            <w:tcW w:w="0" w:type="auto"/>
            <w:tcBorders>
              <w:top w:val="nil"/>
              <w:left w:val="nil"/>
              <w:bottom w:val="nil"/>
              <w:right w:val="nil"/>
            </w:tcBorders>
            <w:shd w:val="clear" w:color="auto" w:fill="auto"/>
            <w:noWrap/>
            <w:vAlign w:val="bottom"/>
            <w:hideMark/>
          </w:tcPr>
          <w:p w14:paraId="2818AC65" w14:textId="77777777" w:rsidR="005226A1" w:rsidRPr="00A41E04" w:rsidRDefault="005226A1" w:rsidP="00AA2627">
            <w:pPr>
              <w:spacing w:after="0" w:line="240" w:lineRule="auto"/>
              <w:jc w:val="center"/>
              <w:rPr>
                <w:rFonts w:ascii="Times New Roman" w:eastAsia="Times New Roman" w:hAnsi="Times New Roman" w:cs="Times New Roman"/>
                <w:b/>
                <w:sz w:val="20"/>
                <w:szCs w:val="20"/>
              </w:rPr>
            </w:pPr>
          </w:p>
        </w:tc>
      </w:tr>
      <w:tr w:rsidR="00D8387A" w:rsidRPr="009E0578" w14:paraId="19A9570D" w14:textId="77777777" w:rsidTr="00D8387A">
        <w:trPr>
          <w:trHeight w:val="241"/>
        </w:trPr>
        <w:tc>
          <w:tcPr>
            <w:tcW w:w="0" w:type="auto"/>
            <w:tcBorders>
              <w:top w:val="nil"/>
              <w:left w:val="nil"/>
              <w:bottom w:val="nil"/>
              <w:right w:val="nil"/>
            </w:tcBorders>
            <w:shd w:val="clear" w:color="000000" w:fill="FFFFFF"/>
            <w:noWrap/>
            <w:vAlign w:val="bottom"/>
            <w:hideMark/>
          </w:tcPr>
          <w:p w14:paraId="1E48F689"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60 days</w:t>
            </w:r>
          </w:p>
        </w:tc>
        <w:tc>
          <w:tcPr>
            <w:tcW w:w="0" w:type="auto"/>
            <w:tcBorders>
              <w:top w:val="nil"/>
              <w:left w:val="nil"/>
              <w:bottom w:val="nil"/>
              <w:right w:val="nil"/>
            </w:tcBorders>
            <w:shd w:val="clear" w:color="000000" w:fill="FFFFFF"/>
            <w:noWrap/>
            <w:vAlign w:val="bottom"/>
            <w:hideMark/>
          </w:tcPr>
          <w:p w14:paraId="70269C64"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44A922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Long</w:t>
            </w:r>
          </w:p>
        </w:tc>
        <w:tc>
          <w:tcPr>
            <w:tcW w:w="0" w:type="auto"/>
            <w:tcBorders>
              <w:top w:val="nil"/>
              <w:left w:val="nil"/>
              <w:bottom w:val="nil"/>
              <w:right w:val="nil"/>
            </w:tcBorders>
            <w:shd w:val="clear" w:color="000000" w:fill="FFFFFF"/>
            <w:noWrap/>
            <w:vAlign w:val="bottom"/>
            <w:hideMark/>
          </w:tcPr>
          <w:p w14:paraId="0BD4C1C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C199A5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142</w:t>
            </w:r>
          </w:p>
        </w:tc>
        <w:tc>
          <w:tcPr>
            <w:tcW w:w="0" w:type="auto"/>
            <w:tcBorders>
              <w:top w:val="nil"/>
              <w:left w:val="nil"/>
              <w:bottom w:val="nil"/>
              <w:right w:val="nil"/>
            </w:tcBorders>
            <w:shd w:val="clear" w:color="000000" w:fill="FFFFFF"/>
            <w:noWrap/>
            <w:vAlign w:val="bottom"/>
            <w:hideMark/>
          </w:tcPr>
          <w:p w14:paraId="7D4319A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4,279</w:t>
            </w:r>
          </w:p>
        </w:tc>
        <w:tc>
          <w:tcPr>
            <w:tcW w:w="0" w:type="auto"/>
            <w:tcBorders>
              <w:top w:val="nil"/>
              <w:left w:val="nil"/>
              <w:bottom w:val="nil"/>
              <w:right w:val="nil"/>
            </w:tcBorders>
            <w:shd w:val="clear" w:color="000000" w:fill="FFFFFF"/>
            <w:noWrap/>
            <w:vAlign w:val="bottom"/>
            <w:hideMark/>
          </w:tcPr>
          <w:p w14:paraId="123B127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0.025</w:t>
            </w:r>
          </w:p>
        </w:tc>
        <w:tc>
          <w:tcPr>
            <w:tcW w:w="0" w:type="auto"/>
            <w:tcBorders>
              <w:top w:val="nil"/>
              <w:left w:val="nil"/>
              <w:bottom w:val="nil"/>
              <w:right w:val="nil"/>
            </w:tcBorders>
            <w:shd w:val="clear" w:color="000000" w:fill="FFFFFF"/>
            <w:noWrap/>
            <w:vAlign w:val="bottom"/>
            <w:hideMark/>
          </w:tcPr>
          <w:p w14:paraId="7F4095D4"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BC0D91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0.012</w:t>
            </w:r>
          </w:p>
        </w:tc>
        <w:tc>
          <w:tcPr>
            <w:tcW w:w="0" w:type="auto"/>
            <w:tcBorders>
              <w:top w:val="nil"/>
              <w:left w:val="nil"/>
              <w:bottom w:val="nil"/>
              <w:right w:val="nil"/>
            </w:tcBorders>
            <w:shd w:val="clear" w:color="000000" w:fill="FFFFFF"/>
            <w:noWrap/>
            <w:vAlign w:val="bottom"/>
            <w:hideMark/>
          </w:tcPr>
          <w:p w14:paraId="6055BAA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1.27</w:t>
            </w:r>
          </w:p>
        </w:tc>
        <w:tc>
          <w:tcPr>
            <w:tcW w:w="0" w:type="auto"/>
            <w:tcBorders>
              <w:top w:val="nil"/>
              <w:left w:val="nil"/>
              <w:bottom w:val="nil"/>
              <w:right w:val="nil"/>
            </w:tcBorders>
            <w:shd w:val="clear" w:color="000000" w:fill="FFFFFF"/>
            <w:noWrap/>
            <w:vAlign w:val="bottom"/>
            <w:hideMark/>
          </w:tcPr>
          <w:p w14:paraId="53E6440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3CD871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0.003</w:t>
            </w:r>
          </w:p>
        </w:tc>
        <w:tc>
          <w:tcPr>
            <w:tcW w:w="0" w:type="auto"/>
            <w:tcBorders>
              <w:top w:val="nil"/>
              <w:left w:val="nil"/>
              <w:bottom w:val="nil"/>
              <w:right w:val="nil"/>
            </w:tcBorders>
            <w:shd w:val="clear" w:color="000000" w:fill="FFFFFF"/>
            <w:noWrap/>
            <w:vAlign w:val="bottom"/>
            <w:hideMark/>
          </w:tcPr>
          <w:p w14:paraId="3EC3FAB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0.38</w:t>
            </w:r>
          </w:p>
        </w:tc>
        <w:tc>
          <w:tcPr>
            <w:tcW w:w="0" w:type="auto"/>
            <w:tcBorders>
              <w:top w:val="nil"/>
              <w:left w:val="nil"/>
              <w:bottom w:val="nil"/>
              <w:right w:val="nil"/>
            </w:tcBorders>
            <w:shd w:val="clear" w:color="000000" w:fill="FFFFFF"/>
            <w:noWrap/>
            <w:vAlign w:val="bottom"/>
            <w:hideMark/>
          </w:tcPr>
          <w:p w14:paraId="7F76CA6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B40800F"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0.007</w:t>
            </w:r>
          </w:p>
        </w:tc>
        <w:tc>
          <w:tcPr>
            <w:tcW w:w="0" w:type="auto"/>
            <w:tcBorders>
              <w:top w:val="nil"/>
              <w:left w:val="nil"/>
              <w:bottom w:val="nil"/>
              <w:right w:val="nil"/>
            </w:tcBorders>
            <w:shd w:val="clear" w:color="000000" w:fill="FFFFFF"/>
            <w:noWrap/>
            <w:vAlign w:val="bottom"/>
            <w:hideMark/>
          </w:tcPr>
          <w:p w14:paraId="447D657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0.95</w:t>
            </w:r>
          </w:p>
        </w:tc>
      </w:tr>
      <w:tr w:rsidR="00D8387A" w:rsidRPr="009E0578" w14:paraId="1C42DA3D" w14:textId="77777777" w:rsidTr="00D8387A">
        <w:trPr>
          <w:trHeight w:val="241"/>
        </w:trPr>
        <w:tc>
          <w:tcPr>
            <w:tcW w:w="0" w:type="auto"/>
            <w:tcBorders>
              <w:top w:val="nil"/>
              <w:left w:val="nil"/>
              <w:bottom w:val="nil"/>
              <w:right w:val="nil"/>
            </w:tcBorders>
            <w:shd w:val="clear" w:color="000000" w:fill="FFFFFF"/>
            <w:noWrap/>
            <w:vAlign w:val="bottom"/>
            <w:hideMark/>
          </w:tcPr>
          <w:p w14:paraId="107D4DA4"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2183DBB"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7050EC4"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Short</w:t>
            </w:r>
          </w:p>
        </w:tc>
        <w:tc>
          <w:tcPr>
            <w:tcW w:w="0" w:type="auto"/>
            <w:tcBorders>
              <w:top w:val="nil"/>
              <w:left w:val="nil"/>
              <w:bottom w:val="nil"/>
              <w:right w:val="nil"/>
            </w:tcBorders>
            <w:shd w:val="clear" w:color="000000" w:fill="FFFFFF"/>
            <w:noWrap/>
            <w:vAlign w:val="bottom"/>
            <w:hideMark/>
          </w:tcPr>
          <w:p w14:paraId="48145B4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FFDB596"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159</w:t>
            </w:r>
          </w:p>
        </w:tc>
        <w:tc>
          <w:tcPr>
            <w:tcW w:w="0" w:type="auto"/>
            <w:tcBorders>
              <w:top w:val="nil"/>
              <w:left w:val="nil"/>
              <w:bottom w:val="nil"/>
              <w:right w:val="nil"/>
            </w:tcBorders>
            <w:shd w:val="clear" w:color="000000" w:fill="FFFFFF"/>
            <w:noWrap/>
            <w:vAlign w:val="bottom"/>
            <w:hideMark/>
          </w:tcPr>
          <w:p w14:paraId="532C27B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4,280</w:t>
            </w:r>
          </w:p>
        </w:tc>
        <w:tc>
          <w:tcPr>
            <w:tcW w:w="0" w:type="auto"/>
            <w:tcBorders>
              <w:top w:val="nil"/>
              <w:left w:val="nil"/>
              <w:bottom w:val="nil"/>
              <w:right w:val="nil"/>
            </w:tcBorders>
            <w:shd w:val="clear" w:color="000000" w:fill="FFFFFF"/>
            <w:noWrap/>
            <w:vAlign w:val="bottom"/>
            <w:hideMark/>
          </w:tcPr>
          <w:p w14:paraId="5FFB6FD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0.014</w:t>
            </w:r>
          </w:p>
        </w:tc>
        <w:tc>
          <w:tcPr>
            <w:tcW w:w="0" w:type="auto"/>
            <w:tcBorders>
              <w:top w:val="nil"/>
              <w:left w:val="nil"/>
              <w:bottom w:val="nil"/>
              <w:right w:val="nil"/>
            </w:tcBorders>
            <w:shd w:val="clear" w:color="000000" w:fill="FFFFFF"/>
            <w:noWrap/>
            <w:vAlign w:val="bottom"/>
            <w:hideMark/>
          </w:tcPr>
          <w:p w14:paraId="4BFF64D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FCBCFF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0.041</w:t>
            </w:r>
          </w:p>
        </w:tc>
        <w:tc>
          <w:tcPr>
            <w:tcW w:w="0" w:type="auto"/>
            <w:tcBorders>
              <w:top w:val="nil"/>
              <w:left w:val="nil"/>
              <w:bottom w:val="nil"/>
              <w:right w:val="nil"/>
            </w:tcBorders>
            <w:shd w:val="clear" w:color="000000" w:fill="FFFFFF"/>
            <w:noWrap/>
            <w:vAlign w:val="bottom"/>
            <w:hideMark/>
          </w:tcPr>
          <w:p w14:paraId="68F5097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4.12</w:t>
            </w:r>
          </w:p>
        </w:tc>
        <w:tc>
          <w:tcPr>
            <w:tcW w:w="0" w:type="auto"/>
            <w:tcBorders>
              <w:top w:val="nil"/>
              <w:left w:val="nil"/>
              <w:bottom w:val="nil"/>
              <w:right w:val="nil"/>
            </w:tcBorders>
            <w:shd w:val="clear" w:color="000000" w:fill="FFFFFF"/>
            <w:noWrap/>
            <w:vAlign w:val="bottom"/>
            <w:hideMark/>
          </w:tcPr>
          <w:p w14:paraId="1B7A28C7"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87B1364"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0.049</w:t>
            </w:r>
          </w:p>
        </w:tc>
        <w:tc>
          <w:tcPr>
            <w:tcW w:w="0" w:type="auto"/>
            <w:tcBorders>
              <w:top w:val="nil"/>
              <w:left w:val="nil"/>
              <w:bottom w:val="nil"/>
              <w:right w:val="nil"/>
            </w:tcBorders>
            <w:shd w:val="clear" w:color="000000" w:fill="FFFFFF"/>
            <w:noWrap/>
            <w:vAlign w:val="bottom"/>
            <w:hideMark/>
          </w:tcPr>
          <w:p w14:paraId="64A3A68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5.80</w:t>
            </w:r>
          </w:p>
        </w:tc>
        <w:tc>
          <w:tcPr>
            <w:tcW w:w="0" w:type="auto"/>
            <w:tcBorders>
              <w:top w:val="nil"/>
              <w:left w:val="nil"/>
              <w:bottom w:val="nil"/>
              <w:right w:val="nil"/>
            </w:tcBorders>
            <w:shd w:val="clear" w:color="000000" w:fill="FFFFFF"/>
            <w:noWrap/>
            <w:vAlign w:val="bottom"/>
            <w:hideMark/>
          </w:tcPr>
          <w:p w14:paraId="7538D35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010E7A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0.040</w:t>
            </w:r>
          </w:p>
        </w:tc>
        <w:tc>
          <w:tcPr>
            <w:tcW w:w="0" w:type="auto"/>
            <w:tcBorders>
              <w:top w:val="nil"/>
              <w:left w:val="nil"/>
              <w:bottom w:val="nil"/>
              <w:right w:val="nil"/>
            </w:tcBorders>
            <w:shd w:val="clear" w:color="000000" w:fill="FFFFFF"/>
            <w:noWrap/>
            <w:vAlign w:val="bottom"/>
            <w:hideMark/>
          </w:tcPr>
          <w:p w14:paraId="4393E84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5.19</w:t>
            </w:r>
          </w:p>
        </w:tc>
      </w:tr>
      <w:tr w:rsidR="00D8387A" w:rsidRPr="00A41E04" w14:paraId="3A222FFB" w14:textId="77777777" w:rsidTr="00D8387A">
        <w:trPr>
          <w:trHeight w:val="241"/>
        </w:trPr>
        <w:tc>
          <w:tcPr>
            <w:tcW w:w="0" w:type="auto"/>
            <w:tcBorders>
              <w:top w:val="nil"/>
              <w:left w:val="nil"/>
              <w:bottom w:val="nil"/>
              <w:right w:val="nil"/>
            </w:tcBorders>
            <w:shd w:val="clear" w:color="000000" w:fill="FFFFFF"/>
            <w:noWrap/>
            <w:vAlign w:val="bottom"/>
            <w:hideMark/>
          </w:tcPr>
          <w:p w14:paraId="4BBB25F5"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5AC1300"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561CF87"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Long−Short</w:t>
            </w:r>
          </w:p>
        </w:tc>
        <w:tc>
          <w:tcPr>
            <w:tcW w:w="0" w:type="auto"/>
            <w:tcBorders>
              <w:top w:val="nil"/>
              <w:left w:val="nil"/>
              <w:bottom w:val="nil"/>
              <w:right w:val="nil"/>
            </w:tcBorders>
            <w:shd w:val="clear" w:color="000000" w:fill="FFFFFF"/>
            <w:noWrap/>
            <w:vAlign w:val="bottom"/>
            <w:hideMark/>
          </w:tcPr>
          <w:p w14:paraId="6463306D"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 </w:t>
            </w:r>
          </w:p>
        </w:tc>
        <w:tc>
          <w:tcPr>
            <w:tcW w:w="0" w:type="auto"/>
            <w:tcBorders>
              <w:top w:val="nil"/>
              <w:left w:val="nil"/>
              <w:bottom w:val="nil"/>
              <w:right w:val="nil"/>
            </w:tcBorders>
            <w:shd w:val="clear" w:color="000000" w:fill="FFFFFF"/>
            <w:noWrap/>
            <w:vAlign w:val="bottom"/>
            <w:hideMark/>
          </w:tcPr>
          <w:p w14:paraId="4C45C341"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301</w:t>
            </w:r>
          </w:p>
        </w:tc>
        <w:tc>
          <w:tcPr>
            <w:tcW w:w="0" w:type="auto"/>
            <w:tcBorders>
              <w:top w:val="nil"/>
              <w:left w:val="nil"/>
              <w:bottom w:val="nil"/>
              <w:right w:val="nil"/>
            </w:tcBorders>
            <w:shd w:val="clear" w:color="000000" w:fill="FFFFFF"/>
            <w:noWrap/>
            <w:vAlign w:val="bottom"/>
            <w:hideMark/>
          </w:tcPr>
          <w:p w14:paraId="2B605F8B"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4,279</w:t>
            </w:r>
          </w:p>
        </w:tc>
        <w:tc>
          <w:tcPr>
            <w:tcW w:w="0" w:type="auto"/>
            <w:tcBorders>
              <w:top w:val="nil"/>
              <w:left w:val="nil"/>
              <w:bottom w:val="nil"/>
              <w:right w:val="nil"/>
            </w:tcBorders>
            <w:shd w:val="clear" w:color="000000" w:fill="FFFFFF"/>
            <w:noWrap/>
            <w:vAlign w:val="bottom"/>
            <w:hideMark/>
          </w:tcPr>
          <w:p w14:paraId="2B3E238D"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0.039</w:t>
            </w:r>
          </w:p>
        </w:tc>
        <w:tc>
          <w:tcPr>
            <w:tcW w:w="0" w:type="auto"/>
            <w:tcBorders>
              <w:top w:val="nil"/>
              <w:left w:val="nil"/>
              <w:bottom w:val="nil"/>
              <w:right w:val="nil"/>
            </w:tcBorders>
            <w:shd w:val="clear" w:color="000000" w:fill="FFFFFF"/>
            <w:noWrap/>
            <w:vAlign w:val="bottom"/>
            <w:hideMark/>
          </w:tcPr>
          <w:p w14:paraId="09E699B7"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 </w:t>
            </w:r>
          </w:p>
        </w:tc>
        <w:tc>
          <w:tcPr>
            <w:tcW w:w="0" w:type="auto"/>
            <w:tcBorders>
              <w:top w:val="nil"/>
              <w:left w:val="nil"/>
              <w:bottom w:val="nil"/>
              <w:right w:val="nil"/>
            </w:tcBorders>
            <w:shd w:val="clear" w:color="000000" w:fill="FFFFFF"/>
            <w:noWrap/>
            <w:vAlign w:val="bottom"/>
            <w:hideMark/>
          </w:tcPr>
          <w:p w14:paraId="6EA3AB83"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0.052</w:t>
            </w:r>
          </w:p>
        </w:tc>
        <w:tc>
          <w:tcPr>
            <w:tcW w:w="0" w:type="auto"/>
            <w:tcBorders>
              <w:top w:val="nil"/>
              <w:left w:val="nil"/>
              <w:bottom w:val="nil"/>
              <w:right w:val="nil"/>
            </w:tcBorders>
            <w:shd w:val="clear" w:color="000000" w:fill="FFFFFF"/>
            <w:noWrap/>
            <w:vAlign w:val="bottom"/>
            <w:hideMark/>
          </w:tcPr>
          <w:p w14:paraId="17F7BCF9"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7.15</w:t>
            </w:r>
          </w:p>
        </w:tc>
        <w:tc>
          <w:tcPr>
            <w:tcW w:w="0" w:type="auto"/>
            <w:tcBorders>
              <w:top w:val="nil"/>
              <w:left w:val="nil"/>
              <w:bottom w:val="nil"/>
              <w:right w:val="nil"/>
            </w:tcBorders>
            <w:shd w:val="clear" w:color="000000" w:fill="FFFFFF"/>
            <w:noWrap/>
            <w:vAlign w:val="bottom"/>
            <w:hideMark/>
          </w:tcPr>
          <w:p w14:paraId="16196404"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 </w:t>
            </w:r>
          </w:p>
        </w:tc>
        <w:tc>
          <w:tcPr>
            <w:tcW w:w="0" w:type="auto"/>
            <w:tcBorders>
              <w:top w:val="nil"/>
              <w:left w:val="nil"/>
              <w:bottom w:val="nil"/>
              <w:right w:val="nil"/>
            </w:tcBorders>
            <w:shd w:val="clear" w:color="000000" w:fill="FFFFFF"/>
            <w:noWrap/>
            <w:vAlign w:val="bottom"/>
            <w:hideMark/>
          </w:tcPr>
          <w:p w14:paraId="671EB2D6"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0.052</w:t>
            </w:r>
          </w:p>
        </w:tc>
        <w:tc>
          <w:tcPr>
            <w:tcW w:w="0" w:type="auto"/>
            <w:tcBorders>
              <w:top w:val="nil"/>
              <w:left w:val="nil"/>
              <w:bottom w:val="nil"/>
              <w:right w:val="nil"/>
            </w:tcBorders>
            <w:shd w:val="clear" w:color="000000" w:fill="FFFFFF"/>
            <w:noWrap/>
            <w:vAlign w:val="bottom"/>
            <w:hideMark/>
          </w:tcPr>
          <w:p w14:paraId="1FBF9D3A"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7.14</w:t>
            </w:r>
          </w:p>
        </w:tc>
        <w:tc>
          <w:tcPr>
            <w:tcW w:w="0" w:type="auto"/>
            <w:tcBorders>
              <w:top w:val="nil"/>
              <w:left w:val="nil"/>
              <w:bottom w:val="nil"/>
              <w:right w:val="nil"/>
            </w:tcBorders>
            <w:shd w:val="clear" w:color="000000" w:fill="FFFFFF"/>
            <w:noWrap/>
            <w:vAlign w:val="bottom"/>
            <w:hideMark/>
          </w:tcPr>
          <w:p w14:paraId="14FF799D"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 </w:t>
            </w:r>
          </w:p>
        </w:tc>
        <w:tc>
          <w:tcPr>
            <w:tcW w:w="0" w:type="auto"/>
            <w:tcBorders>
              <w:top w:val="nil"/>
              <w:left w:val="nil"/>
              <w:bottom w:val="nil"/>
              <w:right w:val="nil"/>
            </w:tcBorders>
            <w:shd w:val="clear" w:color="000000" w:fill="FFFFFF"/>
            <w:noWrap/>
            <w:vAlign w:val="bottom"/>
            <w:hideMark/>
          </w:tcPr>
          <w:p w14:paraId="27E930B6"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0.047</w:t>
            </w:r>
          </w:p>
        </w:tc>
        <w:tc>
          <w:tcPr>
            <w:tcW w:w="0" w:type="auto"/>
            <w:tcBorders>
              <w:top w:val="nil"/>
              <w:left w:val="nil"/>
              <w:bottom w:val="nil"/>
              <w:right w:val="nil"/>
            </w:tcBorders>
            <w:shd w:val="clear" w:color="000000" w:fill="FFFFFF"/>
            <w:noWrap/>
            <w:vAlign w:val="bottom"/>
            <w:hideMark/>
          </w:tcPr>
          <w:p w14:paraId="37FE8431"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6.68</w:t>
            </w:r>
          </w:p>
        </w:tc>
      </w:tr>
      <w:tr w:rsidR="00D8387A" w:rsidRPr="009E0578" w14:paraId="04B0FA2B" w14:textId="77777777" w:rsidTr="00D8387A">
        <w:trPr>
          <w:trHeight w:val="241"/>
        </w:trPr>
        <w:tc>
          <w:tcPr>
            <w:tcW w:w="0" w:type="auto"/>
            <w:tcBorders>
              <w:top w:val="nil"/>
              <w:left w:val="nil"/>
              <w:bottom w:val="nil"/>
              <w:right w:val="nil"/>
            </w:tcBorders>
            <w:shd w:val="clear" w:color="000000" w:fill="FFFFFF"/>
            <w:noWrap/>
            <w:vAlign w:val="bottom"/>
            <w:hideMark/>
          </w:tcPr>
          <w:p w14:paraId="4C978467"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BBF438C"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38F53C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C8E1EA9"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33B0EA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BAE5E5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B66B7A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6EA0766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CEAF176"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C3DFD93"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135FC1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F140832"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E8B2EE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C93D586"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E733BB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5C7952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r>
      <w:tr w:rsidR="00D8387A" w:rsidRPr="009E0578" w14:paraId="210E9060" w14:textId="77777777" w:rsidTr="00D8387A">
        <w:trPr>
          <w:trHeight w:val="241"/>
        </w:trPr>
        <w:tc>
          <w:tcPr>
            <w:tcW w:w="0" w:type="auto"/>
            <w:tcBorders>
              <w:top w:val="nil"/>
              <w:left w:val="nil"/>
              <w:bottom w:val="nil"/>
              <w:right w:val="nil"/>
            </w:tcBorders>
            <w:shd w:val="clear" w:color="000000" w:fill="FFFFFF"/>
            <w:noWrap/>
            <w:vAlign w:val="bottom"/>
            <w:hideMark/>
          </w:tcPr>
          <w:p w14:paraId="1479FBBF"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120 days</w:t>
            </w:r>
          </w:p>
        </w:tc>
        <w:tc>
          <w:tcPr>
            <w:tcW w:w="0" w:type="auto"/>
            <w:tcBorders>
              <w:top w:val="nil"/>
              <w:left w:val="nil"/>
              <w:bottom w:val="nil"/>
              <w:right w:val="nil"/>
            </w:tcBorders>
            <w:shd w:val="clear" w:color="000000" w:fill="FFFFFF"/>
            <w:noWrap/>
            <w:vAlign w:val="bottom"/>
            <w:hideMark/>
          </w:tcPr>
          <w:p w14:paraId="26BB83BD"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2B9A9B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Long</w:t>
            </w:r>
          </w:p>
        </w:tc>
        <w:tc>
          <w:tcPr>
            <w:tcW w:w="0" w:type="auto"/>
            <w:tcBorders>
              <w:top w:val="nil"/>
              <w:left w:val="nil"/>
              <w:bottom w:val="nil"/>
              <w:right w:val="nil"/>
            </w:tcBorders>
            <w:shd w:val="clear" w:color="000000" w:fill="FFFFFF"/>
            <w:noWrap/>
            <w:vAlign w:val="bottom"/>
            <w:hideMark/>
          </w:tcPr>
          <w:p w14:paraId="27B103A9"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CE641F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280</w:t>
            </w:r>
          </w:p>
        </w:tc>
        <w:tc>
          <w:tcPr>
            <w:tcW w:w="0" w:type="auto"/>
            <w:tcBorders>
              <w:top w:val="nil"/>
              <w:left w:val="nil"/>
              <w:bottom w:val="nil"/>
              <w:right w:val="nil"/>
            </w:tcBorders>
            <w:shd w:val="clear" w:color="000000" w:fill="FFFFFF"/>
            <w:noWrap/>
            <w:vAlign w:val="bottom"/>
            <w:hideMark/>
          </w:tcPr>
          <w:p w14:paraId="387E5E5A"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4,279</w:t>
            </w:r>
          </w:p>
        </w:tc>
        <w:tc>
          <w:tcPr>
            <w:tcW w:w="0" w:type="auto"/>
            <w:tcBorders>
              <w:top w:val="nil"/>
              <w:left w:val="nil"/>
              <w:bottom w:val="nil"/>
              <w:right w:val="nil"/>
            </w:tcBorders>
            <w:shd w:val="clear" w:color="000000" w:fill="FFFFFF"/>
            <w:noWrap/>
            <w:vAlign w:val="bottom"/>
            <w:hideMark/>
          </w:tcPr>
          <w:p w14:paraId="62F67B8F"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0.025</w:t>
            </w:r>
          </w:p>
        </w:tc>
        <w:tc>
          <w:tcPr>
            <w:tcW w:w="0" w:type="auto"/>
            <w:tcBorders>
              <w:top w:val="nil"/>
              <w:left w:val="nil"/>
              <w:bottom w:val="nil"/>
              <w:right w:val="nil"/>
            </w:tcBorders>
            <w:shd w:val="clear" w:color="000000" w:fill="FFFFFF"/>
            <w:noWrap/>
            <w:vAlign w:val="bottom"/>
            <w:hideMark/>
          </w:tcPr>
          <w:p w14:paraId="24EF0720"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00F118DE"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0.002</w:t>
            </w:r>
          </w:p>
        </w:tc>
        <w:tc>
          <w:tcPr>
            <w:tcW w:w="0" w:type="auto"/>
            <w:tcBorders>
              <w:top w:val="nil"/>
              <w:left w:val="nil"/>
              <w:bottom w:val="nil"/>
              <w:right w:val="nil"/>
            </w:tcBorders>
            <w:shd w:val="clear" w:color="000000" w:fill="FFFFFF"/>
            <w:noWrap/>
            <w:vAlign w:val="bottom"/>
            <w:hideMark/>
          </w:tcPr>
          <w:p w14:paraId="3C539FA4"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0.28</w:t>
            </w:r>
          </w:p>
        </w:tc>
        <w:tc>
          <w:tcPr>
            <w:tcW w:w="0" w:type="auto"/>
            <w:tcBorders>
              <w:top w:val="nil"/>
              <w:left w:val="nil"/>
              <w:bottom w:val="nil"/>
              <w:right w:val="nil"/>
            </w:tcBorders>
            <w:shd w:val="clear" w:color="000000" w:fill="FFFFFF"/>
            <w:noWrap/>
            <w:vAlign w:val="bottom"/>
            <w:hideMark/>
          </w:tcPr>
          <w:p w14:paraId="6F2029BF"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FEE8184"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0.011</w:t>
            </w:r>
          </w:p>
        </w:tc>
        <w:tc>
          <w:tcPr>
            <w:tcW w:w="0" w:type="auto"/>
            <w:tcBorders>
              <w:top w:val="nil"/>
              <w:left w:val="nil"/>
              <w:bottom w:val="nil"/>
              <w:right w:val="nil"/>
            </w:tcBorders>
            <w:shd w:val="clear" w:color="000000" w:fill="FFFFFF"/>
            <w:noWrap/>
            <w:vAlign w:val="bottom"/>
            <w:hideMark/>
          </w:tcPr>
          <w:p w14:paraId="3BEB8BF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−1.64</w:t>
            </w:r>
          </w:p>
        </w:tc>
        <w:tc>
          <w:tcPr>
            <w:tcW w:w="0" w:type="auto"/>
            <w:tcBorders>
              <w:top w:val="nil"/>
              <w:left w:val="nil"/>
              <w:bottom w:val="nil"/>
              <w:right w:val="nil"/>
            </w:tcBorders>
            <w:shd w:val="clear" w:color="000000" w:fill="FFFFFF"/>
            <w:noWrap/>
            <w:vAlign w:val="bottom"/>
            <w:hideMark/>
          </w:tcPr>
          <w:p w14:paraId="5665ECA8"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F34C605"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0.008</w:t>
            </w:r>
          </w:p>
        </w:tc>
        <w:tc>
          <w:tcPr>
            <w:tcW w:w="0" w:type="auto"/>
            <w:tcBorders>
              <w:top w:val="nil"/>
              <w:left w:val="nil"/>
              <w:bottom w:val="nil"/>
              <w:right w:val="nil"/>
            </w:tcBorders>
            <w:shd w:val="clear" w:color="000000" w:fill="FFFFFF"/>
            <w:noWrap/>
            <w:vAlign w:val="bottom"/>
            <w:hideMark/>
          </w:tcPr>
          <w:p w14:paraId="469D7140"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1.25</w:t>
            </w:r>
          </w:p>
        </w:tc>
      </w:tr>
      <w:tr w:rsidR="00D8387A" w:rsidRPr="009E0578" w14:paraId="25D95D19" w14:textId="77777777" w:rsidTr="00A41E04">
        <w:trPr>
          <w:trHeight w:val="189"/>
        </w:trPr>
        <w:tc>
          <w:tcPr>
            <w:tcW w:w="0" w:type="auto"/>
            <w:tcBorders>
              <w:top w:val="nil"/>
              <w:left w:val="nil"/>
              <w:bottom w:val="nil"/>
              <w:right w:val="nil"/>
            </w:tcBorders>
            <w:shd w:val="clear" w:color="000000" w:fill="FFFFFF"/>
            <w:noWrap/>
            <w:vAlign w:val="bottom"/>
            <w:hideMark/>
          </w:tcPr>
          <w:p w14:paraId="46C56A79"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1E927542"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3A91B86"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Short</w:t>
            </w:r>
          </w:p>
        </w:tc>
        <w:tc>
          <w:tcPr>
            <w:tcW w:w="0" w:type="auto"/>
            <w:tcBorders>
              <w:top w:val="nil"/>
              <w:left w:val="nil"/>
              <w:bottom w:val="nil"/>
              <w:right w:val="nil"/>
            </w:tcBorders>
            <w:shd w:val="clear" w:color="000000" w:fill="FFFFFF"/>
            <w:noWrap/>
            <w:vAlign w:val="bottom"/>
            <w:hideMark/>
          </w:tcPr>
          <w:p w14:paraId="3991C683"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2879598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312</w:t>
            </w:r>
          </w:p>
        </w:tc>
        <w:tc>
          <w:tcPr>
            <w:tcW w:w="0" w:type="auto"/>
            <w:tcBorders>
              <w:top w:val="nil"/>
              <w:left w:val="nil"/>
              <w:bottom w:val="nil"/>
              <w:right w:val="nil"/>
            </w:tcBorders>
            <w:shd w:val="clear" w:color="000000" w:fill="FFFFFF"/>
            <w:noWrap/>
            <w:vAlign w:val="bottom"/>
            <w:hideMark/>
          </w:tcPr>
          <w:p w14:paraId="526D0E0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4,280</w:t>
            </w:r>
          </w:p>
        </w:tc>
        <w:tc>
          <w:tcPr>
            <w:tcW w:w="0" w:type="auto"/>
            <w:tcBorders>
              <w:top w:val="nil"/>
              <w:left w:val="nil"/>
              <w:bottom w:val="nil"/>
              <w:right w:val="nil"/>
            </w:tcBorders>
            <w:shd w:val="clear" w:color="000000" w:fill="FFFFFF"/>
            <w:noWrap/>
            <w:vAlign w:val="bottom"/>
            <w:hideMark/>
          </w:tcPr>
          <w:p w14:paraId="3CC0D96C"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0.014</w:t>
            </w:r>
          </w:p>
        </w:tc>
        <w:tc>
          <w:tcPr>
            <w:tcW w:w="0" w:type="auto"/>
            <w:tcBorders>
              <w:top w:val="nil"/>
              <w:left w:val="nil"/>
              <w:bottom w:val="nil"/>
              <w:right w:val="nil"/>
            </w:tcBorders>
            <w:shd w:val="clear" w:color="000000" w:fill="FFFFFF"/>
            <w:noWrap/>
            <w:vAlign w:val="bottom"/>
            <w:hideMark/>
          </w:tcPr>
          <w:p w14:paraId="4D61CFC3"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3C6C4947"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0.041</w:t>
            </w:r>
          </w:p>
        </w:tc>
        <w:tc>
          <w:tcPr>
            <w:tcW w:w="0" w:type="auto"/>
            <w:tcBorders>
              <w:top w:val="nil"/>
              <w:left w:val="nil"/>
              <w:bottom w:val="nil"/>
              <w:right w:val="nil"/>
            </w:tcBorders>
            <w:shd w:val="clear" w:color="000000" w:fill="FFFFFF"/>
            <w:noWrap/>
            <w:vAlign w:val="bottom"/>
            <w:hideMark/>
          </w:tcPr>
          <w:p w14:paraId="2143EFAD"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4.58</w:t>
            </w:r>
          </w:p>
        </w:tc>
        <w:tc>
          <w:tcPr>
            <w:tcW w:w="0" w:type="auto"/>
            <w:tcBorders>
              <w:top w:val="nil"/>
              <w:left w:val="nil"/>
              <w:bottom w:val="nil"/>
              <w:right w:val="nil"/>
            </w:tcBorders>
            <w:shd w:val="clear" w:color="000000" w:fill="FFFFFF"/>
            <w:noWrap/>
            <w:vAlign w:val="bottom"/>
            <w:hideMark/>
          </w:tcPr>
          <w:p w14:paraId="464E933E"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4F7391BB"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0.050</w:t>
            </w:r>
          </w:p>
        </w:tc>
        <w:tc>
          <w:tcPr>
            <w:tcW w:w="0" w:type="auto"/>
            <w:tcBorders>
              <w:top w:val="nil"/>
              <w:left w:val="nil"/>
              <w:bottom w:val="nil"/>
              <w:right w:val="nil"/>
            </w:tcBorders>
            <w:shd w:val="clear" w:color="000000" w:fill="FFFFFF"/>
            <w:noWrap/>
            <w:vAlign w:val="bottom"/>
            <w:hideMark/>
          </w:tcPr>
          <w:p w14:paraId="1FAA9577"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6.60</w:t>
            </w:r>
          </w:p>
        </w:tc>
        <w:tc>
          <w:tcPr>
            <w:tcW w:w="0" w:type="auto"/>
            <w:tcBorders>
              <w:top w:val="nil"/>
              <w:left w:val="nil"/>
              <w:bottom w:val="nil"/>
              <w:right w:val="nil"/>
            </w:tcBorders>
            <w:shd w:val="clear" w:color="000000" w:fill="FFFFFF"/>
            <w:noWrap/>
            <w:vAlign w:val="bottom"/>
            <w:hideMark/>
          </w:tcPr>
          <w:p w14:paraId="6E34CA99"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nil"/>
              <w:right w:val="nil"/>
            </w:tcBorders>
            <w:shd w:val="clear" w:color="000000" w:fill="FFFFFF"/>
            <w:noWrap/>
            <w:vAlign w:val="bottom"/>
            <w:hideMark/>
          </w:tcPr>
          <w:p w14:paraId="7A4D3DA6"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0.043</w:t>
            </w:r>
          </w:p>
        </w:tc>
        <w:tc>
          <w:tcPr>
            <w:tcW w:w="0" w:type="auto"/>
            <w:tcBorders>
              <w:top w:val="nil"/>
              <w:left w:val="nil"/>
              <w:bottom w:val="nil"/>
              <w:right w:val="nil"/>
            </w:tcBorders>
            <w:shd w:val="clear" w:color="000000" w:fill="FFFFFF"/>
            <w:noWrap/>
            <w:vAlign w:val="bottom"/>
            <w:hideMark/>
          </w:tcPr>
          <w:p w14:paraId="00430311" w14:textId="77777777" w:rsidR="005226A1" w:rsidRPr="009E0578" w:rsidRDefault="005226A1" w:rsidP="00AA2627">
            <w:pPr>
              <w:spacing w:after="0" w:line="240" w:lineRule="auto"/>
              <w:jc w:val="center"/>
              <w:rPr>
                <w:rFonts w:ascii="Century Schoolbook" w:eastAsia="Times New Roman" w:hAnsi="Century Schoolbook" w:cs="Times New Roman"/>
                <w:color w:val="000000"/>
                <w:sz w:val="18"/>
                <w:szCs w:val="18"/>
              </w:rPr>
            </w:pPr>
            <w:r>
              <w:rPr>
                <w:rFonts w:ascii="Century Schoolbook" w:eastAsia="Times New Roman" w:hAnsi="Century Schoolbook" w:cs="Times New Roman"/>
                <w:color w:val="000000"/>
                <w:sz w:val="18"/>
                <w:szCs w:val="18"/>
              </w:rPr>
              <w:t>−</w:t>
            </w:r>
            <w:r w:rsidRPr="009E0578">
              <w:rPr>
                <w:rFonts w:ascii="Century Schoolbook" w:eastAsia="Times New Roman" w:hAnsi="Century Schoolbook" w:cs="Times New Roman"/>
                <w:color w:val="000000"/>
                <w:sz w:val="18"/>
                <w:szCs w:val="18"/>
              </w:rPr>
              <w:t>6.07</w:t>
            </w:r>
          </w:p>
        </w:tc>
      </w:tr>
      <w:tr w:rsidR="00D8387A" w:rsidRPr="00A41E04" w14:paraId="5FACD866" w14:textId="77777777" w:rsidTr="00D8387A">
        <w:trPr>
          <w:trHeight w:val="82"/>
        </w:trPr>
        <w:tc>
          <w:tcPr>
            <w:tcW w:w="0" w:type="auto"/>
            <w:tcBorders>
              <w:top w:val="nil"/>
              <w:left w:val="nil"/>
              <w:bottom w:val="single" w:sz="4" w:space="0" w:color="auto"/>
              <w:right w:val="nil"/>
            </w:tcBorders>
            <w:shd w:val="clear" w:color="000000" w:fill="FFFFFF"/>
            <w:noWrap/>
            <w:vAlign w:val="bottom"/>
            <w:hideMark/>
          </w:tcPr>
          <w:p w14:paraId="1ED54B39"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77B381FA" w14:textId="77777777" w:rsidR="005226A1" w:rsidRPr="009E0578" w:rsidRDefault="005226A1" w:rsidP="00AA2627">
            <w:pPr>
              <w:spacing w:after="0" w:line="240" w:lineRule="auto"/>
              <w:rPr>
                <w:rFonts w:ascii="Century Schoolbook" w:eastAsia="Times New Roman" w:hAnsi="Century Schoolbook" w:cs="Times New Roman"/>
                <w:color w:val="000000"/>
                <w:sz w:val="18"/>
                <w:szCs w:val="18"/>
              </w:rPr>
            </w:pPr>
            <w:r w:rsidRPr="009E0578">
              <w:rPr>
                <w:rFonts w:ascii="Century Schoolbook" w:eastAsia="Times New Roman" w:hAnsi="Century Schoolbook" w:cs="Times New Roman"/>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3C8E3D78"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Long−Short</w:t>
            </w:r>
          </w:p>
        </w:tc>
        <w:tc>
          <w:tcPr>
            <w:tcW w:w="0" w:type="auto"/>
            <w:tcBorders>
              <w:top w:val="nil"/>
              <w:left w:val="nil"/>
              <w:bottom w:val="single" w:sz="4" w:space="0" w:color="auto"/>
              <w:right w:val="nil"/>
            </w:tcBorders>
            <w:shd w:val="clear" w:color="000000" w:fill="FFFFFF"/>
            <w:noWrap/>
            <w:vAlign w:val="bottom"/>
            <w:hideMark/>
          </w:tcPr>
          <w:p w14:paraId="37D902EE" w14:textId="77777777" w:rsidR="005226A1" w:rsidRPr="00A41E04" w:rsidRDefault="005226A1" w:rsidP="00AA2627">
            <w:pPr>
              <w:spacing w:after="0" w:line="240" w:lineRule="auto"/>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1B52323D"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593</w:t>
            </w:r>
          </w:p>
        </w:tc>
        <w:tc>
          <w:tcPr>
            <w:tcW w:w="0" w:type="auto"/>
            <w:tcBorders>
              <w:top w:val="nil"/>
              <w:left w:val="nil"/>
              <w:bottom w:val="single" w:sz="4" w:space="0" w:color="auto"/>
              <w:right w:val="nil"/>
            </w:tcBorders>
            <w:shd w:val="clear" w:color="000000" w:fill="FFFFFF"/>
            <w:noWrap/>
            <w:vAlign w:val="bottom"/>
            <w:hideMark/>
          </w:tcPr>
          <w:p w14:paraId="3B5E1677"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4,279</w:t>
            </w:r>
          </w:p>
        </w:tc>
        <w:tc>
          <w:tcPr>
            <w:tcW w:w="0" w:type="auto"/>
            <w:tcBorders>
              <w:top w:val="nil"/>
              <w:left w:val="nil"/>
              <w:bottom w:val="single" w:sz="4" w:space="0" w:color="auto"/>
              <w:right w:val="nil"/>
            </w:tcBorders>
            <w:shd w:val="clear" w:color="000000" w:fill="FFFFFF"/>
            <w:noWrap/>
            <w:vAlign w:val="bottom"/>
            <w:hideMark/>
          </w:tcPr>
          <w:p w14:paraId="2390B7F0"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0.039</w:t>
            </w:r>
          </w:p>
        </w:tc>
        <w:tc>
          <w:tcPr>
            <w:tcW w:w="0" w:type="auto"/>
            <w:tcBorders>
              <w:top w:val="nil"/>
              <w:left w:val="nil"/>
              <w:bottom w:val="single" w:sz="4" w:space="0" w:color="auto"/>
              <w:right w:val="nil"/>
            </w:tcBorders>
            <w:shd w:val="clear" w:color="000000" w:fill="FFFFFF"/>
            <w:noWrap/>
            <w:vAlign w:val="bottom"/>
            <w:hideMark/>
          </w:tcPr>
          <w:p w14:paraId="01ED2A76" w14:textId="77777777" w:rsidR="005226A1" w:rsidRPr="00A41E04" w:rsidRDefault="005226A1" w:rsidP="00AA2627">
            <w:pPr>
              <w:spacing w:after="0" w:line="240" w:lineRule="auto"/>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0282B428"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0.039</w:t>
            </w:r>
          </w:p>
        </w:tc>
        <w:tc>
          <w:tcPr>
            <w:tcW w:w="0" w:type="auto"/>
            <w:tcBorders>
              <w:top w:val="nil"/>
              <w:left w:val="nil"/>
              <w:bottom w:val="single" w:sz="4" w:space="0" w:color="auto"/>
              <w:right w:val="nil"/>
            </w:tcBorders>
            <w:shd w:val="clear" w:color="000000" w:fill="FFFFFF"/>
            <w:noWrap/>
            <w:vAlign w:val="bottom"/>
            <w:hideMark/>
          </w:tcPr>
          <w:p w14:paraId="6B461A5A"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7.25</w:t>
            </w:r>
          </w:p>
        </w:tc>
        <w:tc>
          <w:tcPr>
            <w:tcW w:w="0" w:type="auto"/>
            <w:tcBorders>
              <w:top w:val="nil"/>
              <w:left w:val="nil"/>
              <w:bottom w:val="single" w:sz="4" w:space="0" w:color="auto"/>
              <w:right w:val="nil"/>
            </w:tcBorders>
            <w:shd w:val="clear" w:color="000000" w:fill="FFFFFF"/>
            <w:noWrap/>
            <w:vAlign w:val="bottom"/>
            <w:hideMark/>
          </w:tcPr>
          <w:p w14:paraId="7B6DEBE4" w14:textId="77777777" w:rsidR="005226A1" w:rsidRPr="00A41E04" w:rsidRDefault="005226A1" w:rsidP="00AA2627">
            <w:pPr>
              <w:spacing w:after="0" w:line="240" w:lineRule="auto"/>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42FF9678"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0.039</w:t>
            </w:r>
          </w:p>
        </w:tc>
        <w:tc>
          <w:tcPr>
            <w:tcW w:w="0" w:type="auto"/>
            <w:tcBorders>
              <w:top w:val="nil"/>
              <w:left w:val="nil"/>
              <w:bottom w:val="single" w:sz="4" w:space="0" w:color="auto"/>
              <w:right w:val="nil"/>
            </w:tcBorders>
            <w:shd w:val="clear" w:color="000000" w:fill="FFFFFF"/>
            <w:noWrap/>
            <w:vAlign w:val="bottom"/>
            <w:hideMark/>
          </w:tcPr>
          <w:p w14:paraId="623C512F"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7.21</w:t>
            </w:r>
          </w:p>
        </w:tc>
        <w:tc>
          <w:tcPr>
            <w:tcW w:w="0" w:type="auto"/>
            <w:tcBorders>
              <w:top w:val="nil"/>
              <w:left w:val="nil"/>
              <w:bottom w:val="single" w:sz="4" w:space="0" w:color="auto"/>
              <w:right w:val="nil"/>
            </w:tcBorders>
            <w:shd w:val="clear" w:color="000000" w:fill="FFFFFF"/>
            <w:noWrap/>
            <w:vAlign w:val="bottom"/>
            <w:hideMark/>
          </w:tcPr>
          <w:p w14:paraId="3F035EE0" w14:textId="77777777" w:rsidR="005226A1" w:rsidRPr="00A41E04" w:rsidRDefault="005226A1" w:rsidP="00AA2627">
            <w:pPr>
              <w:spacing w:after="0" w:line="240" w:lineRule="auto"/>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7F5B994E"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0.034</w:t>
            </w:r>
          </w:p>
        </w:tc>
        <w:tc>
          <w:tcPr>
            <w:tcW w:w="0" w:type="auto"/>
            <w:tcBorders>
              <w:top w:val="nil"/>
              <w:left w:val="nil"/>
              <w:bottom w:val="single" w:sz="4" w:space="0" w:color="auto"/>
              <w:right w:val="nil"/>
            </w:tcBorders>
            <w:shd w:val="clear" w:color="000000" w:fill="FFFFFF"/>
            <w:noWrap/>
            <w:vAlign w:val="bottom"/>
            <w:hideMark/>
          </w:tcPr>
          <w:p w14:paraId="78152EAF" w14:textId="77777777" w:rsidR="005226A1" w:rsidRPr="00A41E04" w:rsidRDefault="005226A1" w:rsidP="00AA2627">
            <w:pPr>
              <w:spacing w:after="0" w:line="240" w:lineRule="auto"/>
              <w:jc w:val="center"/>
              <w:rPr>
                <w:rFonts w:ascii="Century Schoolbook" w:eastAsia="Times New Roman" w:hAnsi="Century Schoolbook" w:cs="Times New Roman"/>
                <w:b/>
                <w:color w:val="000000"/>
                <w:sz w:val="18"/>
                <w:szCs w:val="18"/>
              </w:rPr>
            </w:pPr>
            <w:r w:rsidRPr="00A41E04">
              <w:rPr>
                <w:rFonts w:ascii="Century Schoolbook" w:eastAsia="Times New Roman" w:hAnsi="Century Schoolbook" w:cs="Times New Roman"/>
                <w:b/>
                <w:color w:val="000000"/>
                <w:sz w:val="18"/>
                <w:szCs w:val="18"/>
              </w:rPr>
              <w:t>6.73</w:t>
            </w:r>
          </w:p>
        </w:tc>
      </w:tr>
    </w:tbl>
    <w:p w14:paraId="0CA3FE02" w14:textId="77777777" w:rsidR="005226A1" w:rsidRDefault="005226A1" w:rsidP="005226A1">
      <w:pPr>
        <w:rPr>
          <w:rFonts w:ascii="Century Schoolbook" w:eastAsia="Times New Roman" w:hAnsi="Century Schoolbook" w:cs="Times New Roman"/>
          <w:b/>
          <w:sz w:val="20"/>
          <w:szCs w:val="20"/>
          <w:lang w:eastAsia="fr-FR"/>
        </w:rPr>
        <w:sectPr w:rsidR="005226A1" w:rsidSect="00D8387A">
          <w:pgSz w:w="15840" w:h="12240" w:orient="landscape"/>
          <w:pgMar w:top="810" w:right="1354" w:bottom="1170" w:left="1440" w:header="720" w:footer="720" w:gutter="0"/>
          <w:cols w:space="720"/>
          <w:docGrid w:linePitch="360"/>
        </w:sectPr>
      </w:pPr>
      <w:r>
        <w:rPr>
          <w:rFonts w:ascii="Century Schoolbook" w:eastAsia="Times New Roman" w:hAnsi="Century Schoolbook" w:cs="Times New Roman"/>
          <w:b/>
          <w:sz w:val="20"/>
          <w:szCs w:val="20"/>
          <w:lang w:eastAsia="fr-FR"/>
        </w:rPr>
        <w:br w:type="page"/>
      </w:r>
    </w:p>
    <w:p w14:paraId="1412CD44" w14:textId="4006C9BB" w:rsidR="00F770FF" w:rsidRPr="00CC6B40" w:rsidRDefault="00F770FF" w:rsidP="005226A1">
      <w:pPr>
        <w:jc w:val="center"/>
        <w:rPr>
          <w:rFonts w:ascii="Century Schoolbook" w:eastAsia="Times New Roman" w:hAnsi="Century Schoolbook" w:cs="Times New Roman"/>
          <w:b/>
          <w:sz w:val="20"/>
          <w:szCs w:val="20"/>
          <w:lang w:eastAsia="fr-FR"/>
        </w:rPr>
      </w:pPr>
      <w:r>
        <w:rPr>
          <w:rFonts w:ascii="Century Schoolbook" w:eastAsia="Times New Roman" w:hAnsi="Century Schoolbook" w:cs="Times New Roman"/>
          <w:b/>
          <w:sz w:val="20"/>
          <w:szCs w:val="20"/>
          <w:lang w:eastAsia="fr-FR"/>
        </w:rPr>
        <w:lastRenderedPageBreak/>
        <w:t>Appendix Table A</w:t>
      </w:r>
      <w:r w:rsidR="005226A1">
        <w:rPr>
          <w:rFonts w:ascii="Century Schoolbook" w:eastAsia="Times New Roman" w:hAnsi="Century Schoolbook" w:cs="Times New Roman"/>
          <w:b/>
          <w:sz w:val="20"/>
          <w:szCs w:val="20"/>
          <w:lang w:eastAsia="fr-FR"/>
        </w:rPr>
        <w:t>3</w:t>
      </w:r>
      <w:r>
        <w:rPr>
          <w:rFonts w:ascii="Century Schoolbook" w:eastAsia="Times New Roman" w:hAnsi="Century Schoolbook" w:cs="Times New Roman"/>
          <w:b/>
          <w:sz w:val="20"/>
          <w:szCs w:val="20"/>
          <w:lang w:eastAsia="fr-FR"/>
        </w:rPr>
        <w:t>. Capital IQ</w:t>
      </w:r>
      <w:r w:rsidR="00283836">
        <w:rPr>
          <w:rFonts w:ascii="Century Schoolbook" w:eastAsia="Times New Roman" w:hAnsi="Century Schoolbook" w:cs="Times New Roman"/>
          <w:b/>
          <w:sz w:val="20"/>
          <w:szCs w:val="20"/>
          <w:lang w:eastAsia="fr-FR"/>
        </w:rPr>
        <w:t>–I/B/E/S</w:t>
      </w:r>
      <w:r>
        <w:rPr>
          <w:rFonts w:ascii="Century Schoolbook" w:eastAsia="Times New Roman" w:hAnsi="Century Schoolbook" w:cs="Times New Roman"/>
          <w:b/>
          <w:sz w:val="20"/>
          <w:szCs w:val="20"/>
          <w:lang w:eastAsia="fr-FR"/>
        </w:rPr>
        <w:t xml:space="preserve"> News Dictionary</w:t>
      </w:r>
    </w:p>
    <w:p w14:paraId="71F36160" w14:textId="2BAA9D5B" w:rsidR="00F770FF" w:rsidRDefault="00F770FF" w:rsidP="00D4699A">
      <w:pPr>
        <w:spacing w:line="240" w:lineRule="auto"/>
        <w:jc w:val="both"/>
        <w:rPr>
          <w:rFonts w:ascii="Century Schoolbook" w:eastAsia="Times New Roman" w:hAnsi="Century Schoolbook" w:cs="Times New Roman"/>
          <w:sz w:val="20"/>
          <w:szCs w:val="20"/>
          <w:lang w:eastAsia="fr-FR"/>
        </w:rPr>
      </w:pPr>
      <w:r>
        <w:rPr>
          <w:rFonts w:ascii="Century Schoolbook" w:eastAsia="Times New Roman" w:hAnsi="Century Schoolbook" w:cs="Times New Roman"/>
          <w:sz w:val="20"/>
          <w:szCs w:val="20"/>
          <w:lang w:eastAsia="fr-FR"/>
        </w:rPr>
        <w:t xml:space="preserve">This table </w:t>
      </w:r>
      <w:r w:rsidR="00283836">
        <w:rPr>
          <w:rFonts w:ascii="Century Schoolbook" w:eastAsia="Times New Roman" w:hAnsi="Century Schoolbook" w:cs="Times New Roman"/>
          <w:sz w:val="20"/>
          <w:szCs w:val="20"/>
          <w:lang w:eastAsia="fr-FR"/>
        </w:rPr>
        <w:t>provides</w:t>
      </w:r>
      <w:r>
        <w:rPr>
          <w:rFonts w:ascii="Century Schoolbook" w:eastAsia="Times New Roman" w:hAnsi="Century Schoolbook" w:cs="Times New Roman"/>
          <w:sz w:val="20"/>
          <w:szCs w:val="20"/>
          <w:lang w:eastAsia="fr-FR"/>
        </w:rPr>
        <w:t xml:space="preserve"> the mapping between the Capital </w:t>
      </w:r>
      <w:r w:rsidR="00BE4303">
        <w:rPr>
          <w:rFonts w:ascii="Century Schoolbook" w:eastAsia="Times New Roman" w:hAnsi="Century Schoolbook" w:cs="Times New Roman"/>
          <w:sz w:val="20"/>
          <w:szCs w:val="20"/>
          <w:lang w:eastAsia="fr-FR"/>
        </w:rPr>
        <w:t>IQ’s Key Development</w:t>
      </w:r>
      <w:r>
        <w:rPr>
          <w:rFonts w:ascii="Century Schoolbook" w:eastAsia="Times New Roman" w:hAnsi="Century Schoolbook" w:cs="Times New Roman"/>
          <w:sz w:val="20"/>
          <w:szCs w:val="20"/>
          <w:lang w:eastAsia="fr-FR"/>
        </w:rPr>
        <w:t xml:space="preserve"> items </w:t>
      </w:r>
      <w:r w:rsidR="00283836">
        <w:rPr>
          <w:rFonts w:ascii="Century Schoolbook" w:eastAsia="Times New Roman" w:hAnsi="Century Schoolbook" w:cs="Times New Roman"/>
          <w:sz w:val="20"/>
          <w:szCs w:val="20"/>
          <w:lang w:eastAsia="fr-FR"/>
        </w:rPr>
        <w:t xml:space="preserve">and I/B/E/S news to </w:t>
      </w:r>
      <w:r>
        <w:rPr>
          <w:rFonts w:ascii="Century Schoolbook" w:eastAsia="Times New Roman" w:hAnsi="Century Schoolbook" w:cs="Times New Roman"/>
          <w:sz w:val="20"/>
          <w:szCs w:val="20"/>
          <w:lang w:eastAsia="fr-FR"/>
        </w:rPr>
        <w:t>our</w:t>
      </w:r>
      <w:r w:rsidR="00283836">
        <w:rPr>
          <w:rFonts w:ascii="Century Schoolbook" w:eastAsia="Times New Roman" w:hAnsi="Century Schoolbook" w:cs="Times New Roman"/>
          <w:sz w:val="20"/>
          <w:szCs w:val="20"/>
          <w:lang w:eastAsia="fr-FR"/>
        </w:rPr>
        <w:t xml:space="preserve"> 14 news categories. The Capital IQ dataset classifies </w:t>
      </w:r>
      <w:r>
        <w:rPr>
          <w:rFonts w:ascii="Century Schoolbook" w:eastAsia="Times New Roman" w:hAnsi="Century Schoolbook" w:cs="Times New Roman"/>
          <w:sz w:val="20"/>
          <w:szCs w:val="20"/>
          <w:lang w:eastAsia="fr-FR"/>
        </w:rPr>
        <w:t xml:space="preserve">news into </w:t>
      </w:r>
      <w:r w:rsidR="00283836">
        <w:rPr>
          <w:rFonts w:ascii="Century Schoolbook" w:eastAsia="Times New Roman" w:hAnsi="Century Schoolbook" w:cs="Times New Roman"/>
          <w:sz w:val="20"/>
          <w:szCs w:val="20"/>
          <w:lang w:eastAsia="fr-FR"/>
        </w:rPr>
        <w:t xml:space="preserve">various items with a label and </w:t>
      </w:r>
      <w:r w:rsidR="00D73A34">
        <w:rPr>
          <w:rFonts w:ascii="Century Schoolbook" w:eastAsia="Times New Roman" w:hAnsi="Century Schoolbook" w:cs="Times New Roman"/>
          <w:sz w:val="20"/>
          <w:szCs w:val="20"/>
          <w:lang w:eastAsia="fr-FR"/>
        </w:rPr>
        <w:t xml:space="preserve">numeric </w:t>
      </w:r>
      <w:r w:rsidR="00283836">
        <w:rPr>
          <w:rFonts w:ascii="Century Schoolbook" w:eastAsia="Times New Roman" w:hAnsi="Century Schoolbook" w:cs="Times New Roman"/>
          <w:sz w:val="20"/>
          <w:szCs w:val="20"/>
          <w:lang w:eastAsia="fr-FR"/>
        </w:rPr>
        <w:t>code. We supplement the Capital IQ database with</w:t>
      </w:r>
      <w:r>
        <w:rPr>
          <w:rFonts w:ascii="Century Schoolbook" w:eastAsia="Times New Roman" w:hAnsi="Century Schoolbook" w:cs="Times New Roman"/>
          <w:sz w:val="20"/>
          <w:szCs w:val="20"/>
          <w:lang w:eastAsia="fr-FR"/>
        </w:rPr>
        <w:t xml:space="preserve"> I/B/E/S </w:t>
      </w:r>
      <w:r w:rsidR="00283836">
        <w:rPr>
          <w:rFonts w:ascii="Century Schoolbook" w:eastAsia="Times New Roman" w:hAnsi="Century Schoolbook" w:cs="Times New Roman"/>
          <w:sz w:val="20"/>
          <w:szCs w:val="20"/>
          <w:lang w:eastAsia="fr-FR"/>
        </w:rPr>
        <w:t>earnings</w:t>
      </w:r>
      <w:r w:rsidR="00D4699A">
        <w:rPr>
          <w:rFonts w:ascii="Century Schoolbook" w:eastAsia="Times New Roman" w:hAnsi="Century Schoolbook" w:cs="Times New Roman"/>
          <w:sz w:val="20"/>
          <w:szCs w:val="20"/>
          <w:lang w:eastAsia="fr-FR"/>
        </w:rPr>
        <w:t xml:space="preserve"> announcements</w:t>
      </w:r>
      <w:r w:rsidR="00283836">
        <w:rPr>
          <w:rFonts w:ascii="Century Schoolbook" w:eastAsia="Times New Roman" w:hAnsi="Century Schoolbook" w:cs="Times New Roman"/>
          <w:sz w:val="20"/>
          <w:szCs w:val="20"/>
          <w:lang w:eastAsia="fr-FR"/>
        </w:rPr>
        <w:t xml:space="preserve"> and management forecasts data. </w:t>
      </w:r>
      <w:r w:rsidR="00D73A34">
        <w:rPr>
          <w:rFonts w:ascii="Century Schoolbook" w:eastAsia="Times New Roman" w:hAnsi="Century Schoolbook" w:cs="Times New Roman"/>
          <w:sz w:val="20"/>
          <w:szCs w:val="20"/>
          <w:lang w:eastAsia="fr-FR"/>
        </w:rPr>
        <w:t xml:space="preserve"> We group various news items </w:t>
      </w:r>
      <w:r>
        <w:rPr>
          <w:rFonts w:ascii="Century Schoolbook" w:eastAsia="Times New Roman" w:hAnsi="Century Schoolbook" w:cs="Times New Roman"/>
          <w:sz w:val="20"/>
          <w:szCs w:val="20"/>
          <w:lang w:eastAsia="fr-FR"/>
        </w:rPr>
        <w:t>into 1</w:t>
      </w:r>
      <w:r w:rsidR="00D73A34">
        <w:rPr>
          <w:rFonts w:ascii="Century Schoolbook" w:eastAsia="Times New Roman" w:hAnsi="Century Schoolbook" w:cs="Times New Roman"/>
          <w:sz w:val="20"/>
          <w:szCs w:val="20"/>
          <w:lang w:eastAsia="fr-FR"/>
        </w:rPr>
        <w:t>4 categories:</w:t>
      </w:r>
      <w:r>
        <w:rPr>
          <w:rFonts w:ascii="Century Schoolbook" w:eastAsia="Times New Roman" w:hAnsi="Century Schoolbook" w:cs="Times New Roman"/>
          <w:sz w:val="20"/>
          <w:szCs w:val="20"/>
          <w:lang w:eastAsia="fr-FR"/>
        </w:rPr>
        <w:t xml:space="preserve"> </w:t>
      </w:r>
      <w:r w:rsidR="00D73A34" w:rsidRPr="00D73A34">
        <w:rPr>
          <w:rFonts w:ascii="Century Schoolbook" w:eastAsia="Times New Roman" w:hAnsi="Century Schoolbook" w:cs="Times New Roman"/>
          <w:i/>
          <w:sz w:val="20"/>
          <w:szCs w:val="20"/>
          <w:lang w:eastAsia="fr-FR"/>
        </w:rPr>
        <w:t xml:space="preserve">Earnings </w:t>
      </w:r>
      <w:r w:rsidR="007B1C68">
        <w:rPr>
          <w:rFonts w:ascii="Century Schoolbook" w:eastAsia="Times New Roman" w:hAnsi="Century Schoolbook" w:cs="Times New Roman"/>
          <w:i/>
          <w:sz w:val="20"/>
          <w:szCs w:val="20"/>
          <w:lang w:eastAsia="fr-FR"/>
        </w:rPr>
        <w:t>a</w:t>
      </w:r>
      <w:r w:rsidR="00D73A34" w:rsidRPr="00D73A34">
        <w:rPr>
          <w:rFonts w:ascii="Century Schoolbook" w:eastAsia="Times New Roman" w:hAnsi="Century Schoolbook" w:cs="Times New Roman"/>
          <w:i/>
          <w:sz w:val="20"/>
          <w:szCs w:val="20"/>
          <w:lang w:eastAsia="fr-FR"/>
        </w:rPr>
        <w:t>nnouncement</w:t>
      </w:r>
      <w:r w:rsidR="00D73A34">
        <w:rPr>
          <w:rFonts w:ascii="Century Schoolbook" w:eastAsia="Times New Roman" w:hAnsi="Century Schoolbook" w:cs="Times New Roman"/>
          <w:sz w:val="20"/>
          <w:szCs w:val="20"/>
          <w:lang w:eastAsia="fr-FR"/>
        </w:rPr>
        <w:t xml:space="preserve">; </w:t>
      </w:r>
      <w:r w:rsidR="00D73A34" w:rsidRPr="00D73A34">
        <w:rPr>
          <w:rFonts w:ascii="Century Schoolbook" w:eastAsia="Times New Roman" w:hAnsi="Century Schoolbook" w:cs="Times New Roman"/>
          <w:i/>
          <w:sz w:val="20"/>
          <w:szCs w:val="20"/>
          <w:lang w:eastAsia="fr-FR"/>
        </w:rPr>
        <w:t xml:space="preserve">Management </w:t>
      </w:r>
      <w:r w:rsidR="007B1C68">
        <w:rPr>
          <w:rFonts w:ascii="Century Schoolbook" w:eastAsia="Times New Roman" w:hAnsi="Century Schoolbook" w:cs="Times New Roman"/>
          <w:i/>
          <w:sz w:val="20"/>
          <w:szCs w:val="20"/>
          <w:lang w:eastAsia="fr-FR"/>
        </w:rPr>
        <w:t>f</w:t>
      </w:r>
      <w:r w:rsidR="00D73A34" w:rsidRPr="00D73A34">
        <w:rPr>
          <w:rFonts w:ascii="Century Schoolbook" w:eastAsia="Times New Roman" w:hAnsi="Century Schoolbook" w:cs="Times New Roman"/>
          <w:i/>
          <w:sz w:val="20"/>
          <w:szCs w:val="20"/>
          <w:lang w:eastAsia="fr-FR"/>
        </w:rPr>
        <w:t>orecasts</w:t>
      </w:r>
      <w:r w:rsidR="00D73A34">
        <w:rPr>
          <w:rFonts w:ascii="Century Schoolbook" w:eastAsia="Times New Roman" w:hAnsi="Century Schoolbook" w:cs="Times New Roman"/>
          <w:sz w:val="20"/>
          <w:szCs w:val="20"/>
          <w:lang w:eastAsia="fr-FR"/>
        </w:rPr>
        <w:t xml:space="preserve">; </w:t>
      </w:r>
      <w:r w:rsidRPr="008E6639">
        <w:rPr>
          <w:rFonts w:ascii="Century Schoolbook" w:eastAsia="Times New Roman" w:hAnsi="Century Schoolbook" w:cs="Times New Roman"/>
          <w:i/>
          <w:sz w:val="20"/>
          <w:szCs w:val="20"/>
          <w:lang w:eastAsia="fr-FR"/>
        </w:rPr>
        <w:t xml:space="preserve">Product </w:t>
      </w:r>
      <w:r w:rsidR="007B1C68">
        <w:rPr>
          <w:rFonts w:ascii="Century Schoolbook" w:eastAsia="Times New Roman" w:hAnsi="Century Schoolbook" w:cs="Times New Roman"/>
          <w:i/>
          <w:sz w:val="20"/>
          <w:szCs w:val="20"/>
          <w:lang w:eastAsia="fr-FR"/>
        </w:rPr>
        <w:t>m</w:t>
      </w:r>
      <w:r w:rsidRPr="008E6639">
        <w:rPr>
          <w:rFonts w:ascii="Century Schoolbook" w:eastAsia="Times New Roman" w:hAnsi="Century Schoolbook" w:cs="Times New Roman"/>
          <w:i/>
          <w:sz w:val="20"/>
          <w:szCs w:val="20"/>
          <w:lang w:eastAsia="fr-FR"/>
        </w:rPr>
        <w:t>arket</w:t>
      </w:r>
      <w:r w:rsidR="004E33BA">
        <w:rPr>
          <w:rFonts w:ascii="Century Schoolbook" w:eastAsia="Times New Roman" w:hAnsi="Century Schoolbook" w:cs="Times New Roman"/>
          <w:i/>
          <w:sz w:val="20"/>
          <w:szCs w:val="20"/>
          <w:lang w:eastAsia="fr-FR"/>
        </w:rPr>
        <w:t xml:space="preserve"> &amp;</w:t>
      </w:r>
      <w:r w:rsidRPr="008E6639">
        <w:rPr>
          <w:rFonts w:ascii="Century Schoolbook" w:eastAsia="Times New Roman" w:hAnsi="Century Schoolbook" w:cs="Times New Roman"/>
          <w:i/>
          <w:sz w:val="20"/>
          <w:szCs w:val="20"/>
          <w:lang w:eastAsia="fr-FR"/>
        </w:rPr>
        <w:t xml:space="preserve"> Operations</w:t>
      </w:r>
      <w:r w:rsidR="00D73A34">
        <w:rPr>
          <w:rFonts w:ascii="Century Schoolbook" w:eastAsia="Times New Roman" w:hAnsi="Century Schoolbook" w:cs="Times New Roman"/>
          <w:sz w:val="20"/>
          <w:szCs w:val="20"/>
          <w:lang w:eastAsia="fr-FR"/>
        </w:rPr>
        <w:t xml:space="preserve">; </w:t>
      </w:r>
      <w:r w:rsidRPr="008E6639">
        <w:rPr>
          <w:rFonts w:ascii="Century Schoolbook" w:eastAsia="Times New Roman" w:hAnsi="Century Schoolbook" w:cs="Times New Roman"/>
          <w:i/>
          <w:sz w:val="20"/>
          <w:szCs w:val="20"/>
          <w:lang w:eastAsia="fr-FR"/>
        </w:rPr>
        <w:t>Payout policy</w:t>
      </w:r>
      <w:r>
        <w:rPr>
          <w:rFonts w:ascii="Century Schoolbook" w:eastAsia="Times New Roman" w:hAnsi="Century Schoolbook" w:cs="Times New Roman"/>
          <w:sz w:val="20"/>
          <w:szCs w:val="20"/>
          <w:lang w:eastAsia="fr-FR"/>
        </w:rPr>
        <w:t xml:space="preserve">; </w:t>
      </w:r>
      <w:r w:rsidR="00D73A34">
        <w:rPr>
          <w:rFonts w:ascii="Century Schoolbook" w:eastAsia="Times New Roman" w:hAnsi="Century Schoolbook" w:cs="Times New Roman"/>
          <w:i/>
          <w:sz w:val="20"/>
          <w:szCs w:val="20"/>
          <w:lang w:eastAsia="fr-FR"/>
        </w:rPr>
        <w:t xml:space="preserve">Executive </w:t>
      </w:r>
      <w:r w:rsidR="007B1C68">
        <w:rPr>
          <w:rFonts w:ascii="Century Schoolbook" w:eastAsia="Times New Roman" w:hAnsi="Century Schoolbook" w:cs="Times New Roman"/>
          <w:i/>
          <w:sz w:val="20"/>
          <w:szCs w:val="20"/>
          <w:lang w:eastAsia="fr-FR"/>
        </w:rPr>
        <w:t>t</w:t>
      </w:r>
      <w:r w:rsidRPr="008E6639">
        <w:rPr>
          <w:rFonts w:ascii="Century Schoolbook" w:eastAsia="Times New Roman" w:hAnsi="Century Schoolbook" w:cs="Times New Roman"/>
          <w:i/>
          <w:sz w:val="20"/>
          <w:szCs w:val="20"/>
          <w:lang w:eastAsia="fr-FR"/>
        </w:rPr>
        <w:t>urnover</w:t>
      </w:r>
      <w:r>
        <w:rPr>
          <w:rFonts w:ascii="Century Schoolbook" w:eastAsia="Times New Roman" w:hAnsi="Century Schoolbook" w:cs="Times New Roman"/>
          <w:sz w:val="20"/>
          <w:szCs w:val="20"/>
          <w:lang w:eastAsia="fr-FR"/>
        </w:rPr>
        <w:t xml:space="preserve">; </w:t>
      </w:r>
      <w:r w:rsidR="00D73A34">
        <w:rPr>
          <w:rFonts w:ascii="Century Schoolbook" w:eastAsia="Times New Roman" w:hAnsi="Century Schoolbook" w:cs="Times New Roman"/>
          <w:i/>
          <w:sz w:val="20"/>
          <w:szCs w:val="20"/>
          <w:lang w:eastAsia="fr-FR"/>
        </w:rPr>
        <w:t xml:space="preserve">Securities </w:t>
      </w:r>
      <w:r w:rsidR="007B1C68">
        <w:rPr>
          <w:rFonts w:ascii="Century Schoolbook" w:eastAsia="Times New Roman" w:hAnsi="Century Schoolbook" w:cs="Times New Roman"/>
          <w:i/>
          <w:sz w:val="20"/>
          <w:szCs w:val="20"/>
          <w:lang w:eastAsia="fr-FR"/>
        </w:rPr>
        <w:t>i</w:t>
      </w:r>
      <w:r w:rsidRPr="008E6639">
        <w:rPr>
          <w:rFonts w:ascii="Century Schoolbook" w:eastAsia="Times New Roman" w:hAnsi="Century Schoolbook" w:cs="Times New Roman"/>
          <w:i/>
          <w:sz w:val="20"/>
          <w:szCs w:val="20"/>
          <w:lang w:eastAsia="fr-FR"/>
        </w:rPr>
        <w:t>ssuance</w:t>
      </w:r>
      <w:r>
        <w:rPr>
          <w:rFonts w:ascii="Century Schoolbook" w:eastAsia="Times New Roman" w:hAnsi="Century Schoolbook" w:cs="Times New Roman"/>
          <w:sz w:val="20"/>
          <w:szCs w:val="20"/>
          <w:lang w:eastAsia="fr-FR"/>
        </w:rPr>
        <w:t xml:space="preserve">; </w:t>
      </w:r>
      <w:r w:rsidRPr="008E6639">
        <w:rPr>
          <w:rFonts w:ascii="Century Schoolbook" w:eastAsia="Times New Roman" w:hAnsi="Century Schoolbook" w:cs="Times New Roman"/>
          <w:i/>
          <w:sz w:val="20"/>
          <w:szCs w:val="20"/>
          <w:lang w:eastAsia="fr-FR"/>
        </w:rPr>
        <w:t>M&amp;A</w:t>
      </w:r>
      <w:r>
        <w:rPr>
          <w:rFonts w:ascii="Century Schoolbook" w:eastAsia="Times New Roman" w:hAnsi="Century Schoolbook" w:cs="Times New Roman"/>
          <w:sz w:val="20"/>
          <w:szCs w:val="20"/>
          <w:lang w:eastAsia="fr-FR"/>
        </w:rPr>
        <w:t xml:space="preserve">; </w:t>
      </w:r>
      <w:r w:rsidR="00D73A34">
        <w:rPr>
          <w:rFonts w:ascii="Century Schoolbook" w:eastAsia="Times New Roman" w:hAnsi="Century Schoolbook" w:cs="Times New Roman"/>
          <w:i/>
          <w:sz w:val="20"/>
          <w:szCs w:val="20"/>
          <w:lang w:eastAsia="fr-FR"/>
        </w:rPr>
        <w:t xml:space="preserve">Restatement and </w:t>
      </w:r>
      <w:r w:rsidR="007B1C68">
        <w:rPr>
          <w:rFonts w:ascii="Century Schoolbook" w:eastAsia="Times New Roman" w:hAnsi="Century Schoolbook" w:cs="Times New Roman"/>
          <w:i/>
          <w:sz w:val="20"/>
          <w:szCs w:val="20"/>
          <w:lang w:eastAsia="fr-FR"/>
        </w:rPr>
        <w:t>a</w:t>
      </w:r>
      <w:r w:rsidRPr="008E6639">
        <w:rPr>
          <w:rFonts w:ascii="Century Schoolbook" w:eastAsia="Times New Roman" w:hAnsi="Century Schoolbook" w:cs="Times New Roman"/>
          <w:i/>
          <w:sz w:val="20"/>
          <w:szCs w:val="20"/>
          <w:lang w:eastAsia="fr-FR"/>
        </w:rPr>
        <w:t>uditing</w:t>
      </w:r>
      <w:r>
        <w:rPr>
          <w:rFonts w:ascii="Century Schoolbook" w:eastAsia="Times New Roman" w:hAnsi="Century Schoolbook" w:cs="Times New Roman"/>
          <w:sz w:val="20"/>
          <w:szCs w:val="20"/>
          <w:lang w:eastAsia="fr-FR"/>
        </w:rPr>
        <w:t xml:space="preserve">; </w:t>
      </w:r>
      <w:r w:rsidR="00D73A34">
        <w:rPr>
          <w:rFonts w:ascii="Century Schoolbook" w:eastAsia="Times New Roman" w:hAnsi="Century Schoolbook" w:cs="Times New Roman"/>
          <w:i/>
          <w:sz w:val="20"/>
          <w:szCs w:val="20"/>
          <w:lang w:eastAsia="fr-FR"/>
        </w:rPr>
        <w:t xml:space="preserve">Agenda </w:t>
      </w:r>
      <w:r w:rsidR="007B1C68">
        <w:rPr>
          <w:rFonts w:ascii="Century Schoolbook" w:eastAsia="Times New Roman" w:hAnsi="Century Schoolbook" w:cs="Times New Roman"/>
          <w:i/>
          <w:sz w:val="20"/>
          <w:szCs w:val="20"/>
          <w:lang w:eastAsia="fr-FR"/>
        </w:rPr>
        <w:t>c</w:t>
      </w:r>
      <w:r w:rsidRPr="008E6639">
        <w:rPr>
          <w:rFonts w:ascii="Century Schoolbook" w:eastAsia="Times New Roman" w:hAnsi="Century Schoolbook" w:cs="Times New Roman"/>
          <w:i/>
          <w:sz w:val="20"/>
          <w:szCs w:val="20"/>
          <w:lang w:eastAsia="fr-FR"/>
        </w:rPr>
        <w:t>ommunication</w:t>
      </w:r>
      <w:r>
        <w:rPr>
          <w:rFonts w:ascii="Century Schoolbook" w:eastAsia="Times New Roman" w:hAnsi="Century Schoolbook" w:cs="Times New Roman"/>
          <w:sz w:val="20"/>
          <w:szCs w:val="20"/>
          <w:lang w:eastAsia="fr-FR"/>
        </w:rPr>
        <w:t xml:space="preserve">; </w:t>
      </w:r>
      <w:r w:rsidR="00D73A34">
        <w:rPr>
          <w:rFonts w:ascii="Century Schoolbook" w:eastAsia="Times New Roman" w:hAnsi="Century Schoolbook" w:cs="Times New Roman"/>
          <w:i/>
          <w:sz w:val="20"/>
          <w:szCs w:val="20"/>
          <w:lang w:eastAsia="fr-FR"/>
        </w:rPr>
        <w:t xml:space="preserve">Legal </w:t>
      </w:r>
      <w:r w:rsidR="007B1C68">
        <w:rPr>
          <w:rFonts w:ascii="Century Schoolbook" w:eastAsia="Times New Roman" w:hAnsi="Century Schoolbook" w:cs="Times New Roman"/>
          <w:i/>
          <w:sz w:val="20"/>
          <w:szCs w:val="20"/>
          <w:lang w:eastAsia="fr-FR"/>
        </w:rPr>
        <w:t>i</w:t>
      </w:r>
      <w:r w:rsidRPr="008E6639">
        <w:rPr>
          <w:rFonts w:ascii="Century Schoolbook" w:eastAsia="Times New Roman" w:hAnsi="Century Schoolbook" w:cs="Times New Roman"/>
          <w:i/>
          <w:sz w:val="20"/>
          <w:szCs w:val="20"/>
          <w:lang w:eastAsia="fr-FR"/>
        </w:rPr>
        <w:t>ssues</w:t>
      </w:r>
      <w:r>
        <w:rPr>
          <w:rFonts w:ascii="Century Schoolbook" w:eastAsia="Times New Roman" w:hAnsi="Century Schoolbook" w:cs="Times New Roman"/>
          <w:sz w:val="20"/>
          <w:szCs w:val="20"/>
          <w:lang w:eastAsia="fr-FR"/>
        </w:rPr>
        <w:t xml:space="preserve">; </w:t>
      </w:r>
      <w:r w:rsidR="00D73A34">
        <w:rPr>
          <w:rFonts w:ascii="Century Schoolbook" w:eastAsia="Times New Roman" w:hAnsi="Century Schoolbook" w:cs="Times New Roman"/>
          <w:i/>
          <w:sz w:val="20"/>
          <w:szCs w:val="20"/>
          <w:lang w:eastAsia="fr-FR"/>
        </w:rPr>
        <w:t xml:space="preserve">Shareholder </w:t>
      </w:r>
      <w:r w:rsidR="007B1C68">
        <w:rPr>
          <w:rFonts w:ascii="Century Schoolbook" w:eastAsia="Times New Roman" w:hAnsi="Century Schoolbook" w:cs="Times New Roman"/>
          <w:i/>
          <w:sz w:val="20"/>
          <w:szCs w:val="20"/>
          <w:lang w:eastAsia="fr-FR"/>
        </w:rPr>
        <w:t>a</w:t>
      </w:r>
      <w:r w:rsidRPr="008E6639">
        <w:rPr>
          <w:rFonts w:ascii="Century Schoolbook" w:eastAsia="Times New Roman" w:hAnsi="Century Schoolbook" w:cs="Times New Roman"/>
          <w:i/>
          <w:sz w:val="20"/>
          <w:szCs w:val="20"/>
          <w:lang w:eastAsia="fr-FR"/>
        </w:rPr>
        <w:t>ctivism</w:t>
      </w:r>
      <w:r>
        <w:rPr>
          <w:rFonts w:ascii="Century Schoolbook" w:eastAsia="Times New Roman" w:hAnsi="Century Schoolbook" w:cs="Times New Roman"/>
          <w:sz w:val="20"/>
          <w:szCs w:val="20"/>
          <w:lang w:eastAsia="fr-FR"/>
        </w:rPr>
        <w:t xml:space="preserve">; </w:t>
      </w:r>
      <w:r w:rsidRPr="008E6639">
        <w:rPr>
          <w:rFonts w:ascii="Century Schoolbook" w:eastAsia="Times New Roman" w:hAnsi="Century Schoolbook" w:cs="Times New Roman"/>
          <w:i/>
          <w:sz w:val="20"/>
          <w:szCs w:val="20"/>
          <w:lang w:eastAsia="fr-FR"/>
        </w:rPr>
        <w:t>Bankruptcy</w:t>
      </w:r>
      <w:r>
        <w:rPr>
          <w:rFonts w:ascii="Century Schoolbook" w:eastAsia="Times New Roman" w:hAnsi="Century Schoolbook" w:cs="Times New Roman"/>
          <w:sz w:val="20"/>
          <w:szCs w:val="20"/>
          <w:lang w:eastAsia="fr-FR"/>
        </w:rPr>
        <w:t>;</w:t>
      </w:r>
      <w:r w:rsidR="00D4699A">
        <w:rPr>
          <w:rFonts w:ascii="Century Schoolbook" w:eastAsia="Times New Roman" w:hAnsi="Century Schoolbook" w:cs="Times New Roman"/>
          <w:sz w:val="20"/>
          <w:szCs w:val="20"/>
          <w:lang w:eastAsia="fr-FR"/>
        </w:rPr>
        <w:t xml:space="preserve"> </w:t>
      </w:r>
      <w:r w:rsidR="00D4699A">
        <w:rPr>
          <w:rFonts w:ascii="Century Schoolbook" w:eastAsia="Times New Roman" w:hAnsi="Century Schoolbook" w:cs="Times New Roman"/>
          <w:i/>
          <w:sz w:val="20"/>
          <w:szCs w:val="20"/>
          <w:lang w:eastAsia="fr-FR"/>
        </w:rPr>
        <w:t xml:space="preserve">Security </w:t>
      </w:r>
      <w:r w:rsidR="007B1C68">
        <w:rPr>
          <w:rFonts w:ascii="Century Schoolbook" w:eastAsia="Times New Roman" w:hAnsi="Century Schoolbook" w:cs="Times New Roman"/>
          <w:i/>
          <w:sz w:val="20"/>
          <w:szCs w:val="20"/>
          <w:lang w:eastAsia="fr-FR"/>
        </w:rPr>
        <w:t>t</w:t>
      </w:r>
      <w:r w:rsidRPr="008E6639">
        <w:rPr>
          <w:rFonts w:ascii="Century Schoolbook" w:eastAsia="Times New Roman" w:hAnsi="Century Schoolbook" w:cs="Times New Roman"/>
          <w:i/>
          <w:sz w:val="20"/>
          <w:szCs w:val="20"/>
          <w:lang w:eastAsia="fr-FR"/>
        </w:rPr>
        <w:t>rading</w:t>
      </w:r>
      <w:r>
        <w:rPr>
          <w:rFonts w:ascii="Century Schoolbook" w:eastAsia="Times New Roman" w:hAnsi="Century Schoolbook" w:cs="Times New Roman"/>
          <w:sz w:val="20"/>
          <w:szCs w:val="20"/>
          <w:lang w:eastAsia="fr-FR"/>
        </w:rPr>
        <w:t xml:space="preserve">; and </w:t>
      </w:r>
      <w:r w:rsidRPr="008E6639">
        <w:rPr>
          <w:rFonts w:ascii="Century Schoolbook" w:eastAsia="Times New Roman" w:hAnsi="Century Schoolbook" w:cs="Times New Roman"/>
          <w:i/>
          <w:sz w:val="20"/>
          <w:szCs w:val="20"/>
          <w:lang w:eastAsia="fr-FR"/>
        </w:rPr>
        <w:t>Other</w:t>
      </w:r>
      <w:r>
        <w:rPr>
          <w:rFonts w:ascii="Century Schoolbook" w:eastAsia="Times New Roman" w:hAnsi="Century Schoolbook" w:cs="Times New Roman"/>
          <w:sz w:val="20"/>
          <w:szCs w:val="20"/>
          <w:lang w:eastAsia="fr-FR"/>
        </w:rPr>
        <w:t xml:space="preserve">. </w:t>
      </w:r>
    </w:p>
    <w:tbl>
      <w:tblPr>
        <w:tblW w:w="0" w:type="auto"/>
        <w:tblLook w:val="04A0" w:firstRow="1" w:lastRow="0" w:firstColumn="1" w:lastColumn="0" w:noHBand="0" w:noVBand="1"/>
      </w:tblPr>
      <w:tblGrid>
        <w:gridCol w:w="2124"/>
        <w:gridCol w:w="7696"/>
      </w:tblGrid>
      <w:tr w:rsidR="00F770FF" w:rsidRPr="00BE4303" w14:paraId="4EBC0CC6" w14:textId="77777777" w:rsidTr="005F2E42">
        <w:trPr>
          <w:trHeight w:val="413"/>
        </w:trPr>
        <w:tc>
          <w:tcPr>
            <w:tcW w:w="0" w:type="auto"/>
            <w:tcBorders>
              <w:top w:val="single" w:sz="4" w:space="0" w:color="auto"/>
              <w:left w:val="nil"/>
              <w:bottom w:val="single" w:sz="4" w:space="0" w:color="auto"/>
              <w:right w:val="nil"/>
            </w:tcBorders>
            <w:shd w:val="clear" w:color="auto" w:fill="auto"/>
            <w:noWrap/>
            <w:hideMark/>
          </w:tcPr>
          <w:p w14:paraId="0ACAAC9E" w14:textId="77777777" w:rsidR="00F770FF" w:rsidRPr="00BE4303" w:rsidRDefault="00F770FF" w:rsidP="009704E4">
            <w:pPr>
              <w:spacing w:after="0" w:line="240" w:lineRule="auto"/>
              <w:rPr>
                <w:rFonts w:ascii="Century Schoolbook" w:eastAsia="Times New Roman" w:hAnsi="Century Schoolbook" w:cs="Times New Roman"/>
                <w:color w:val="000000"/>
                <w:position w:val="6"/>
                <w:sz w:val="20"/>
                <w:szCs w:val="19"/>
              </w:rPr>
            </w:pPr>
            <w:bookmarkStart w:id="1" w:name="RANGE!A2:B14"/>
            <w:r w:rsidRPr="00BE4303">
              <w:rPr>
                <w:rFonts w:ascii="Century Schoolbook" w:eastAsia="Times New Roman" w:hAnsi="Century Schoolbook" w:cs="Times New Roman"/>
                <w:color w:val="000000"/>
                <w:position w:val="6"/>
                <w:sz w:val="20"/>
                <w:szCs w:val="19"/>
              </w:rPr>
              <w:t>News Category</w:t>
            </w:r>
            <w:bookmarkEnd w:id="1"/>
          </w:p>
        </w:tc>
        <w:tc>
          <w:tcPr>
            <w:tcW w:w="0" w:type="auto"/>
            <w:tcBorders>
              <w:top w:val="single" w:sz="4" w:space="0" w:color="auto"/>
              <w:left w:val="nil"/>
              <w:bottom w:val="single" w:sz="4" w:space="0" w:color="auto"/>
              <w:right w:val="nil"/>
            </w:tcBorders>
            <w:shd w:val="clear" w:color="auto" w:fill="auto"/>
            <w:noWrap/>
            <w:hideMark/>
          </w:tcPr>
          <w:p w14:paraId="1C4CF0BC" w14:textId="2DBCBF82" w:rsidR="00F770FF" w:rsidRPr="00BE4303" w:rsidRDefault="00BE4303" w:rsidP="00BE4303">
            <w:pPr>
              <w:spacing w:after="0" w:line="240" w:lineRule="auto"/>
              <w:rPr>
                <w:rFonts w:ascii="Century Schoolbook" w:eastAsia="Times New Roman" w:hAnsi="Century Schoolbook" w:cs="Times New Roman"/>
                <w:color w:val="000000"/>
                <w:position w:val="6"/>
                <w:sz w:val="20"/>
                <w:szCs w:val="19"/>
              </w:rPr>
            </w:pPr>
            <w:r w:rsidRPr="00BE4303">
              <w:rPr>
                <w:rFonts w:ascii="Century Schoolbook" w:eastAsia="Times New Roman" w:hAnsi="Century Schoolbook" w:cs="Times New Roman"/>
                <w:color w:val="000000"/>
                <w:position w:val="6"/>
                <w:sz w:val="20"/>
                <w:szCs w:val="19"/>
              </w:rPr>
              <w:t>Sources:  I/B/E/S</w:t>
            </w:r>
            <w:r w:rsidR="00F770FF" w:rsidRPr="00BE4303">
              <w:rPr>
                <w:rFonts w:ascii="Century Schoolbook" w:eastAsia="Times New Roman" w:hAnsi="Century Schoolbook" w:cs="Times New Roman"/>
                <w:color w:val="000000"/>
                <w:position w:val="6"/>
                <w:sz w:val="20"/>
                <w:szCs w:val="19"/>
              </w:rPr>
              <w:t xml:space="preserve"> </w:t>
            </w:r>
            <w:r w:rsidRPr="00BE4303">
              <w:rPr>
                <w:rFonts w:ascii="Century Schoolbook" w:eastAsia="Times New Roman" w:hAnsi="Century Schoolbook" w:cs="Times New Roman"/>
                <w:color w:val="000000"/>
                <w:position w:val="6"/>
                <w:sz w:val="20"/>
                <w:szCs w:val="19"/>
              </w:rPr>
              <w:t>datasets and Capital IQ’s Key development label</w:t>
            </w:r>
            <w:r w:rsidR="004F73C8">
              <w:rPr>
                <w:rFonts w:ascii="Century Schoolbook" w:eastAsia="Times New Roman" w:hAnsi="Century Schoolbook" w:cs="Times New Roman"/>
                <w:color w:val="000000"/>
                <w:position w:val="6"/>
                <w:sz w:val="20"/>
                <w:szCs w:val="19"/>
              </w:rPr>
              <w:t>s</w:t>
            </w:r>
          </w:p>
        </w:tc>
      </w:tr>
      <w:tr w:rsidR="00BE4303" w:rsidRPr="00333FBD" w14:paraId="6A67C2ED" w14:textId="77777777" w:rsidTr="005F2E42">
        <w:trPr>
          <w:trHeight w:val="413"/>
        </w:trPr>
        <w:tc>
          <w:tcPr>
            <w:tcW w:w="0" w:type="auto"/>
            <w:tcBorders>
              <w:top w:val="single" w:sz="4" w:space="0" w:color="auto"/>
              <w:left w:val="nil"/>
              <w:bottom w:val="single" w:sz="4" w:space="0" w:color="auto"/>
              <w:right w:val="nil"/>
            </w:tcBorders>
            <w:shd w:val="clear" w:color="auto" w:fill="auto"/>
            <w:noWrap/>
          </w:tcPr>
          <w:p w14:paraId="29F580DF" w14:textId="77777777" w:rsidR="00BE4303" w:rsidRDefault="00BE4303" w:rsidP="009704E4">
            <w:pPr>
              <w:spacing w:after="0" w:line="240" w:lineRule="auto"/>
              <w:rPr>
                <w:rFonts w:ascii="Century Schoolbook" w:eastAsia="Times New Roman" w:hAnsi="Century Schoolbook" w:cs="Times New Roman"/>
                <w:color w:val="000000"/>
                <w:position w:val="6"/>
                <w:sz w:val="19"/>
                <w:szCs w:val="19"/>
              </w:rPr>
            </w:pPr>
          </w:p>
          <w:p w14:paraId="05006170" w14:textId="434E4326" w:rsidR="00BE4303" w:rsidRPr="00694A7C" w:rsidRDefault="007B1C68" w:rsidP="009704E4">
            <w:pPr>
              <w:spacing w:after="0" w:line="240" w:lineRule="auto"/>
              <w:rPr>
                <w:rFonts w:ascii="Century Schoolbook" w:eastAsia="Times New Roman" w:hAnsi="Century Schoolbook" w:cs="Times New Roman"/>
                <w:color w:val="000000"/>
                <w:position w:val="6"/>
                <w:sz w:val="19"/>
                <w:szCs w:val="19"/>
              </w:rPr>
            </w:pPr>
            <w:r>
              <w:rPr>
                <w:rFonts w:ascii="Century Schoolbook" w:eastAsia="Times New Roman" w:hAnsi="Century Schoolbook" w:cs="Times New Roman"/>
                <w:color w:val="000000"/>
                <w:position w:val="6"/>
                <w:sz w:val="19"/>
                <w:szCs w:val="19"/>
              </w:rPr>
              <w:t>Earnings a</w:t>
            </w:r>
            <w:r w:rsidR="00BE4303">
              <w:rPr>
                <w:rFonts w:ascii="Century Schoolbook" w:eastAsia="Times New Roman" w:hAnsi="Century Schoolbook" w:cs="Times New Roman"/>
                <w:color w:val="000000"/>
                <w:position w:val="6"/>
                <w:sz w:val="19"/>
                <w:szCs w:val="19"/>
              </w:rPr>
              <w:t>nnouncements</w:t>
            </w:r>
          </w:p>
        </w:tc>
        <w:tc>
          <w:tcPr>
            <w:tcW w:w="0" w:type="auto"/>
            <w:tcBorders>
              <w:top w:val="single" w:sz="4" w:space="0" w:color="auto"/>
              <w:left w:val="nil"/>
              <w:bottom w:val="single" w:sz="4" w:space="0" w:color="auto"/>
              <w:right w:val="nil"/>
            </w:tcBorders>
            <w:shd w:val="clear" w:color="auto" w:fill="auto"/>
            <w:noWrap/>
          </w:tcPr>
          <w:p w14:paraId="4A5DACA6" w14:textId="77777777" w:rsidR="00BE4303" w:rsidRDefault="00BE4303" w:rsidP="00BE4303">
            <w:pPr>
              <w:spacing w:after="0" w:line="240" w:lineRule="auto"/>
              <w:rPr>
                <w:rFonts w:ascii="Century Schoolbook" w:eastAsia="Times New Roman" w:hAnsi="Century Schoolbook" w:cs="Times New Roman"/>
                <w:color w:val="000000"/>
                <w:position w:val="6"/>
                <w:sz w:val="19"/>
                <w:szCs w:val="19"/>
              </w:rPr>
            </w:pPr>
          </w:p>
          <w:p w14:paraId="6D1F2C9A" w14:textId="31A548E5" w:rsidR="00BE4303" w:rsidRPr="00283836" w:rsidRDefault="00BE4303" w:rsidP="00BE4303">
            <w:pPr>
              <w:spacing w:after="0" w:line="240" w:lineRule="auto"/>
              <w:rPr>
                <w:rFonts w:ascii="Century Schoolbook" w:eastAsia="Times New Roman" w:hAnsi="Century Schoolbook" w:cs="Times New Roman"/>
                <w:color w:val="000000"/>
                <w:position w:val="6"/>
                <w:sz w:val="19"/>
                <w:szCs w:val="19"/>
              </w:rPr>
            </w:pPr>
            <w:r>
              <w:rPr>
                <w:rFonts w:ascii="Century Schoolbook" w:eastAsia="Times New Roman" w:hAnsi="Century Schoolbook" w:cs="Times New Roman"/>
                <w:color w:val="000000"/>
                <w:position w:val="6"/>
                <w:sz w:val="19"/>
                <w:szCs w:val="19"/>
              </w:rPr>
              <w:t>I/B/E/S actual file</w:t>
            </w:r>
            <w:r w:rsidR="00283836">
              <w:rPr>
                <w:rFonts w:ascii="Century Schoolbook" w:eastAsia="Times New Roman" w:hAnsi="Century Schoolbook" w:cs="Times New Roman"/>
                <w:color w:val="000000"/>
                <w:position w:val="6"/>
                <w:sz w:val="19"/>
                <w:szCs w:val="19"/>
              </w:rPr>
              <w:t xml:space="preserve"> </w:t>
            </w:r>
            <w:proofErr w:type="spellStart"/>
            <w:r w:rsidR="00283836" w:rsidRPr="00283836">
              <w:rPr>
                <w:rFonts w:ascii="Century Schoolbook" w:eastAsia="Times New Roman" w:hAnsi="Century Schoolbook" w:cs="Times New Roman"/>
                <w:i/>
                <w:color w:val="000000"/>
                <w:position w:val="6"/>
                <w:sz w:val="19"/>
                <w:szCs w:val="19"/>
              </w:rPr>
              <w:t>anndats_act</w:t>
            </w:r>
            <w:proofErr w:type="spellEnd"/>
            <w:r w:rsidR="00283836">
              <w:rPr>
                <w:rFonts w:ascii="Century Schoolbook" w:eastAsia="Times New Roman" w:hAnsi="Century Schoolbook" w:cs="Times New Roman"/>
                <w:color w:val="000000"/>
                <w:position w:val="6"/>
                <w:sz w:val="19"/>
                <w:szCs w:val="19"/>
              </w:rPr>
              <w:t xml:space="preserve"> variable</w:t>
            </w:r>
          </w:p>
          <w:p w14:paraId="3FA834BF" w14:textId="77777777" w:rsidR="00BE4303" w:rsidRDefault="00BE4303" w:rsidP="00BE4303">
            <w:pPr>
              <w:spacing w:after="0" w:line="240" w:lineRule="auto"/>
              <w:rPr>
                <w:rFonts w:ascii="Century Schoolbook" w:eastAsia="Times New Roman" w:hAnsi="Century Schoolbook" w:cs="Times New Roman"/>
                <w:color w:val="000000"/>
                <w:position w:val="6"/>
                <w:sz w:val="19"/>
                <w:szCs w:val="19"/>
              </w:rPr>
            </w:pPr>
            <w:r>
              <w:rPr>
                <w:rFonts w:ascii="Century Schoolbook" w:eastAsia="Times New Roman" w:hAnsi="Century Schoolbook" w:cs="Times New Roman"/>
                <w:color w:val="000000"/>
                <w:position w:val="6"/>
                <w:sz w:val="19"/>
                <w:szCs w:val="19"/>
              </w:rPr>
              <w:t>Announcements of Earnings (28)</w:t>
            </w:r>
          </w:p>
          <w:p w14:paraId="7AA6C1DA" w14:textId="65F83DF1" w:rsidR="00BE4303" w:rsidRDefault="00BE4303" w:rsidP="00BE4303">
            <w:pPr>
              <w:spacing w:after="0" w:line="240" w:lineRule="auto"/>
              <w:rPr>
                <w:rFonts w:ascii="Century Schoolbook" w:eastAsia="Times New Roman" w:hAnsi="Century Schoolbook" w:cs="Times New Roman"/>
                <w:color w:val="000000"/>
                <w:position w:val="6"/>
                <w:sz w:val="19"/>
                <w:szCs w:val="19"/>
              </w:rPr>
            </w:pPr>
          </w:p>
        </w:tc>
      </w:tr>
      <w:tr w:rsidR="00BE4303" w:rsidRPr="00333FBD" w14:paraId="317061E3" w14:textId="77777777" w:rsidTr="005F2E42">
        <w:trPr>
          <w:trHeight w:val="413"/>
        </w:trPr>
        <w:tc>
          <w:tcPr>
            <w:tcW w:w="0" w:type="auto"/>
            <w:tcBorders>
              <w:top w:val="single" w:sz="4" w:space="0" w:color="auto"/>
              <w:left w:val="nil"/>
              <w:bottom w:val="single" w:sz="4" w:space="0" w:color="auto"/>
              <w:right w:val="nil"/>
            </w:tcBorders>
            <w:shd w:val="clear" w:color="auto" w:fill="auto"/>
            <w:noWrap/>
          </w:tcPr>
          <w:p w14:paraId="241391F0" w14:textId="77777777" w:rsidR="00BE4303" w:rsidRDefault="00BE4303" w:rsidP="009704E4">
            <w:pPr>
              <w:spacing w:after="0" w:line="240" w:lineRule="auto"/>
              <w:rPr>
                <w:rFonts w:ascii="Century Schoolbook" w:eastAsia="Times New Roman" w:hAnsi="Century Schoolbook" w:cs="Times New Roman"/>
                <w:color w:val="000000"/>
                <w:position w:val="6"/>
                <w:sz w:val="19"/>
                <w:szCs w:val="19"/>
              </w:rPr>
            </w:pPr>
          </w:p>
          <w:p w14:paraId="4929412B" w14:textId="50BAEB1A" w:rsidR="00BE4303" w:rsidRDefault="00BE4303" w:rsidP="009704E4">
            <w:pPr>
              <w:spacing w:after="0" w:line="240" w:lineRule="auto"/>
              <w:rPr>
                <w:rFonts w:ascii="Century Schoolbook" w:eastAsia="Times New Roman" w:hAnsi="Century Schoolbook" w:cs="Times New Roman"/>
                <w:color w:val="000000"/>
                <w:position w:val="6"/>
                <w:sz w:val="19"/>
                <w:szCs w:val="19"/>
              </w:rPr>
            </w:pPr>
            <w:r>
              <w:rPr>
                <w:rFonts w:ascii="Century Schoolbook" w:eastAsia="Times New Roman" w:hAnsi="Century Schoolbook" w:cs="Times New Roman"/>
                <w:color w:val="000000"/>
                <w:position w:val="6"/>
                <w:sz w:val="19"/>
                <w:szCs w:val="19"/>
              </w:rPr>
              <w:t>Ma</w:t>
            </w:r>
            <w:r w:rsidR="007B1C68">
              <w:rPr>
                <w:rFonts w:ascii="Century Schoolbook" w:eastAsia="Times New Roman" w:hAnsi="Century Schoolbook" w:cs="Times New Roman"/>
                <w:color w:val="000000"/>
                <w:position w:val="6"/>
                <w:sz w:val="19"/>
                <w:szCs w:val="19"/>
              </w:rPr>
              <w:t>nagement f</w:t>
            </w:r>
            <w:r>
              <w:rPr>
                <w:rFonts w:ascii="Century Schoolbook" w:eastAsia="Times New Roman" w:hAnsi="Century Schoolbook" w:cs="Times New Roman"/>
                <w:color w:val="000000"/>
                <w:position w:val="6"/>
                <w:sz w:val="19"/>
                <w:szCs w:val="19"/>
              </w:rPr>
              <w:t>orecasts</w:t>
            </w:r>
          </w:p>
        </w:tc>
        <w:tc>
          <w:tcPr>
            <w:tcW w:w="0" w:type="auto"/>
            <w:tcBorders>
              <w:top w:val="single" w:sz="4" w:space="0" w:color="auto"/>
              <w:left w:val="nil"/>
              <w:bottom w:val="single" w:sz="4" w:space="0" w:color="auto"/>
              <w:right w:val="nil"/>
            </w:tcBorders>
            <w:shd w:val="clear" w:color="auto" w:fill="auto"/>
            <w:noWrap/>
          </w:tcPr>
          <w:p w14:paraId="1DD25AE3" w14:textId="77777777" w:rsidR="00BE4303" w:rsidRDefault="00BE4303" w:rsidP="00BE4303">
            <w:pPr>
              <w:spacing w:after="0" w:line="240" w:lineRule="auto"/>
              <w:rPr>
                <w:rFonts w:ascii="Century Schoolbook" w:eastAsia="Times New Roman" w:hAnsi="Century Schoolbook" w:cs="Times New Roman"/>
                <w:color w:val="000000"/>
                <w:position w:val="6"/>
                <w:sz w:val="19"/>
                <w:szCs w:val="19"/>
              </w:rPr>
            </w:pPr>
          </w:p>
          <w:p w14:paraId="7549977F" w14:textId="763AA084" w:rsidR="00BE4303" w:rsidRDefault="00BE4303" w:rsidP="00BE4303">
            <w:pPr>
              <w:spacing w:after="0" w:line="240" w:lineRule="auto"/>
              <w:rPr>
                <w:rFonts w:ascii="Century Schoolbook" w:eastAsia="Times New Roman" w:hAnsi="Century Schoolbook" w:cs="Times New Roman"/>
                <w:color w:val="000000"/>
                <w:position w:val="6"/>
                <w:sz w:val="19"/>
                <w:szCs w:val="19"/>
              </w:rPr>
            </w:pPr>
            <w:r>
              <w:rPr>
                <w:rFonts w:ascii="Century Schoolbook" w:eastAsia="Times New Roman" w:hAnsi="Century Schoolbook" w:cs="Times New Roman"/>
                <w:color w:val="000000"/>
                <w:position w:val="6"/>
                <w:sz w:val="19"/>
                <w:szCs w:val="19"/>
              </w:rPr>
              <w:t>I/B/E/S global estimates file</w:t>
            </w:r>
            <w:r w:rsidR="00283836">
              <w:rPr>
                <w:rFonts w:ascii="Century Schoolbook" w:eastAsia="Times New Roman" w:hAnsi="Century Schoolbook" w:cs="Times New Roman"/>
                <w:color w:val="000000"/>
                <w:position w:val="6"/>
                <w:sz w:val="19"/>
                <w:szCs w:val="19"/>
              </w:rPr>
              <w:t xml:space="preserve"> </w:t>
            </w:r>
            <w:proofErr w:type="spellStart"/>
            <w:r w:rsidR="001715FE">
              <w:rPr>
                <w:rFonts w:ascii="Century Schoolbook" w:eastAsia="Times New Roman" w:hAnsi="Century Schoolbook" w:cs="Times New Roman"/>
                <w:i/>
                <w:color w:val="000000"/>
                <w:position w:val="6"/>
                <w:sz w:val="19"/>
                <w:szCs w:val="19"/>
              </w:rPr>
              <w:t>announce_dt</w:t>
            </w:r>
            <w:proofErr w:type="spellEnd"/>
            <w:r w:rsidR="001715FE">
              <w:rPr>
                <w:rFonts w:ascii="Century Schoolbook" w:eastAsia="Times New Roman" w:hAnsi="Century Schoolbook" w:cs="Times New Roman"/>
                <w:color w:val="000000"/>
                <w:position w:val="6"/>
                <w:sz w:val="19"/>
                <w:szCs w:val="19"/>
              </w:rPr>
              <w:t xml:space="preserve"> </w:t>
            </w:r>
            <w:r w:rsidR="00283836">
              <w:rPr>
                <w:rFonts w:ascii="Century Schoolbook" w:eastAsia="Times New Roman" w:hAnsi="Century Schoolbook" w:cs="Times New Roman"/>
                <w:color w:val="000000"/>
                <w:position w:val="6"/>
                <w:sz w:val="19"/>
                <w:szCs w:val="19"/>
              </w:rPr>
              <w:t>variable</w:t>
            </w:r>
          </w:p>
          <w:p w14:paraId="2DA78008" w14:textId="60D576AF" w:rsidR="00BE4303" w:rsidRDefault="00BE4303" w:rsidP="00BE4303">
            <w:pPr>
              <w:spacing w:after="0" w:line="240" w:lineRule="auto"/>
              <w:rPr>
                <w:rFonts w:ascii="Century Schoolbook" w:eastAsia="Times New Roman" w:hAnsi="Century Schoolbook" w:cs="Times New Roman"/>
                <w:color w:val="000000"/>
                <w:position w:val="6"/>
                <w:sz w:val="19"/>
                <w:szCs w:val="19"/>
              </w:rPr>
            </w:pPr>
            <w:r w:rsidRPr="00BE4303">
              <w:rPr>
                <w:rFonts w:ascii="Century Schoolbook" w:eastAsia="Times New Roman" w:hAnsi="Century Schoolbook" w:cs="Times New Roman"/>
                <w:color w:val="000000"/>
                <w:position w:val="6"/>
                <w:sz w:val="19"/>
                <w:szCs w:val="19"/>
              </w:rPr>
              <w:t>Corporate Guidance - Lowered (26), Corporate Guidance - Raised (27), Corporate Guidanc</w:t>
            </w:r>
            <w:r>
              <w:rPr>
                <w:rFonts w:ascii="Century Schoolbook" w:eastAsia="Times New Roman" w:hAnsi="Century Schoolbook" w:cs="Times New Roman"/>
                <w:color w:val="000000"/>
                <w:position w:val="6"/>
                <w:sz w:val="19"/>
                <w:szCs w:val="19"/>
              </w:rPr>
              <w:t>e - New/Confirmed (29)</w:t>
            </w:r>
          </w:p>
          <w:p w14:paraId="4EB5D9C6" w14:textId="4640591D" w:rsidR="00BE4303" w:rsidRDefault="00BE4303" w:rsidP="00BE4303">
            <w:pPr>
              <w:spacing w:after="0" w:line="240" w:lineRule="auto"/>
              <w:rPr>
                <w:rFonts w:ascii="Century Schoolbook" w:eastAsia="Times New Roman" w:hAnsi="Century Schoolbook" w:cs="Times New Roman"/>
                <w:color w:val="000000"/>
                <w:position w:val="6"/>
                <w:sz w:val="19"/>
                <w:szCs w:val="19"/>
              </w:rPr>
            </w:pPr>
          </w:p>
        </w:tc>
      </w:tr>
      <w:tr w:rsidR="00F770FF" w:rsidRPr="00333FBD" w14:paraId="1071B25C" w14:textId="77777777" w:rsidTr="005F2E42">
        <w:trPr>
          <w:trHeight w:val="1250"/>
        </w:trPr>
        <w:tc>
          <w:tcPr>
            <w:tcW w:w="0" w:type="auto"/>
            <w:tcBorders>
              <w:top w:val="nil"/>
              <w:left w:val="nil"/>
              <w:bottom w:val="single" w:sz="4" w:space="0" w:color="auto"/>
              <w:right w:val="nil"/>
            </w:tcBorders>
            <w:shd w:val="clear" w:color="auto" w:fill="auto"/>
            <w:noWrap/>
            <w:hideMark/>
          </w:tcPr>
          <w:p w14:paraId="06B53AA5"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1F42F5C7" w14:textId="2397CA64" w:rsidR="00F770FF" w:rsidRPr="00333FBD" w:rsidRDefault="007B1C68" w:rsidP="009704E4">
            <w:pPr>
              <w:spacing w:after="0" w:line="240" w:lineRule="auto"/>
              <w:rPr>
                <w:rFonts w:ascii="Century Schoolbook" w:eastAsia="Times New Roman" w:hAnsi="Century Schoolbook" w:cs="Times New Roman"/>
                <w:color w:val="000000"/>
                <w:sz w:val="19"/>
                <w:szCs w:val="19"/>
              </w:rPr>
            </w:pPr>
            <w:r>
              <w:rPr>
                <w:rFonts w:ascii="Century Schoolbook" w:eastAsia="Times New Roman" w:hAnsi="Century Schoolbook" w:cs="Times New Roman"/>
                <w:color w:val="000000"/>
                <w:sz w:val="19"/>
                <w:szCs w:val="19"/>
              </w:rPr>
              <w:t>Product m</w:t>
            </w:r>
            <w:r w:rsidR="00F770FF" w:rsidRPr="00333FBD">
              <w:rPr>
                <w:rFonts w:ascii="Century Schoolbook" w:eastAsia="Times New Roman" w:hAnsi="Century Schoolbook" w:cs="Times New Roman"/>
                <w:color w:val="000000"/>
                <w:sz w:val="19"/>
                <w:szCs w:val="19"/>
              </w:rPr>
              <w:t>arket &amp; Operation</w:t>
            </w:r>
          </w:p>
        </w:tc>
        <w:tc>
          <w:tcPr>
            <w:tcW w:w="0" w:type="auto"/>
            <w:tcBorders>
              <w:top w:val="nil"/>
              <w:left w:val="nil"/>
              <w:bottom w:val="single" w:sz="4" w:space="0" w:color="auto"/>
              <w:right w:val="nil"/>
            </w:tcBorders>
            <w:shd w:val="clear" w:color="auto" w:fill="auto"/>
            <w:hideMark/>
          </w:tcPr>
          <w:p w14:paraId="7197735A"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66DB91B5" w14:textId="77777777" w:rsidR="00F770FF" w:rsidRPr="00333FBD" w:rsidRDefault="00F770FF" w:rsidP="009704E4">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Discontinued Operations/Downsizings (21), Strategic Alliances (22), Client Announcements (23), Business Expansions (31), Business Reorganizations (32), Product-Related Announcements (41), Labor-related Announcements (44), Considering Multiple Strategic Alternatives (63), Announcements of Sales/Trading Statement (138)</w:t>
            </w:r>
          </w:p>
        </w:tc>
      </w:tr>
      <w:tr w:rsidR="00F770FF" w:rsidRPr="00333FBD" w14:paraId="67A16C8D" w14:textId="77777777" w:rsidTr="005F2E42">
        <w:trPr>
          <w:trHeight w:val="1107"/>
        </w:trPr>
        <w:tc>
          <w:tcPr>
            <w:tcW w:w="0" w:type="auto"/>
            <w:tcBorders>
              <w:top w:val="nil"/>
              <w:left w:val="nil"/>
              <w:bottom w:val="single" w:sz="4" w:space="0" w:color="auto"/>
              <w:right w:val="nil"/>
            </w:tcBorders>
            <w:shd w:val="clear" w:color="auto" w:fill="auto"/>
            <w:noWrap/>
            <w:hideMark/>
          </w:tcPr>
          <w:p w14:paraId="5A31325D"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74D43295" w14:textId="4D328794" w:rsidR="00F770FF" w:rsidRPr="00333FBD" w:rsidRDefault="00F770FF" w:rsidP="007B1C68">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 xml:space="preserve">Payout </w:t>
            </w:r>
            <w:r w:rsidR="007B1C68">
              <w:rPr>
                <w:rFonts w:ascii="Century Schoolbook" w:eastAsia="Times New Roman" w:hAnsi="Century Schoolbook" w:cs="Times New Roman"/>
                <w:color w:val="000000"/>
                <w:sz w:val="19"/>
                <w:szCs w:val="19"/>
              </w:rPr>
              <w:t>p</w:t>
            </w:r>
            <w:r w:rsidRPr="00333FBD">
              <w:rPr>
                <w:rFonts w:ascii="Century Schoolbook" w:eastAsia="Times New Roman" w:hAnsi="Century Schoolbook" w:cs="Times New Roman"/>
                <w:color w:val="000000"/>
                <w:sz w:val="19"/>
                <w:szCs w:val="19"/>
              </w:rPr>
              <w:t>olicy</w:t>
            </w:r>
          </w:p>
        </w:tc>
        <w:tc>
          <w:tcPr>
            <w:tcW w:w="0" w:type="auto"/>
            <w:tcBorders>
              <w:top w:val="nil"/>
              <w:left w:val="nil"/>
              <w:bottom w:val="single" w:sz="4" w:space="0" w:color="auto"/>
              <w:right w:val="nil"/>
            </w:tcBorders>
            <w:shd w:val="clear" w:color="auto" w:fill="auto"/>
            <w:hideMark/>
          </w:tcPr>
          <w:p w14:paraId="2C65FE91"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2F789D3E" w14:textId="77777777" w:rsidR="00F770FF" w:rsidRDefault="00F770FF" w:rsidP="009704E4">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Buybacks (36), Dividend Affirmations (45), Dividend Increases (46), Dividend Decreases (47), Special Dividend Announced (94), Dividend Cancellation (213), Dividend Initiation (214), Preferred Dividend (215), Buyback Update (151), Potential Buyback (152)</w:t>
            </w:r>
          </w:p>
          <w:p w14:paraId="0BA5830E" w14:textId="77777777" w:rsidR="00BE4303" w:rsidRPr="00333FBD" w:rsidRDefault="00BE4303" w:rsidP="009704E4">
            <w:pPr>
              <w:spacing w:after="0" w:line="240" w:lineRule="auto"/>
              <w:rPr>
                <w:rFonts w:ascii="Century Schoolbook" w:eastAsia="Times New Roman" w:hAnsi="Century Schoolbook" w:cs="Times New Roman"/>
                <w:color w:val="000000"/>
                <w:sz w:val="19"/>
                <w:szCs w:val="19"/>
              </w:rPr>
            </w:pPr>
          </w:p>
        </w:tc>
      </w:tr>
      <w:tr w:rsidR="00F770FF" w:rsidRPr="00333FBD" w14:paraId="4D9245BE" w14:textId="77777777" w:rsidTr="005F2E42">
        <w:trPr>
          <w:trHeight w:val="624"/>
        </w:trPr>
        <w:tc>
          <w:tcPr>
            <w:tcW w:w="0" w:type="auto"/>
            <w:tcBorders>
              <w:top w:val="nil"/>
              <w:left w:val="nil"/>
              <w:bottom w:val="single" w:sz="4" w:space="0" w:color="auto"/>
              <w:right w:val="nil"/>
            </w:tcBorders>
            <w:shd w:val="clear" w:color="auto" w:fill="auto"/>
            <w:noWrap/>
            <w:hideMark/>
          </w:tcPr>
          <w:p w14:paraId="5FE3BFEA"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36CE4D77" w14:textId="4E5B292D" w:rsidR="00F770FF" w:rsidRPr="00333FBD" w:rsidRDefault="007B1C68" w:rsidP="009704E4">
            <w:pPr>
              <w:spacing w:after="0" w:line="240" w:lineRule="auto"/>
              <w:rPr>
                <w:rFonts w:ascii="Century Schoolbook" w:eastAsia="Times New Roman" w:hAnsi="Century Schoolbook" w:cs="Times New Roman"/>
                <w:color w:val="000000"/>
                <w:sz w:val="19"/>
                <w:szCs w:val="19"/>
              </w:rPr>
            </w:pPr>
            <w:r>
              <w:rPr>
                <w:rFonts w:ascii="Century Schoolbook" w:eastAsia="Times New Roman" w:hAnsi="Century Schoolbook" w:cs="Times New Roman"/>
                <w:color w:val="000000"/>
                <w:sz w:val="19"/>
                <w:szCs w:val="19"/>
              </w:rPr>
              <w:t>Executive t</w:t>
            </w:r>
            <w:r w:rsidR="00F770FF" w:rsidRPr="00333FBD">
              <w:rPr>
                <w:rFonts w:ascii="Century Schoolbook" w:eastAsia="Times New Roman" w:hAnsi="Century Schoolbook" w:cs="Times New Roman"/>
                <w:color w:val="000000"/>
                <w:sz w:val="19"/>
                <w:szCs w:val="19"/>
              </w:rPr>
              <w:t>urnover</w:t>
            </w:r>
          </w:p>
        </w:tc>
        <w:tc>
          <w:tcPr>
            <w:tcW w:w="0" w:type="auto"/>
            <w:tcBorders>
              <w:top w:val="nil"/>
              <w:left w:val="nil"/>
              <w:bottom w:val="single" w:sz="4" w:space="0" w:color="auto"/>
              <w:right w:val="nil"/>
            </w:tcBorders>
            <w:shd w:val="clear" w:color="auto" w:fill="auto"/>
            <w:hideMark/>
          </w:tcPr>
          <w:p w14:paraId="3F465989"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08E5BB55" w14:textId="77777777" w:rsidR="00F770FF" w:rsidRDefault="00F770FF" w:rsidP="009704E4">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Executive/Board Changes - Other (16), Executive Changes - CEO (101), Executive Changes - CFO (102)</w:t>
            </w:r>
          </w:p>
          <w:p w14:paraId="237EABD1" w14:textId="77777777" w:rsidR="00BE4303" w:rsidRPr="00333FBD" w:rsidRDefault="00BE4303" w:rsidP="009704E4">
            <w:pPr>
              <w:spacing w:after="0" w:line="240" w:lineRule="auto"/>
              <w:rPr>
                <w:rFonts w:ascii="Century Schoolbook" w:eastAsia="Times New Roman" w:hAnsi="Century Schoolbook" w:cs="Times New Roman"/>
                <w:color w:val="000000"/>
                <w:sz w:val="19"/>
                <w:szCs w:val="19"/>
              </w:rPr>
            </w:pPr>
          </w:p>
        </w:tc>
      </w:tr>
      <w:tr w:rsidR="00F770FF" w:rsidRPr="00333FBD" w14:paraId="1704D3FF" w14:textId="77777777" w:rsidTr="005F2E42">
        <w:trPr>
          <w:trHeight w:val="1061"/>
        </w:trPr>
        <w:tc>
          <w:tcPr>
            <w:tcW w:w="0" w:type="auto"/>
            <w:tcBorders>
              <w:top w:val="nil"/>
              <w:left w:val="nil"/>
              <w:bottom w:val="single" w:sz="4" w:space="0" w:color="auto"/>
              <w:right w:val="nil"/>
            </w:tcBorders>
            <w:shd w:val="clear" w:color="auto" w:fill="auto"/>
            <w:noWrap/>
            <w:hideMark/>
          </w:tcPr>
          <w:p w14:paraId="57BA2878"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7F8A7B89" w14:textId="0DFB25C6" w:rsidR="00F770FF" w:rsidRPr="00333FBD" w:rsidRDefault="007B1C68" w:rsidP="009704E4">
            <w:pPr>
              <w:spacing w:after="0" w:line="240" w:lineRule="auto"/>
              <w:rPr>
                <w:rFonts w:ascii="Century Schoolbook" w:eastAsia="Times New Roman" w:hAnsi="Century Schoolbook" w:cs="Times New Roman"/>
                <w:color w:val="000000"/>
                <w:sz w:val="19"/>
                <w:szCs w:val="19"/>
              </w:rPr>
            </w:pPr>
            <w:r>
              <w:rPr>
                <w:rFonts w:ascii="Century Schoolbook" w:eastAsia="Times New Roman" w:hAnsi="Century Schoolbook" w:cs="Times New Roman"/>
                <w:color w:val="000000"/>
                <w:sz w:val="19"/>
                <w:szCs w:val="19"/>
              </w:rPr>
              <w:t>Securities i</w:t>
            </w:r>
            <w:r w:rsidR="00F770FF" w:rsidRPr="00333FBD">
              <w:rPr>
                <w:rFonts w:ascii="Century Schoolbook" w:eastAsia="Times New Roman" w:hAnsi="Century Schoolbook" w:cs="Times New Roman"/>
                <w:color w:val="000000"/>
                <w:sz w:val="19"/>
                <w:szCs w:val="19"/>
              </w:rPr>
              <w:t>ssuance</w:t>
            </w:r>
          </w:p>
        </w:tc>
        <w:tc>
          <w:tcPr>
            <w:tcW w:w="0" w:type="auto"/>
            <w:tcBorders>
              <w:top w:val="nil"/>
              <w:left w:val="nil"/>
              <w:bottom w:val="single" w:sz="4" w:space="0" w:color="auto"/>
              <w:right w:val="nil"/>
            </w:tcBorders>
            <w:shd w:val="clear" w:color="auto" w:fill="auto"/>
            <w:hideMark/>
          </w:tcPr>
          <w:p w14:paraId="70506832"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1BAF696D" w14:textId="77777777" w:rsidR="00F770FF" w:rsidRDefault="00F770FF" w:rsidP="009704E4">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Debt Financing Related (42), Private Placements (83), IPOs (85), Follow-on Equity Offerings (86), Fixed Income Offerings (87), Derivative/Other Instrument Offerings (88), Structured Products Offerings (135), Public Offering Lead Underwriter Change (136)</w:t>
            </w:r>
          </w:p>
          <w:p w14:paraId="7EB23E16" w14:textId="77777777" w:rsidR="00BE4303" w:rsidRPr="00333FBD" w:rsidRDefault="00BE4303" w:rsidP="009704E4">
            <w:pPr>
              <w:spacing w:after="0" w:line="240" w:lineRule="auto"/>
              <w:rPr>
                <w:rFonts w:ascii="Century Schoolbook" w:eastAsia="Times New Roman" w:hAnsi="Century Schoolbook" w:cs="Times New Roman"/>
                <w:color w:val="000000"/>
                <w:sz w:val="19"/>
                <w:szCs w:val="19"/>
              </w:rPr>
            </w:pPr>
          </w:p>
        </w:tc>
      </w:tr>
      <w:tr w:rsidR="00F770FF" w:rsidRPr="00333FBD" w14:paraId="62205555" w14:textId="77777777" w:rsidTr="005F2E42">
        <w:trPr>
          <w:trHeight w:val="1079"/>
        </w:trPr>
        <w:tc>
          <w:tcPr>
            <w:tcW w:w="0" w:type="auto"/>
            <w:tcBorders>
              <w:top w:val="nil"/>
              <w:left w:val="nil"/>
              <w:bottom w:val="single" w:sz="4" w:space="0" w:color="auto"/>
              <w:right w:val="nil"/>
            </w:tcBorders>
            <w:shd w:val="clear" w:color="auto" w:fill="auto"/>
            <w:noWrap/>
            <w:hideMark/>
          </w:tcPr>
          <w:p w14:paraId="2F4596CF" w14:textId="77777777" w:rsidR="00F770FF" w:rsidRPr="00333FBD" w:rsidRDefault="00F770FF" w:rsidP="009704E4">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M&amp;A</w:t>
            </w:r>
          </w:p>
        </w:tc>
        <w:tc>
          <w:tcPr>
            <w:tcW w:w="0" w:type="auto"/>
            <w:tcBorders>
              <w:top w:val="nil"/>
              <w:left w:val="nil"/>
              <w:bottom w:val="single" w:sz="4" w:space="0" w:color="auto"/>
              <w:right w:val="nil"/>
            </w:tcBorders>
            <w:shd w:val="clear" w:color="auto" w:fill="auto"/>
            <w:hideMark/>
          </w:tcPr>
          <w:p w14:paraId="0850AE33" w14:textId="77777777" w:rsidR="00F770FF" w:rsidRDefault="00F770FF" w:rsidP="009704E4">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Seeking to Sell/Divest (1), Seeking Acquisitions/Investments (3), M&amp;A Calls (52), M&amp;A Rumors and Discussions (65), M&amp;A Transaction Announcements (80), M&amp;A Transaction Closings (81), M&amp;A Transaction Cancellations (82), Spin-Off/Split-Off (137)</w:t>
            </w:r>
          </w:p>
          <w:p w14:paraId="1BB74D61" w14:textId="77777777" w:rsidR="005F2E42" w:rsidRPr="00333FBD" w:rsidRDefault="005F2E42" w:rsidP="009704E4">
            <w:pPr>
              <w:spacing w:after="0" w:line="240" w:lineRule="auto"/>
              <w:rPr>
                <w:rFonts w:ascii="Century Schoolbook" w:eastAsia="Times New Roman" w:hAnsi="Century Schoolbook" w:cs="Times New Roman"/>
                <w:color w:val="000000"/>
                <w:sz w:val="19"/>
                <w:szCs w:val="19"/>
              </w:rPr>
            </w:pPr>
          </w:p>
        </w:tc>
      </w:tr>
      <w:tr w:rsidR="00F770FF" w:rsidRPr="00333FBD" w14:paraId="346675BE" w14:textId="77777777" w:rsidTr="005F2E42">
        <w:trPr>
          <w:trHeight w:val="624"/>
        </w:trPr>
        <w:tc>
          <w:tcPr>
            <w:tcW w:w="0" w:type="auto"/>
            <w:tcBorders>
              <w:top w:val="single" w:sz="4" w:space="0" w:color="auto"/>
              <w:left w:val="nil"/>
              <w:bottom w:val="single" w:sz="4" w:space="0" w:color="auto"/>
              <w:right w:val="nil"/>
            </w:tcBorders>
            <w:shd w:val="clear" w:color="auto" w:fill="auto"/>
            <w:noWrap/>
            <w:hideMark/>
          </w:tcPr>
          <w:p w14:paraId="27C7E736"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0D768895" w14:textId="5FDE42BC" w:rsidR="00F770FF" w:rsidRPr="00333FBD" w:rsidRDefault="001A3B7E" w:rsidP="009704E4">
            <w:pPr>
              <w:spacing w:after="0" w:line="240" w:lineRule="auto"/>
              <w:rPr>
                <w:rFonts w:ascii="Century Schoolbook" w:eastAsia="Times New Roman" w:hAnsi="Century Schoolbook" w:cs="Times New Roman"/>
                <w:color w:val="000000"/>
                <w:sz w:val="19"/>
                <w:szCs w:val="19"/>
              </w:rPr>
            </w:pPr>
            <w:r>
              <w:rPr>
                <w:rFonts w:ascii="Century Schoolbook" w:eastAsia="Times New Roman" w:hAnsi="Century Schoolbook" w:cs="Times New Roman"/>
                <w:color w:val="000000"/>
                <w:sz w:val="19"/>
                <w:szCs w:val="19"/>
              </w:rPr>
              <w:t>Restatement &amp; A</w:t>
            </w:r>
            <w:r w:rsidR="00F770FF" w:rsidRPr="00333FBD">
              <w:rPr>
                <w:rFonts w:ascii="Century Schoolbook" w:eastAsia="Times New Roman" w:hAnsi="Century Schoolbook" w:cs="Times New Roman"/>
                <w:color w:val="000000"/>
                <w:sz w:val="19"/>
                <w:szCs w:val="19"/>
              </w:rPr>
              <w:t>uditing</w:t>
            </w:r>
          </w:p>
        </w:tc>
        <w:tc>
          <w:tcPr>
            <w:tcW w:w="0" w:type="auto"/>
            <w:tcBorders>
              <w:top w:val="single" w:sz="4" w:space="0" w:color="auto"/>
              <w:left w:val="nil"/>
              <w:bottom w:val="single" w:sz="4" w:space="0" w:color="auto"/>
              <w:right w:val="nil"/>
            </w:tcBorders>
            <w:shd w:val="clear" w:color="auto" w:fill="auto"/>
            <w:hideMark/>
          </w:tcPr>
          <w:p w14:paraId="3AFDDA5C" w14:textId="77777777" w:rsidR="00BE4303" w:rsidRDefault="00BE4303" w:rsidP="009704E4">
            <w:pPr>
              <w:spacing w:after="0" w:line="240" w:lineRule="auto"/>
              <w:rPr>
                <w:rFonts w:ascii="Century Schoolbook" w:eastAsia="Times New Roman" w:hAnsi="Century Schoolbook" w:cs="Times New Roman"/>
                <w:color w:val="000000"/>
                <w:sz w:val="19"/>
                <w:szCs w:val="19"/>
              </w:rPr>
            </w:pPr>
          </w:p>
          <w:p w14:paraId="37AEC9CC" w14:textId="77777777" w:rsidR="00F770FF" w:rsidRDefault="00F770FF" w:rsidP="009704E4">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Restatements of Operating Results (43), Impairments/Write Offs (73), Auditor Going Concern Doubts (59), Auditor Changes (150)</w:t>
            </w:r>
          </w:p>
          <w:p w14:paraId="1762626C" w14:textId="77777777" w:rsidR="00BE4303" w:rsidRPr="00333FBD" w:rsidRDefault="00BE4303" w:rsidP="009704E4">
            <w:pPr>
              <w:spacing w:after="0" w:line="240" w:lineRule="auto"/>
              <w:rPr>
                <w:rFonts w:ascii="Century Schoolbook" w:eastAsia="Times New Roman" w:hAnsi="Century Schoolbook" w:cs="Times New Roman"/>
                <w:color w:val="000000"/>
                <w:sz w:val="19"/>
                <w:szCs w:val="19"/>
              </w:rPr>
            </w:pPr>
          </w:p>
        </w:tc>
      </w:tr>
      <w:tr w:rsidR="00BE4303" w:rsidRPr="00333FBD" w14:paraId="00409B80" w14:textId="77777777" w:rsidTr="005F2E42">
        <w:trPr>
          <w:trHeight w:val="784"/>
        </w:trPr>
        <w:tc>
          <w:tcPr>
            <w:tcW w:w="0" w:type="auto"/>
            <w:gridSpan w:val="2"/>
            <w:tcBorders>
              <w:top w:val="single" w:sz="4" w:space="0" w:color="auto"/>
              <w:left w:val="nil"/>
              <w:right w:val="nil"/>
            </w:tcBorders>
            <w:shd w:val="clear" w:color="auto" w:fill="auto"/>
            <w:noWrap/>
          </w:tcPr>
          <w:p w14:paraId="5712E8A6" w14:textId="77777777" w:rsidR="00BE4303" w:rsidRDefault="00BE4303" w:rsidP="00BE4303">
            <w:pPr>
              <w:spacing w:after="0" w:line="240" w:lineRule="auto"/>
              <w:jc w:val="center"/>
              <w:rPr>
                <w:rFonts w:ascii="Century Schoolbook" w:eastAsia="Times New Roman" w:hAnsi="Century Schoolbook" w:cs="Times New Roman"/>
                <w:b/>
                <w:sz w:val="20"/>
                <w:szCs w:val="20"/>
                <w:lang w:eastAsia="fr-FR"/>
              </w:rPr>
            </w:pPr>
          </w:p>
          <w:p w14:paraId="099DA7F2" w14:textId="64300BB1" w:rsidR="00BE4303" w:rsidRDefault="00BE4303" w:rsidP="00BE4303">
            <w:pPr>
              <w:spacing w:after="0" w:line="240" w:lineRule="auto"/>
              <w:jc w:val="center"/>
              <w:rPr>
                <w:rFonts w:ascii="Century Schoolbook" w:eastAsia="Times New Roman" w:hAnsi="Century Schoolbook" w:cs="Times New Roman"/>
                <w:color w:val="000000"/>
                <w:sz w:val="19"/>
                <w:szCs w:val="19"/>
              </w:rPr>
            </w:pPr>
          </w:p>
        </w:tc>
      </w:tr>
      <w:tr w:rsidR="00774910" w:rsidRPr="00BE4303" w14:paraId="1AD96424" w14:textId="77777777" w:rsidTr="005F2E42">
        <w:trPr>
          <w:trHeight w:val="171"/>
        </w:trPr>
        <w:tc>
          <w:tcPr>
            <w:tcW w:w="0" w:type="auto"/>
            <w:gridSpan w:val="2"/>
            <w:tcBorders>
              <w:left w:val="nil"/>
              <w:right w:val="nil"/>
            </w:tcBorders>
            <w:shd w:val="clear" w:color="auto" w:fill="auto"/>
            <w:noWrap/>
          </w:tcPr>
          <w:p w14:paraId="0038B737" w14:textId="77777777" w:rsidR="00774910" w:rsidRPr="00B041E0" w:rsidRDefault="00774910" w:rsidP="000E4421">
            <w:pPr>
              <w:spacing w:after="0" w:line="240" w:lineRule="auto"/>
              <w:jc w:val="center"/>
              <w:rPr>
                <w:rFonts w:ascii="Century Schoolbook" w:eastAsia="Times New Roman" w:hAnsi="Century Schoolbook" w:cs="Times New Roman"/>
                <w:b/>
                <w:sz w:val="20"/>
                <w:szCs w:val="20"/>
                <w:lang w:eastAsia="fr-FR"/>
              </w:rPr>
            </w:pPr>
          </w:p>
        </w:tc>
      </w:tr>
      <w:tr w:rsidR="000E4421" w:rsidRPr="00BE4303" w14:paraId="260634C4" w14:textId="77777777" w:rsidTr="005F2E42">
        <w:trPr>
          <w:trHeight w:val="413"/>
        </w:trPr>
        <w:tc>
          <w:tcPr>
            <w:tcW w:w="0" w:type="auto"/>
            <w:gridSpan w:val="2"/>
            <w:tcBorders>
              <w:left w:val="nil"/>
              <w:bottom w:val="single" w:sz="4" w:space="0" w:color="auto"/>
              <w:right w:val="nil"/>
            </w:tcBorders>
            <w:shd w:val="clear" w:color="auto" w:fill="auto"/>
            <w:noWrap/>
          </w:tcPr>
          <w:p w14:paraId="5EA46193" w14:textId="76FDCCEE" w:rsidR="000E4421" w:rsidRDefault="000E4421" w:rsidP="000E4421">
            <w:pPr>
              <w:spacing w:after="0" w:line="240" w:lineRule="auto"/>
              <w:jc w:val="center"/>
              <w:rPr>
                <w:rFonts w:ascii="Century Schoolbook" w:eastAsia="Times New Roman" w:hAnsi="Century Schoolbook" w:cs="Times New Roman"/>
                <w:b/>
                <w:sz w:val="20"/>
                <w:szCs w:val="20"/>
                <w:lang w:eastAsia="fr-FR"/>
              </w:rPr>
            </w:pPr>
            <w:r w:rsidRPr="00B041E0">
              <w:rPr>
                <w:rFonts w:ascii="Century Schoolbook" w:eastAsia="Times New Roman" w:hAnsi="Century Schoolbook" w:cs="Times New Roman"/>
                <w:b/>
                <w:sz w:val="20"/>
                <w:szCs w:val="20"/>
                <w:lang w:eastAsia="fr-FR"/>
              </w:rPr>
              <w:t>Appendix Table A</w:t>
            </w:r>
            <w:r w:rsidR="00473B83">
              <w:rPr>
                <w:rFonts w:ascii="Century Schoolbook" w:eastAsia="Times New Roman" w:hAnsi="Century Schoolbook" w:cs="Times New Roman"/>
                <w:b/>
                <w:sz w:val="20"/>
                <w:szCs w:val="20"/>
                <w:lang w:eastAsia="fr-FR"/>
              </w:rPr>
              <w:t>3</w:t>
            </w:r>
            <w:r w:rsidRPr="00B041E0">
              <w:rPr>
                <w:rFonts w:ascii="Century Schoolbook" w:eastAsia="Times New Roman" w:hAnsi="Century Schoolbook" w:cs="Times New Roman"/>
                <w:b/>
                <w:sz w:val="20"/>
                <w:szCs w:val="20"/>
                <w:lang w:eastAsia="fr-FR"/>
              </w:rPr>
              <w:t>. (Continued…)</w:t>
            </w:r>
          </w:p>
          <w:p w14:paraId="63402C1A" w14:textId="77777777" w:rsidR="00774910" w:rsidRDefault="00774910" w:rsidP="000E4421">
            <w:pPr>
              <w:spacing w:after="0" w:line="240" w:lineRule="auto"/>
              <w:jc w:val="center"/>
              <w:rPr>
                <w:rFonts w:ascii="Century Schoolbook" w:eastAsia="Times New Roman" w:hAnsi="Century Schoolbook" w:cs="Times New Roman"/>
                <w:b/>
                <w:sz w:val="20"/>
                <w:szCs w:val="20"/>
                <w:lang w:eastAsia="fr-FR"/>
              </w:rPr>
            </w:pPr>
          </w:p>
          <w:p w14:paraId="288233B3" w14:textId="78ED22DD" w:rsidR="00774910" w:rsidRPr="00BE4303" w:rsidRDefault="00774910" w:rsidP="000E4421">
            <w:pPr>
              <w:spacing w:after="0" w:line="240" w:lineRule="auto"/>
              <w:jc w:val="center"/>
              <w:rPr>
                <w:rFonts w:ascii="Century Schoolbook" w:eastAsia="Times New Roman" w:hAnsi="Century Schoolbook" w:cs="Times New Roman"/>
                <w:color w:val="000000"/>
                <w:position w:val="6"/>
                <w:sz w:val="20"/>
                <w:szCs w:val="19"/>
              </w:rPr>
            </w:pPr>
          </w:p>
        </w:tc>
      </w:tr>
      <w:tr w:rsidR="00774910" w:rsidRPr="00BE4303" w14:paraId="5218693F" w14:textId="77777777" w:rsidTr="005F2E42">
        <w:trPr>
          <w:trHeight w:val="413"/>
        </w:trPr>
        <w:tc>
          <w:tcPr>
            <w:tcW w:w="0" w:type="auto"/>
            <w:tcBorders>
              <w:top w:val="single" w:sz="4" w:space="0" w:color="auto"/>
              <w:left w:val="nil"/>
              <w:bottom w:val="single" w:sz="4" w:space="0" w:color="auto"/>
              <w:right w:val="nil"/>
            </w:tcBorders>
            <w:shd w:val="clear" w:color="auto" w:fill="auto"/>
            <w:noWrap/>
            <w:hideMark/>
          </w:tcPr>
          <w:p w14:paraId="0C996464" w14:textId="77777777" w:rsidR="00BE4303" w:rsidRPr="00BE4303" w:rsidRDefault="00BE4303" w:rsidP="00530036">
            <w:pPr>
              <w:spacing w:after="0" w:line="240" w:lineRule="auto"/>
              <w:rPr>
                <w:rFonts w:ascii="Century Schoolbook" w:eastAsia="Times New Roman" w:hAnsi="Century Schoolbook" w:cs="Times New Roman"/>
                <w:color w:val="000000"/>
                <w:position w:val="6"/>
                <w:sz w:val="20"/>
                <w:szCs w:val="19"/>
              </w:rPr>
            </w:pPr>
            <w:r w:rsidRPr="00BE4303">
              <w:rPr>
                <w:rFonts w:ascii="Century Schoolbook" w:eastAsia="Times New Roman" w:hAnsi="Century Schoolbook" w:cs="Times New Roman"/>
                <w:color w:val="000000"/>
                <w:position w:val="6"/>
                <w:sz w:val="20"/>
                <w:szCs w:val="19"/>
              </w:rPr>
              <w:t>News Category</w:t>
            </w:r>
          </w:p>
        </w:tc>
        <w:tc>
          <w:tcPr>
            <w:tcW w:w="0" w:type="auto"/>
            <w:tcBorders>
              <w:top w:val="single" w:sz="4" w:space="0" w:color="auto"/>
              <w:left w:val="nil"/>
              <w:bottom w:val="single" w:sz="4" w:space="0" w:color="auto"/>
              <w:right w:val="nil"/>
            </w:tcBorders>
            <w:shd w:val="clear" w:color="auto" w:fill="auto"/>
            <w:noWrap/>
            <w:hideMark/>
          </w:tcPr>
          <w:p w14:paraId="73AD1556" w14:textId="77777777" w:rsidR="00BE4303" w:rsidRPr="00BE4303" w:rsidRDefault="00BE4303" w:rsidP="00530036">
            <w:pPr>
              <w:spacing w:after="0" w:line="240" w:lineRule="auto"/>
              <w:rPr>
                <w:rFonts w:ascii="Century Schoolbook" w:eastAsia="Times New Roman" w:hAnsi="Century Schoolbook" w:cs="Times New Roman"/>
                <w:color w:val="000000"/>
                <w:position w:val="6"/>
                <w:sz w:val="20"/>
                <w:szCs w:val="19"/>
              </w:rPr>
            </w:pPr>
            <w:r w:rsidRPr="00BE4303">
              <w:rPr>
                <w:rFonts w:ascii="Century Schoolbook" w:eastAsia="Times New Roman" w:hAnsi="Century Schoolbook" w:cs="Times New Roman"/>
                <w:color w:val="000000"/>
                <w:position w:val="6"/>
                <w:sz w:val="20"/>
                <w:szCs w:val="19"/>
              </w:rPr>
              <w:t>Sources:  I/B/E/S datasets and Capital IQ’s Key development label</w:t>
            </w:r>
          </w:p>
        </w:tc>
      </w:tr>
      <w:tr w:rsidR="00BE4303" w:rsidRPr="00333FBD" w14:paraId="4559442E" w14:textId="77777777" w:rsidTr="005F2E42">
        <w:trPr>
          <w:trHeight w:val="1781"/>
        </w:trPr>
        <w:tc>
          <w:tcPr>
            <w:tcW w:w="0" w:type="auto"/>
            <w:tcBorders>
              <w:top w:val="nil"/>
              <w:left w:val="nil"/>
              <w:bottom w:val="single" w:sz="4" w:space="0" w:color="auto"/>
              <w:right w:val="nil"/>
            </w:tcBorders>
            <w:shd w:val="clear" w:color="auto" w:fill="auto"/>
            <w:noWrap/>
          </w:tcPr>
          <w:p w14:paraId="6AD99619"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6E3FD13A" w14:textId="22211DE4" w:rsidR="00BE4303" w:rsidRDefault="007B1C68" w:rsidP="00BE4303">
            <w:pPr>
              <w:spacing w:after="0" w:line="240" w:lineRule="auto"/>
              <w:rPr>
                <w:rFonts w:ascii="Century Schoolbook" w:eastAsia="Times New Roman" w:hAnsi="Century Schoolbook" w:cs="Times New Roman"/>
                <w:color w:val="000000"/>
                <w:sz w:val="19"/>
                <w:szCs w:val="19"/>
              </w:rPr>
            </w:pPr>
            <w:r>
              <w:rPr>
                <w:rFonts w:ascii="Century Schoolbook" w:eastAsia="Times New Roman" w:hAnsi="Century Schoolbook" w:cs="Times New Roman"/>
                <w:color w:val="000000"/>
                <w:sz w:val="19"/>
                <w:szCs w:val="19"/>
              </w:rPr>
              <w:t>Agenda c</w:t>
            </w:r>
            <w:r w:rsidR="00BE4303" w:rsidRPr="00333FBD">
              <w:rPr>
                <w:rFonts w:ascii="Century Schoolbook" w:eastAsia="Times New Roman" w:hAnsi="Century Schoolbook" w:cs="Times New Roman"/>
                <w:color w:val="000000"/>
                <w:sz w:val="19"/>
                <w:szCs w:val="19"/>
              </w:rPr>
              <w:t>ommunication</w:t>
            </w:r>
          </w:p>
        </w:tc>
        <w:tc>
          <w:tcPr>
            <w:tcW w:w="0" w:type="auto"/>
            <w:tcBorders>
              <w:top w:val="nil"/>
              <w:left w:val="nil"/>
              <w:bottom w:val="single" w:sz="4" w:space="0" w:color="auto"/>
              <w:right w:val="nil"/>
            </w:tcBorders>
            <w:shd w:val="clear" w:color="auto" w:fill="auto"/>
          </w:tcPr>
          <w:p w14:paraId="5DE29970"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592539D9" w14:textId="146A24A8" w:rsidR="00BE4303" w:rsidRDefault="00BE4303" w:rsidP="00BE4303">
            <w:pPr>
              <w:spacing w:after="0" w:line="240" w:lineRule="auto"/>
              <w:rPr>
                <w:rFonts w:ascii="Century Schoolbook" w:eastAsia="Times New Roman" w:hAnsi="Century Schoolbook" w:cs="Times New Roman"/>
                <w:color w:val="000000"/>
                <w:sz w:val="19"/>
                <w:szCs w:val="19"/>
              </w:rPr>
            </w:pP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Earnings Calls (48),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Guidance/Update Calls (49),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Shareholder/Analyst Calls (50),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Company Conference Presentations (51),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Earnings Release Date (55),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Delayed Earnings Announcements (61),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Special/Extraordinary Shareholders Meeting (97),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Sales/Trading Statement Calls (139),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Sales/Trading Statement Release Date (140), </w:t>
            </w:r>
            <w:r>
              <w:rPr>
                <w:rFonts w:ascii="Century Schoolbook" w:eastAsia="Times New Roman" w:hAnsi="Century Schoolbook" w:cs="Times New Roman"/>
                <w:color w:val="000000"/>
                <w:sz w:val="19"/>
                <w:szCs w:val="19"/>
              </w:rPr>
              <w:t xml:space="preserve">Announcements of </w:t>
            </w:r>
            <w:r w:rsidRPr="00333FBD">
              <w:rPr>
                <w:rFonts w:ascii="Century Schoolbook" w:eastAsia="Times New Roman" w:hAnsi="Century Schoolbook" w:cs="Times New Roman"/>
                <w:color w:val="000000"/>
                <w:sz w:val="19"/>
                <w:szCs w:val="19"/>
              </w:rPr>
              <w:t xml:space="preserve">Conferences (149), </w:t>
            </w:r>
            <w:r>
              <w:rPr>
                <w:rFonts w:ascii="Century Schoolbook" w:eastAsia="Times New Roman" w:hAnsi="Century Schoolbook" w:cs="Times New Roman"/>
                <w:color w:val="000000"/>
                <w:sz w:val="19"/>
                <w:szCs w:val="19"/>
              </w:rPr>
              <w:t xml:space="preserve">Announcements of </w:t>
            </w:r>
            <w:r w:rsidRPr="00333FBD">
              <w:rPr>
                <w:rFonts w:ascii="Century Schoolbook" w:eastAsia="Times New Roman" w:hAnsi="Century Schoolbook" w:cs="Times New Roman"/>
                <w:color w:val="000000"/>
                <w:sz w:val="19"/>
                <w:szCs w:val="19"/>
              </w:rPr>
              <w:t xml:space="preserve">Analyst/Investor Day (192), </w:t>
            </w:r>
            <w:r>
              <w:rPr>
                <w:rFonts w:ascii="Century Schoolbook" w:eastAsia="Times New Roman" w:hAnsi="Century Schoolbook" w:cs="Times New Roman"/>
                <w:color w:val="000000"/>
                <w:sz w:val="19"/>
                <w:szCs w:val="19"/>
              </w:rPr>
              <w:t xml:space="preserve">Announcements of </w:t>
            </w:r>
            <w:r w:rsidRPr="00333FBD">
              <w:rPr>
                <w:rFonts w:ascii="Century Schoolbook" w:eastAsia="Times New Roman" w:hAnsi="Century Schoolbook" w:cs="Times New Roman"/>
                <w:color w:val="000000"/>
                <w:sz w:val="19"/>
                <w:szCs w:val="19"/>
              </w:rPr>
              <w:t xml:space="preserve">Special Calls (194),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 xml:space="preserve">Annual General Meeting (62), </w:t>
            </w:r>
            <w:r>
              <w:rPr>
                <w:rFonts w:ascii="Century Schoolbook" w:eastAsia="Times New Roman" w:hAnsi="Century Schoolbook" w:cs="Times New Roman"/>
                <w:color w:val="000000"/>
                <w:sz w:val="19"/>
                <w:szCs w:val="19"/>
              </w:rPr>
              <w:t xml:space="preserve">Notification of </w:t>
            </w:r>
            <w:r w:rsidRPr="00333FBD">
              <w:rPr>
                <w:rFonts w:ascii="Century Schoolbook" w:eastAsia="Times New Roman" w:hAnsi="Century Schoolbook" w:cs="Times New Roman"/>
                <w:color w:val="000000"/>
                <w:sz w:val="19"/>
                <w:szCs w:val="19"/>
              </w:rPr>
              <w:t>Board Meeting (78)</w:t>
            </w:r>
          </w:p>
          <w:p w14:paraId="214A9595" w14:textId="77777777" w:rsidR="00BE4303" w:rsidRDefault="00BE4303" w:rsidP="00BE4303">
            <w:pPr>
              <w:spacing w:after="0" w:line="240" w:lineRule="auto"/>
              <w:rPr>
                <w:rFonts w:ascii="Century Schoolbook" w:eastAsia="Times New Roman" w:hAnsi="Century Schoolbook" w:cs="Times New Roman"/>
                <w:color w:val="000000"/>
                <w:sz w:val="19"/>
                <w:szCs w:val="19"/>
              </w:rPr>
            </w:pPr>
          </w:p>
        </w:tc>
      </w:tr>
      <w:tr w:rsidR="00BE4303" w:rsidRPr="00333FBD" w14:paraId="78BE2183" w14:textId="77777777" w:rsidTr="005F2E42">
        <w:trPr>
          <w:trHeight w:val="350"/>
        </w:trPr>
        <w:tc>
          <w:tcPr>
            <w:tcW w:w="0" w:type="auto"/>
            <w:tcBorders>
              <w:top w:val="nil"/>
              <w:left w:val="nil"/>
              <w:bottom w:val="single" w:sz="4" w:space="0" w:color="auto"/>
              <w:right w:val="nil"/>
            </w:tcBorders>
            <w:shd w:val="clear" w:color="auto" w:fill="auto"/>
            <w:noWrap/>
            <w:hideMark/>
          </w:tcPr>
          <w:p w14:paraId="5D1FEE76"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3D7F1BF8" w14:textId="55FF7905" w:rsidR="00BE4303" w:rsidRPr="00333FBD" w:rsidRDefault="007B1C68" w:rsidP="00BE4303">
            <w:pPr>
              <w:spacing w:after="0" w:line="240" w:lineRule="auto"/>
              <w:rPr>
                <w:rFonts w:ascii="Century Schoolbook" w:eastAsia="Times New Roman" w:hAnsi="Century Schoolbook" w:cs="Times New Roman"/>
                <w:color w:val="000000"/>
                <w:sz w:val="19"/>
                <w:szCs w:val="19"/>
              </w:rPr>
            </w:pPr>
            <w:r>
              <w:rPr>
                <w:rFonts w:ascii="Century Schoolbook" w:eastAsia="Times New Roman" w:hAnsi="Century Schoolbook" w:cs="Times New Roman"/>
                <w:color w:val="000000"/>
                <w:sz w:val="19"/>
                <w:szCs w:val="19"/>
              </w:rPr>
              <w:t>Legal i</w:t>
            </w:r>
            <w:r w:rsidR="00BE4303" w:rsidRPr="00333FBD">
              <w:rPr>
                <w:rFonts w:ascii="Century Schoolbook" w:eastAsia="Times New Roman" w:hAnsi="Century Schoolbook" w:cs="Times New Roman"/>
                <w:color w:val="000000"/>
                <w:sz w:val="19"/>
                <w:szCs w:val="19"/>
              </w:rPr>
              <w:t>ssues</w:t>
            </w:r>
          </w:p>
        </w:tc>
        <w:tc>
          <w:tcPr>
            <w:tcW w:w="0" w:type="auto"/>
            <w:tcBorders>
              <w:top w:val="nil"/>
              <w:left w:val="nil"/>
              <w:bottom w:val="single" w:sz="4" w:space="0" w:color="auto"/>
              <w:right w:val="nil"/>
            </w:tcBorders>
            <w:shd w:val="clear" w:color="auto" w:fill="auto"/>
            <w:hideMark/>
          </w:tcPr>
          <w:p w14:paraId="49ABC135"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5060C332" w14:textId="77777777" w:rsidR="00BE4303" w:rsidRDefault="00BE4303" w:rsidP="00BE4303">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Regulatory Agency Inquiries (24), Lawsuits &amp; Legal Issues (25), Legal Structure Changes (76), Changes in Company Bylaws/Rules (77), Regulatory Authority - Regulations (205), Regulatory Authority - Compliance (206), Regulatory Authority - Enforcement Actions (207)</w:t>
            </w:r>
          </w:p>
          <w:p w14:paraId="2B2D47A8"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1E63E112" w14:textId="77777777" w:rsidR="00BE4303" w:rsidRPr="00333FBD" w:rsidRDefault="00BE4303" w:rsidP="00BE4303">
            <w:pPr>
              <w:spacing w:after="0" w:line="240" w:lineRule="auto"/>
              <w:rPr>
                <w:rFonts w:ascii="Century Schoolbook" w:eastAsia="Times New Roman" w:hAnsi="Century Schoolbook" w:cs="Times New Roman"/>
                <w:color w:val="000000"/>
                <w:sz w:val="19"/>
                <w:szCs w:val="19"/>
              </w:rPr>
            </w:pPr>
          </w:p>
        </w:tc>
      </w:tr>
      <w:tr w:rsidR="00BE4303" w:rsidRPr="00333FBD" w14:paraId="3DC9A7B2" w14:textId="77777777" w:rsidTr="005F2E42">
        <w:trPr>
          <w:trHeight w:val="350"/>
        </w:trPr>
        <w:tc>
          <w:tcPr>
            <w:tcW w:w="0" w:type="auto"/>
            <w:tcBorders>
              <w:top w:val="nil"/>
              <w:left w:val="nil"/>
              <w:bottom w:val="single" w:sz="4" w:space="0" w:color="auto"/>
              <w:right w:val="nil"/>
            </w:tcBorders>
            <w:shd w:val="clear" w:color="auto" w:fill="auto"/>
            <w:noWrap/>
          </w:tcPr>
          <w:p w14:paraId="1A4B1E33" w14:textId="77777777" w:rsidR="00BE4303" w:rsidRDefault="00BE4303" w:rsidP="00BE4303">
            <w:pPr>
              <w:spacing w:after="0" w:line="240" w:lineRule="auto"/>
              <w:rPr>
                <w:rFonts w:ascii="Century Schoolbook" w:eastAsia="Times New Roman" w:hAnsi="Century Schoolbook" w:cs="Times New Roman"/>
                <w:color w:val="000000"/>
                <w:position w:val="6"/>
                <w:sz w:val="19"/>
                <w:szCs w:val="19"/>
              </w:rPr>
            </w:pPr>
          </w:p>
          <w:p w14:paraId="3002BA99" w14:textId="5B9821A2" w:rsidR="00BE4303" w:rsidRPr="00694A7C" w:rsidRDefault="007B1C68" w:rsidP="00BE4303">
            <w:pPr>
              <w:spacing w:after="0" w:line="240" w:lineRule="auto"/>
              <w:rPr>
                <w:rFonts w:ascii="Century Schoolbook" w:eastAsia="Times New Roman" w:hAnsi="Century Schoolbook" w:cs="Times New Roman"/>
                <w:color w:val="000000"/>
                <w:position w:val="6"/>
                <w:sz w:val="19"/>
                <w:szCs w:val="19"/>
              </w:rPr>
            </w:pPr>
            <w:r>
              <w:rPr>
                <w:rFonts w:ascii="Century Schoolbook" w:eastAsia="Times New Roman" w:hAnsi="Century Schoolbook" w:cs="Times New Roman"/>
                <w:color w:val="000000"/>
                <w:position w:val="6"/>
                <w:sz w:val="19"/>
                <w:szCs w:val="19"/>
              </w:rPr>
              <w:t>Shareholder a</w:t>
            </w:r>
            <w:r w:rsidR="00BE4303" w:rsidRPr="0007579F">
              <w:rPr>
                <w:rFonts w:ascii="Century Schoolbook" w:eastAsia="Times New Roman" w:hAnsi="Century Schoolbook" w:cs="Times New Roman"/>
                <w:color w:val="000000"/>
                <w:position w:val="6"/>
                <w:sz w:val="19"/>
                <w:szCs w:val="19"/>
              </w:rPr>
              <w:t>ctivism</w:t>
            </w:r>
          </w:p>
        </w:tc>
        <w:tc>
          <w:tcPr>
            <w:tcW w:w="0" w:type="auto"/>
            <w:tcBorders>
              <w:top w:val="nil"/>
              <w:left w:val="nil"/>
              <w:bottom w:val="single" w:sz="4" w:space="0" w:color="auto"/>
              <w:right w:val="nil"/>
            </w:tcBorders>
            <w:shd w:val="clear" w:color="auto" w:fill="auto"/>
          </w:tcPr>
          <w:p w14:paraId="4ED24100" w14:textId="77777777" w:rsidR="00BE4303" w:rsidRDefault="00BE4303" w:rsidP="00BE4303">
            <w:pPr>
              <w:spacing w:after="0" w:line="240" w:lineRule="auto"/>
              <w:rPr>
                <w:rFonts w:ascii="Century Schoolbook" w:eastAsia="Times New Roman" w:hAnsi="Century Schoolbook" w:cs="Times New Roman"/>
                <w:color w:val="000000"/>
                <w:position w:val="6"/>
                <w:sz w:val="19"/>
                <w:szCs w:val="19"/>
              </w:rPr>
            </w:pPr>
          </w:p>
          <w:p w14:paraId="762C9F6A" w14:textId="77777777" w:rsidR="00BE4303" w:rsidRDefault="00BE4303" w:rsidP="00BE4303">
            <w:pPr>
              <w:spacing w:after="0" w:line="240" w:lineRule="auto"/>
              <w:rPr>
                <w:rFonts w:ascii="Century Schoolbook" w:eastAsia="Times New Roman" w:hAnsi="Century Schoolbook" w:cs="Times New Roman"/>
                <w:color w:val="000000"/>
                <w:position w:val="6"/>
                <w:sz w:val="19"/>
                <w:szCs w:val="19"/>
              </w:rPr>
            </w:pPr>
            <w:r w:rsidRPr="0007579F">
              <w:rPr>
                <w:rFonts w:ascii="Century Schoolbook" w:eastAsia="Times New Roman" w:hAnsi="Century Schoolbook" w:cs="Times New Roman"/>
                <w:color w:val="000000"/>
                <w:position w:val="6"/>
                <w:sz w:val="19"/>
                <w:szCs w:val="19"/>
              </w:rPr>
              <w:t>Investor Activism - Proposal Related (156), Investor Activism - Activist Communication (157), Investor Activism - Target Communication (160), Investor Activism - Proxy/Voting Related (163), Investor Activism - Agreement Related (164), Investor Activism - Nomination Related (172), Investor Activism - Financing Option from Activist (177), Investor Activism - Supporting Statements (187)</w:t>
            </w:r>
          </w:p>
          <w:p w14:paraId="73BD3C92" w14:textId="1BA72469" w:rsidR="00BE4303" w:rsidRPr="00694A7C" w:rsidRDefault="00BE4303" w:rsidP="00BE4303">
            <w:pPr>
              <w:spacing w:after="0" w:line="240" w:lineRule="auto"/>
              <w:rPr>
                <w:rFonts w:ascii="Century Schoolbook" w:eastAsia="Times New Roman" w:hAnsi="Century Schoolbook" w:cs="Times New Roman"/>
                <w:color w:val="000000"/>
                <w:position w:val="6"/>
                <w:sz w:val="19"/>
                <w:szCs w:val="19"/>
              </w:rPr>
            </w:pPr>
          </w:p>
        </w:tc>
      </w:tr>
      <w:tr w:rsidR="00BE4303" w:rsidRPr="00333FBD" w14:paraId="438E5F49" w14:textId="77777777" w:rsidTr="005F2E42">
        <w:trPr>
          <w:trHeight w:val="1061"/>
        </w:trPr>
        <w:tc>
          <w:tcPr>
            <w:tcW w:w="0" w:type="auto"/>
            <w:tcBorders>
              <w:top w:val="nil"/>
              <w:left w:val="nil"/>
              <w:bottom w:val="single" w:sz="4" w:space="0" w:color="auto"/>
              <w:right w:val="nil"/>
            </w:tcBorders>
            <w:shd w:val="clear" w:color="auto" w:fill="auto"/>
            <w:hideMark/>
          </w:tcPr>
          <w:p w14:paraId="736D8448"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4E21815D" w14:textId="77777777" w:rsidR="00BE4303" w:rsidRPr="00333FBD" w:rsidRDefault="00BE4303" w:rsidP="00BE4303">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Bankruptcy</w:t>
            </w:r>
          </w:p>
        </w:tc>
        <w:tc>
          <w:tcPr>
            <w:tcW w:w="0" w:type="auto"/>
            <w:tcBorders>
              <w:top w:val="nil"/>
              <w:left w:val="nil"/>
              <w:bottom w:val="single" w:sz="4" w:space="0" w:color="auto"/>
              <w:right w:val="nil"/>
            </w:tcBorders>
            <w:shd w:val="clear" w:color="auto" w:fill="auto"/>
            <w:hideMark/>
          </w:tcPr>
          <w:p w14:paraId="731478DC"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766CB5FB" w14:textId="77777777" w:rsidR="00BE4303" w:rsidRPr="00333FBD" w:rsidRDefault="00BE4303" w:rsidP="00BE4303">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Bankruptcy - Filing (89), Bankruptcy - Conclusion (90), Bankruptcy - Emergence/Exit (91), Bankruptcy - Asset Sale/Liquidation (153), Bankruptcy - Financing (154), Bankruptcy - Reorganization (155), Bankruptcy - Other (7), Debt Defaults (74)</w:t>
            </w:r>
          </w:p>
        </w:tc>
      </w:tr>
      <w:tr w:rsidR="00BE4303" w:rsidRPr="00333FBD" w14:paraId="672597DB" w14:textId="77777777" w:rsidTr="005F2E42">
        <w:trPr>
          <w:trHeight w:val="818"/>
        </w:trPr>
        <w:tc>
          <w:tcPr>
            <w:tcW w:w="0" w:type="auto"/>
            <w:tcBorders>
              <w:top w:val="nil"/>
              <w:left w:val="nil"/>
              <w:bottom w:val="single" w:sz="4" w:space="0" w:color="auto"/>
              <w:right w:val="nil"/>
            </w:tcBorders>
            <w:shd w:val="clear" w:color="auto" w:fill="auto"/>
            <w:noWrap/>
            <w:hideMark/>
          </w:tcPr>
          <w:p w14:paraId="72AFDB38"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47EA4C29" w14:textId="5865F09B" w:rsidR="00BE4303" w:rsidRPr="00333FBD" w:rsidRDefault="00D73A34" w:rsidP="00BE4303">
            <w:pPr>
              <w:spacing w:after="0" w:line="240" w:lineRule="auto"/>
              <w:rPr>
                <w:rFonts w:ascii="Century Schoolbook" w:eastAsia="Times New Roman" w:hAnsi="Century Schoolbook" w:cs="Times New Roman"/>
                <w:color w:val="000000"/>
                <w:sz w:val="19"/>
                <w:szCs w:val="19"/>
              </w:rPr>
            </w:pPr>
            <w:r>
              <w:rPr>
                <w:rFonts w:ascii="Century Schoolbook" w:eastAsia="Times New Roman" w:hAnsi="Century Schoolbook" w:cs="Times New Roman"/>
                <w:color w:val="000000"/>
                <w:sz w:val="19"/>
                <w:szCs w:val="19"/>
              </w:rPr>
              <w:t xml:space="preserve">Security </w:t>
            </w:r>
            <w:r w:rsidR="007B1C68">
              <w:rPr>
                <w:rFonts w:ascii="Century Schoolbook" w:eastAsia="Times New Roman" w:hAnsi="Century Schoolbook" w:cs="Times New Roman"/>
                <w:color w:val="000000"/>
                <w:sz w:val="19"/>
                <w:szCs w:val="19"/>
              </w:rPr>
              <w:t>t</w:t>
            </w:r>
            <w:r w:rsidR="00BE4303" w:rsidRPr="00333FBD">
              <w:rPr>
                <w:rFonts w:ascii="Century Schoolbook" w:eastAsia="Times New Roman" w:hAnsi="Century Schoolbook" w:cs="Times New Roman"/>
                <w:color w:val="000000"/>
                <w:sz w:val="19"/>
                <w:szCs w:val="19"/>
              </w:rPr>
              <w:t>rading</w:t>
            </w:r>
          </w:p>
        </w:tc>
        <w:tc>
          <w:tcPr>
            <w:tcW w:w="0" w:type="auto"/>
            <w:tcBorders>
              <w:top w:val="nil"/>
              <w:left w:val="nil"/>
              <w:bottom w:val="single" w:sz="4" w:space="0" w:color="auto"/>
              <w:right w:val="nil"/>
            </w:tcBorders>
            <w:shd w:val="clear" w:color="auto" w:fill="auto"/>
            <w:hideMark/>
          </w:tcPr>
          <w:p w14:paraId="4B78C1CE"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2031BEFC" w14:textId="75F00510" w:rsidR="00BE4303" w:rsidRDefault="00BE4303" w:rsidP="00BE4303">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 xml:space="preserve">Delayed SEC Filings (11), </w:t>
            </w:r>
            <w:proofErr w:type="spellStart"/>
            <w:r w:rsidR="00FA1DC4" w:rsidRPr="00333FBD">
              <w:rPr>
                <w:rFonts w:ascii="Century Schoolbook" w:eastAsia="Times New Roman" w:hAnsi="Century Schoolbook" w:cs="Times New Roman"/>
                <w:color w:val="000000"/>
                <w:sz w:val="19"/>
                <w:szCs w:val="19"/>
              </w:rPr>
              <w:t>Delisting</w:t>
            </w:r>
            <w:r w:rsidR="00FA1DC4">
              <w:rPr>
                <w:rFonts w:ascii="Century Schoolbook" w:eastAsia="Times New Roman" w:hAnsi="Century Schoolbook" w:cs="Times New Roman"/>
                <w:color w:val="000000"/>
                <w:sz w:val="19"/>
                <w:szCs w:val="19"/>
              </w:rPr>
              <w:t>s</w:t>
            </w:r>
            <w:proofErr w:type="spellEnd"/>
            <w:r w:rsidRPr="00333FBD">
              <w:rPr>
                <w:rFonts w:ascii="Century Schoolbook" w:eastAsia="Times New Roman" w:hAnsi="Century Schoolbook" w:cs="Times New Roman"/>
                <w:color w:val="000000"/>
                <w:sz w:val="19"/>
                <w:szCs w:val="19"/>
              </w:rPr>
              <w:t xml:space="preserve"> (12), Exchange Changes (57), Ticker Changes (58), Index Constituent Drops (75), Index Constituent Adds (95), End of Lock-Up Period (92), Shelf Registration Filings (93)</w:t>
            </w:r>
          </w:p>
          <w:p w14:paraId="0278962B" w14:textId="77777777" w:rsidR="00BE4303" w:rsidRPr="00333FBD" w:rsidRDefault="00BE4303" w:rsidP="00BE4303">
            <w:pPr>
              <w:spacing w:after="0" w:line="240" w:lineRule="auto"/>
              <w:rPr>
                <w:rFonts w:ascii="Century Schoolbook" w:eastAsia="Times New Roman" w:hAnsi="Century Schoolbook" w:cs="Times New Roman"/>
                <w:color w:val="000000"/>
                <w:sz w:val="19"/>
                <w:szCs w:val="19"/>
              </w:rPr>
            </w:pPr>
          </w:p>
        </w:tc>
      </w:tr>
      <w:tr w:rsidR="00BE4303" w:rsidRPr="00333FBD" w14:paraId="6FAB6CF8" w14:textId="77777777" w:rsidTr="005F2E42">
        <w:trPr>
          <w:trHeight w:val="936"/>
        </w:trPr>
        <w:tc>
          <w:tcPr>
            <w:tcW w:w="0" w:type="auto"/>
            <w:tcBorders>
              <w:top w:val="nil"/>
              <w:left w:val="nil"/>
              <w:bottom w:val="single" w:sz="4" w:space="0" w:color="auto"/>
              <w:right w:val="nil"/>
            </w:tcBorders>
            <w:shd w:val="clear" w:color="auto" w:fill="auto"/>
            <w:noWrap/>
            <w:hideMark/>
          </w:tcPr>
          <w:p w14:paraId="5F79D5F3"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283F9B28" w14:textId="77777777" w:rsidR="00BE4303" w:rsidRPr="00333FBD" w:rsidRDefault="00BE4303" w:rsidP="00BE4303">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Other</w:t>
            </w:r>
          </w:p>
        </w:tc>
        <w:tc>
          <w:tcPr>
            <w:tcW w:w="0" w:type="auto"/>
            <w:tcBorders>
              <w:top w:val="nil"/>
              <w:left w:val="nil"/>
              <w:bottom w:val="single" w:sz="4" w:space="0" w:color="auto"/>
              <w:right w:val="nil"/>
            </w:tcBorders>
            <w:shd w:val="clear" w:color="auto" w:fill="auto"/>
            <w:hideMark/>
          </w:tcPr>
          <w:p w14:paraId="6011A69D" w14:textId="77777777" w:rsidR="00BE4303" w:rsidRDefault="00BE4303" w:rsidP="00BE4303">
            <w:pPr>
              <w:spacing w:after="0" w:line="240" w:lineRule="auto"/>
              <w:rPr>
                <w:rFonts w:ascii="Century Schoolbook" w:eastAsia="Times New Roman" w:hAnsi="Century Schoolbook" w:cs="Times New Roman"/>
                <w:color w:val="000000"/>
                <w:sz w:val="19"/>
                <w:szCs w:val="19"/>
              </w:rPr>
            </w:pPr>
          </w:p>
          <w:p w14:paraId="38379AF8" w14:textId="77777777" w:rsidR="00BE4303" w:rsidRDefault="00BE4303" w:rsidP="00BE4303">
            <w:pPr>
              <w:spacing w:after="0" w:line="240" w:lineRule="auto"/>
              <w:rPr>
                <w:rFonts w:ascii="Century Schoolbook" w:eastAsia="Times New Roman" w:hAnsi="Century Schoolbook" w:cs="Times New Roman"/>
                <w:color w:val="000000"/>
                <w:sz w:val="19"/>
                <w:szCs w:val="19"/>
              </w:rPr>
            </w:pPr>
            <w:r w:rsidRPr="00333FBD">
              <w:rPr>
                <w:rFonts w:ascii="Century Schoolbook" w:eastAsia="Times New Roman" w:hAnsi="Century Schoolbook" w:cs="Times New Roman"/>
                <w:color w:val="000000"/>
                <w:sz w:val="19"/>
                <w:szCs w:val="19"/>
              </w:rPr>
              <w:t>Seeking Financing/Partners (5), Name Changes (56), Address Changes (60), Fiscal Year End Changes (79), Potential Privatization of Government Entities (99), Composite Units Offerings (134)</w:t>
            </w:r>
          </w:p>
          <w:p w14:paraId="2B301BE8" w14:textId="77777777" w:rsidR="00774910" w:rsidRPr="00333FBD" w:rsidRDefault="00774910" w:rsidP="00BE4303">
            <w:pPr>
              <w:spacing w:after="0" w:line="240" w:lineRule="auto"/>
              <w:rPr>
                <w:rFonts w:ascii="Century Schoolbook" w:eastAsia="Times New Roman" w:hAnsi="Century Schoolbook" w:cs="Times New Roman"/>
                <w:color w:val="000000"/>
                <w:sz w:val="19"/>
                <w:szCs w:val="19"/>
              </w:rPr>
            </w:pPr>
          </w:p>
        </w:tc>
      </w:tr>
    </w:tbl>
    <w:p w14:paraId="1E805032" w14:textId="77777777" w:rsidR="00F770FF" w:rsidRDefault="00F770FF" w:rsidP="00F770FF">
      <w:pPr>
        <w:autoSpaceDE w:val="0"/>
        <w:autoSpaceDN w:val="0"/>
        <w:adjustRightInd w:val="0"/>
        <w:spacing w:after="0" w:line="240" w:lineRule="auto"/>
        <w:rPr>
          <w:sz w:val="16"/>
        </w:rPr>
      </w:pPr>
    </w:p>
    <w:p w14:paraId="6AC6A040" w14:textId="01F55394" w:rsidR="00AD067D" w:rsidRDefault="00AD067D" w:rsidP="00196F82">
      <w:pPr>
        <w:autoSpaceDE w:val="0"/>
        <w:autoSpaceDN w:val="0"/>
        <w:adjustRightInd w:val="0"/>
        <w:spacing w:after="0" w:line="240" w:lineRule="auto"/>
        <w:rPr>
          <w:sz w:val="16"/>
        </w:rPr>
      </w:pPr>
    </w:p>
    <w:sectPr w:rsidR="00AD067D" w:rsidSect="005226A1">
      <w:pgSz w:w="12240" w:h="15840"/>
      <w:pgMar w:top="1354" w:right="1282" w:bottom="1440" w:left="113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CC6D7" w16cid:durableId="1E71DDA8"/>
  <w16cid:commentId w16cid:paraId="5F42A148" w16cid:durableId="1E71DE23"/>
  <w16cid:commentId w16cid:paraId="3ADCF756" w16cid:durableId="1E71DE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B6FE" w14:textId="77777777" w:rsidR="002406F5" w:rsidRDefault="002406F5" w:rsidP="00E354EB">
      <w:pPr>
        <w:spacing w:after="0" w:line="240" w:lineRule="auto"/>
      </w:pPr>
      <w:r>
        <w:separator/>
      </w:r>
    </w:p>
  </w:endnote>
  <w:endnote w:type="continuationSeparator" w:id="0">
    <w:p w14:paraId="109AF236" w14:textId="77777777" w:rsidR="002406F5" w:rsidRDefault="002406F5" w:rsidP="00E3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cmr10">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14156"/>
      <w:docPartObj>
        <w:docPartGallery w:val="Page Numbers (Bottom of Page)"/>
        <w:docPartUnique/>
      </w:docPartObj>
    </w:sdtPr>
    <w:sdtEndPr>
      <w:rPr>
        <w:rFonts w:ascii="Century Schoolbook" w:hAnsi="Century Schoolbook"/>
        <w:noProof/>
        <w:sz w:val="20"/>
      </w:rPr>
    </w:sdtEndPr>
    <w:sdtContent>
      <w:p w14:paraId="6B408CB9" w14:textId="66E24CC9" w:rsidR="005A707F" w:rsidRPr="007719ED" w:rsidRDefault="005A707F">
        <w:pPr>
          <w:pStyle w:val="Footer"/>
          <w:jc w:val="center"/>
          <w:rPr>
            <w:rFonts w:ascii="Century Schoolbook" w:hAnsi="Century Schoolbook"/>
            <w:sz w:val="20"/>
          </w:rPr>
        </w:pPr>
        <w:r w:rsidRPr="007719ED">
          <w:rPr>
            <w:rFonts w:ascii="Century Schoolbook" w:hAnsi="Century Schoolbook"/>
            <w:sz w:val="20"/>
          </w:rPr>
          <w:fldChar w:fldCharType="begin"/>
        </w:r>
        <w:r w:rsidRPr="007719ED">
          <w:rPr>
            <w:rFonts w:ascii="Century Schoolbook" w:hAnsi="Century Schoolbook"/>
            <w:sz w:val="20"/>
          </w:rPr>
          <w:instrText xml:space="preserve"> PAGE   \* MERGEFORMAT </w:instrText>
        </w:r>
        <w:r w:rsidRPr="007719ED">
          <w:rPr>
            <w:rFonts w:ascii="Century Schoolbook" w:hAnsi="Century Schoolbook"/>
            <w:sz w:val="20"/>
          </w:rPr>
          <w:fldChar w:fldCharType="separate"/>
        </w:r>
        <w:r w:rsidR="00966ECE">
          <w:rPr>
            <w:rFonts w:ascii="Century Schoolbook" w:hAnsi="Century Schoolbook"/>
            <w:noProof/>
            <w:sz w:val="20"/>
          </w:rPr>
          <w:t>21</w:t>
        </w:r>
        <w:r w:rsidRPr="007719ED">
          <w:rPr>
            <w:rFonts w:ascii="Century Schoolbook" w:hAnsi="Century Schoolbook"/>
            <w:noProof/>
            <w:sz w:val="20"/>
          </w:rPr>
          <w:fldChar w:fldCharType="end"/>
        </w:r>
      </w:p>
    </w:sdtContent>
  </w:sdt>
  <w:p w14:paraId="2663835B" w14:textId="77777777" w:rsidR="005A707F" w:rsidRDefault="005A70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FF86" w14:textId="77777777" w:rsidR="002406F5" w:rsidRDefault="002406F5" w:rsidP="00E354EB">
      <w:pPr>
        <w:spacing w:after="0" w:line="240" w:lineRule="auto"/>
      </w:pPr>
      <w:r>
        <w:separator/>
      </w:r>
    </w:p>
  </w:footnote>
  <w:footnote w:type="continuationSeparator" w:id="0">
    <w:p w14:paraId="0AC04150" w14:textId="77777777" w:rsidR="002406F5" w:rsidRDefault="002406F5" w:rsidP="00E354EB">
      <w:pPr>
        <w:spacing w:after="0" w:line="240" w:lineRule="auto"/>
      </w:pPr>
      <w:r>
        <w:continuationSeparator/>
      </w:r>
    </w:p>
  </w:footnote>
  <w:footnote w:id="1">
    <w:p w14:paraId="6D5744F1" w14:textId="6D0D0356" w:rsidR="005A707F" w:rsidRPr="009428B8" w:rsidRDefault="005A707F" w:rsidP="006C50E3">
      <w:pPr>
        <w:pStyle w:val="FootnoteText"/>
        <w:rPr>
          <w:rFonts w:ascii="Century Schoolbook" w:hAnsi="Century Schoolbook"/>
          <w:iCs/>
          <w:color w:val="000000"/>
          <w:sz w:val="18"/>
          <w:szCs w:val="18"/>
          <w:shd w:val="clear" w:color="auto" w:fill="FFFFFF"/>
        </w:rPr>
      </w:pPr>
      <w:r w:rsidRPr="009428B8">
        <w:rPr>
          <w:rStyle w:val="FootnoteReference"/>
          <w:rFonts w:ascii="Century Schoolbook" w:hAnsi="Century Schoolbook"/>
          <w:sz w:val="18"/>
          <w:szCs w:val="18"/>
        </w:rPr>
        <w:footnoteRef/>
      </w:r>
      <w:r w:rsidRPr="009428B8">
        <w:rPr>
          <w:rFonts w:ascii="Century Schoolbook" w:hAnsi="Century Schoolbook"/>
          <w:sz w:val="18"/>
          <w:szCs w:val="18"/>
        </w:rPr>
        <w:t xml:space="preserve"> </w:t>
      </w:r>
      <w:r w:rsidRPr="009428B8">
        <w:rPr>
          <w:rFonts w:ascii="Century Schoolbook" w:hAnsi="Century Schoolbook"/>
          <w:iCs/>
          <w:color w:val="000000"/>
          <w:sz w:val="18"/>
          <w:szCs w:val="18"/>
          <w:shd w:val="clear" w:color="auto" w:fill="FFFFFF"/>
        </w:rPr>
        <w:t>Nobel laureate in economics, in Jason Zweig, “Do You Sabotage Yourself?” Money Magazine, May, 2001, p. 78.</w:t>
      </w:r>
    </w:p>
    <w:p w14:paraId="0D2121CE" w14:textId="0AC2CEC1" w:rsidR="005A707F" w:rsidRPr="009428B8" w:rsidRDefault="005A707F" w:rsidP="005861A0">
      <w:pPr>
        <w:pStyle w:val="FootnoteText"/>
        <w:tabs>
          <w:tab w:val="left" w:pos="5940"/>
        </w:tabs>
        <w:rPr>
          <w:rFonts w:ascii="Century Schoolbook" w:hAnsi="Century Schoolbook"/>
          <w:sz w:val="18"/>
          <w:szCs w:val="18"/>
        </w:rPr>
      </w:pPr>
      <w:r>
        <w:rPr>
          <w:rFonts w:ascii="Century Schoolbook" w:hAnsi="Century Schoolbook"/>
          <w:sz w:val="18"/>
          <w:szCs w:val="18"/>
        </w:rPr>
        <w:tab/>
      </w:r>
    </w:p>
  </w:footnote>
  <w:footnote w:id="2">
    <w:p w14:paraId="7F407ED1" w14:textId="22DA8ED2" w:rsidR="005A707F" w:rsidRPr="008D1229" w:rsidRDefault="005A707F">
      <w:pPr>
        <w:pStyle w:val="FootnoteText"/>
        <w:rPr>
          <w:lang w:val="en-CA"/>
        </w:rPr>
      </w:pPr>
      <w:r w:rsidRPr="009428B8">
        <w:rPr>
          <w:rStyle w:val="FootnoteReference"/>
          <w:rFonts w:ascii="Century Schoolbook" w:hAnsi="Century Schoolbook"/>
          <w:sz w:val="18"/>
          <w:szCs w:val="18"/>
        </w:rPr>
        <w:footnoteRef/>
      </w:r>
      <w:r w:rsidRPr="009428B8">
        <w:rPr>
          <w:rFonts w:ascii="Century Schoolbook" w:hAnsi="Century Schoolbook"/>
          <w:sz w:val="18"/>
          <w:szCs w:val="18"/>
        </w:rPr>
        <w:t xml:space="preserve"> </w:t>
      </w:r>
      <w:r w:rsidRPr="00527192">
        <w:rPr>
          <w:rFonts w:ascii="Century Schoolbook" w:hAnsi="Century Schoolbook"/>
          <w:sz w:val="18"/>
          <w:szCs w:val="18"/>
          <w:lang w:val="en-CA"/>
        </w:rPr>
        <w:t xml:space="preserve">For some evidences, see Womack (1996), Clement (1999), Barber et al. (2001), Frankel, Kothari and Weber (2006), and </w:t>
      </w:r>
      <w:r w:rsidRPr="00527192">
        <w:rPr>
          <w:rFonts w:ascii="Century Schoolbook" w:hAnsi="Century Schoolbook" w:cs="Arial"/>
          <w:color w:val="222222"/>
          <w:sz w:val="18"/>
          <w:szCs w:val="18"/>
        </w:rPr>
        <w:t>Fang and Yasuda (2009)</w:t>
      </w:r>
      <w:r w:rsidRPr="00527192">
        <w:rPr>
          <w:rFonts w:ascii="Century Schoolbook" w:hAnsi="Century Schoolbook"/>
          <w:sz w:val="18"/>
          <w:szCs w:val="18"/>
          <w:lang w:val="en-CA"/>
        </w:rPr>
        <w:t>. For a survey, see Bradshaw (2011).</w:t>
      </w:r>
    </w:p>
  </w:footnote>
  <w:footnote w:id="3">
    <w:p w14:paraId="6263A161" w14:textId="475565FF" w:rsidR="005A707F" w:rsidRDefault="005A707F">
      <w:pPr>
        <w:pStyle w:val="FootnoteText"/>
      </w:pPr>
      <w:r w:rsidRPr="009734BD">
        <w:rPr>
          <w:rStyle w:val="FootnoteReference"/>
          <w:rFonts w:ascii="Century Schoolbook" w:hAnsi="Century Schoolbook"/>
          <w:sz w:val="18"/>
          <w:szCs w:val="18"/>
        </w:rPr>
        <w:footnoteRef/>
      </w:r>
      <w:r w:rsidRPr="009734BD">
        <w:rPr>
          <w:rFonts w:ascii="Century Schoolbook" w:hAnsi="Century Schoolbook"/>
          <w:sz w:val="18"/>
          <w:szCs w:val="18"/>
        </w:rPr>
        <w:t xml:space="preserve"> See for examples, </w:t>
      </w:r>
      <w:proofErr w:type="spellStart"/>
      <w:r w:rsidRPr="009734BD">
        <w:rPr>
          <w:rFonts w:ascii="Century Schoolbook" w:hAnsi="Century Schoolbook" w:cs="Times New Roman"/>
          <w:sz w:val="18"/>
          <w:szCs w:val="18"/>
        </w:rPr>
        <w:t>Livnat</w:t>
      </w:r>
      <w:proofErr w:type="spellEnd"/>
      <w:r w:rsidRPr="009734BD">
        <w:rPr>
          <w:rFonts w:ascii="Century Schoolbook" w:hAnsi="Century Schoolbook" w:cs="Times New Roman"/>
          <w:sz w:val="18"/>
          <w:szCs w:val="18"/>
        </w:rPr>
        <w:t xml:space="preserve"> and Zhang (2012), and Rubin, Segal, and Segal (2017).</w:t>
      </w:r>
    </w:p>
  </w:footnote>
  <w:footnote w:id="4">
    <w:p w14:paraId="2017EE77" w14:textId="5228A907" w:rsidR="005A707F" w:rsidRDefault="005A707F" w:rsidP="006B2364">
      <w:pPr>
        <w:pStyle w:val="Default"/>
        <w:spacing w:after="120" w:line="480" w:lineRule="auto"/>
        <w:jc w:val="both"/>
      </w:pPr>
      <w:r w:rsidRPr="0019244C">
        <w:rPr>
          <w:rStyle w:val="FootnoteReference"/>
          <w:rFonts w:ascii="Century Schoolbook" w:hAnsi="Century Schoolbook"/>
          <w:sz w:val="18"/>
          <w:szCs w:val="20"/>
        </w:rPr>
        <w:footnoteRef/>
      </w:r>
      <w:r w:rsidRPr="0019244C">
        <w:rPr>
          <w:rFonts w:ascii="Century Schoolbook" w:hAnsi="Century Schoolbook"/>
          <w:sz w:val="18"/>
          <w:szCs w:val="20"/>
        </w:rPr>
        <w:t xml:space="preserve"> </w:t>
      </w:r>
      <w:r w:rsidRPr="0019244C">
        <w:rPr>
          <w:rFonts w:ascii="Century Schoolbook" w:hAnsi="Century Schoolbook" w:cs="AdvTT5235d5a9"/>
          <w:sz w:val="18"/>
          <w:szCs w:val="20"/>
        </w:rPr>
        <w:t>We reconcile the difference between our finding and their study in t</w:t>
      </w:r>
      <w:r w:rsidRPr="0019244C">
        <w:rPr>
          <w:rFonts w:ascii="Century Schoolbook" w:hAnsi="Century Schoolbook" w:cs="Times New Roman"/>
          <w:sz w:val="18"/>
          <w:szCs w:val="20"/>
        </w:rPr>
        <w:t xml:space="preserve">he </w:t>
      </w:r>
      <w:bookmarkStart w:id="0" w:name="_GoBack"/>
      <w:r w:rsidRPr="0019244C">
        <w:rPr>
          <w:rFonts w:ascii="Century Schoolbook" w:hAnsi="Century Schoolbook" w:cs="Times New Roman"/>
          <w:sz w:val="18"/>
          <w:szCs w:val="20"/>
        </w:rPr>
        <w:t>Online</w:t>
      </w:r>
      <w:bookmarkEnd w:id="0"/>
      <w:r w:rsidRPr="0019244C">
        <w:rPr>
          <w:rFonts w:ascii="Century Schoolbook" w:hAnsi="Century Schoolbook" w:cs="Times New Roman"/>
          <w:sz w:val="18"/>
          <w:szCs w:val="20"/>
        </w:rPr>
        <w:t xml:space="preserve"> Appendix.</w:t>
      </w:r>
    </w:p>
  </w:footnote>
  <w:footnote w:id="5">
    <w:p w14:paraId="324E4DB1" w14:textId="77777777" w:rsidR="005A707F" w:rsidRPr="00B75EAC" w:rsidRDefault="005A707F" w:rsidP="00E354EB">
      <w:pPr>
        <w:autoSpaceDE w:val="0"/>
        <w:autoSpaceDN w:val="0"/>
        <w:adjustRightInd w:val="0"/>
        <w:spacing w:after="0" w:line="240" w:lineRule="auto"/>
        <w:jc w:val="both"/>
        <w:rPr>
          <w:rFonts w:ascii="Century Schoolbook" w:hAnsi="Century Schoolbook" w:cs="Times New Roman"/>
          <w:color w:val="000000"/>
          <w:sz w:val="18"/>
          <w:szCs w:val="18"/>
          <w:lang w:val="en-CA"/>
        </w:rPr>
      </w:pPr>
      <w:r w:rsidRPr="00B75EAC">
        <w:rPr>
          <w:rStyle w:val="FootnoteReference"/>
          <w:rFonts w:ascii="Century Schoolbook" w:hAnsi="Century Schoolbook" w:cs="Times New Roman"/>
          <w:sz w:val="18"/>
          <w:szCs w:val="18"/>
          <w:lang w:val="en-CA"/>
        </w:rPr>
        <w:footnoteRef/>
      </w:r>
      <w:r w:rsidRPr="00B75EAC">
        <w:rPr>
          <w:rFonts w:ascii="Century Schoolbook" w:hAnsi="Century Schoolbook" w:cs="Times New Roman"/>
          <w:sz w:val="18"/>
          <w:szCs w:val="18"/>
          <w:lang w:val="en-CA"/>
        </w:rPr>
        <w:t xml:space="preserve"> </w:t>
      </w:r>
      <w:proofErr w:type="spellStart"/>
      <w:r w:rsidRPr="00B75EAC">
        <w:rPr>
          <w:rFonts w:ascii="Century Schoolbook" w:hAnsi="Century Schoolbook" w:cs="Times New Roman"/>
          <w:sz w:val="18"/>
          <w:szCs w:val="18"/>
          <w:lang w:val="en-CA"/>
        </w:rPr>
        <w:t>Ljungqvist</w:t>
      </w:r>
      <w:proofErr w:type="spellEnd"/>
      <w:r w:rsidRPr="00B75EAC">
        <w:rPr>
          <w:rFonts w:ascii="Century Schoolbook" w:hAnsi="Century Schoolbook" w:cs="Times New Roman"/>
          <w:sz w:val="18"/>
          <w:szCs w:val="18"/>
          <w:lang w:val="en-CA"/>
        </w:rPr>
        <w:t xml:space="preserve">, Malloy, and Marston (2009) </w:t>
      </w:r>
      <w:r w:rsidRPr="00B75EAC">
        <w:rPr>
          <w:rFonts w:ascii="Century Schoolbook" w:hAnsi="Century Schoolbook" w:cs="Times New Roman"/>
          <w:color w:val="000000"/>
          <w:sz w:val="18"/>
          <w:szCs w:val="18"/>
          <w:lang w:val="en-CA"/>
        </w:rPr>
        <w:t xml:space="preserve">document a significant number of additions, deletions, and alterations between snapshots of the </w:t>
      </w:r>
      <w:r w:rsidRPr="00B75EAC">
        <w:rPr>
          <w:rFonts w:ascii="Century Schoolbook" w:hAnsi="Century Schoolbook" w:cs="Times New Roman"/>
          <w:i/>
          <w:iCs/>
          <w:color w:val="000000"/>
          <w:sz w:val="18"/>
          <w:szCs w:val="18"/>
          <w:lang w:val="en-CA"/>
        </w:rPr>
        <w:t xml:space="preserve">I/B/E/S </w:t>
      </w:r>
      <w:r w:rsidRPr="00B75EAC">
        <w:rPr>
          <w:rFonts w:ascii="Century Schoolbook" w:hAnsi="Century Schoolbook" w:cs="Times New Roman"/>
          <w:color w:val="000000"/>
          <w:sz w:val="18"/>
          <w:szCs w:val="18"/>
          <w:lang w:val="en-CA"/>
        </w:rPr>
        <w:t>recommendation history on different dates. According to Wharton Research Data Services, the data distributor of I/B/E/S, the issues have been corrected as of September 2007.</w:t>
      </w:r>
    </w:p>
    <w:p w14:paraId="01074776" w14:textId="77777777" w:rsidR="005A707F" w:rsidRPr="00B75EAC" w:rsidRDefault="005A707F" w:rsidP="00E354EB">
      <w:pPr>
        <w:autoSpaceDE w:val="0"/>
        <w:autoSpaceDN w:val="0"/>
        <w:adjustRightInd w:val="0"/>
        <w:spacing w:after="0" w:line="240" w:lineRule="auto"/>
        <w:jc w:val="both"/>
        <w:rPr>
          <w:rFonts w:ascii="Century Schoolbook" w:hAnsi="Century Schoolbook" w:cs="Times New Roman"/>
          <w:sz w:val="18"/>
          <w:szCs w:val="18"/>
          <w:lang w:val="en-CA"/>
        </w:rPr>
      </w:pPr>
    </w:p>
  </w:footnote>
  <w:footnote w:id="6">
    <w:p w14:paraId="0F4D2A46" w14:textId="523E6891" w:rsidR="005A707F" w:rsidRPr="00B75EAC" w:rsidRDefault="005A707F" w:rsidP="00E354EB">
      <w:pPr>
        <w:pStyle w:val="FootnoteText"/>
        <w:rPr>
          <w:rFonts w:ascii="Century Schoolbook" w:hAnsi="Century Schoolbook" w:cs="Times New Roman"/>
          <w:sz w:val="18"/>
          <w:szCs w:val="18"/>
          <w:lang w:val="en-CA"/>
        </w:rPr>
      </w:pPr>
      <w:r w:rsidRPr="00B75EAC">
        <w:rPr>
          <w:rStyle w:val="FootnoteReference"/>
          <w:rFonts w:ascii="Century Schoolbook" w:hAnsi="Century Schoolbook" w:cs="Times New Roman"/>
          <w:sz w:val="18"/>
          <w:szCs w:val="18"/>
          <w:lang w:val="en-CA"/>
        </w:rPr>
        <w:footnoteRef/>
      </w:r>
      <w:r w:rsidRPr="00B75EAC">
        <w:rPr>
          <w:rFonts w:ascii="Century Schoolbook" w:hAnsi="Century Schoolbook" w:cs="Times New Roman"/>
          <w:sz w:val="18"/>
          <w:szCs w:val="18"/>
          <w:lang w:val="en-CA"/>
        </w:rPr>
        <w:t xml:space="preserve"> We thank Lily Fang and Ayako Yasuda for </w:t>
      </w:r>
      <w:r>
        <w:rPr>
          <w:rFonts w:ascii="Century Schoolbook" w:hAnsi="Century Schoolbook" w:cs="Times New Roman"/>
          <w:sz w:val="18"/>
          <w:szCs w:val="18"/>
          <w:lang w:val="en-CA"/>
        </w:rPr>
        <w:t>sharing with</w:t>
      </w:r>
      <w:r w:rsidRPr="00B75EAC">
        <w:rPr>
          <w:rFonts w:ascii="Century Schoolbook" w:hAnsi="Century Schoolbook" w:cs="Times New Roman"/>
          <w:sz w:val="18"/>
          <w:szCs w:val="18"/>
          <w:lang w:val="en-CA"/>
        </w:rPr>
        <w:t xml:space="preserve"> us </w:t>
      </w:r>
      <w:r>
        <w:rPr>
          <w:rFonts w:ascii="Century Schoolbook" w:hAnsi="Century Schoolbook" w:cs="Times New Roman"/>
          <w:sz w:val="18"/>
          <w:szCs w:val="18"/>
          <w:lang w:val="en-CA"/>
        </w:rPr>
        <w:t>their</w:t>
      </w:r>
      <w:r w:rsidRPr="00B75EAC">
        <w:rPr>
          <w:rFonts w:ascii="Century Schoolbook" w:hAnsi="Century Schoolbook" w:cs="Times New Roman"/>
          <w:sz w:val="18"/>
          <w:szCs w:val="18"/>
          <w:lang w:val="en-CA"/>
        </w:rPr>
        <w:t xml:space="preserve"> Institutional Investor’s analyst ranking data.</w:t>
      </w:r>
    </w:p>
    <w:p w14:paraId="1E5B7FF2" w14:textId="77777777" w:rsidR="005A707F" w:rsidRPr="00B75EAC" w:rsidRDefault="005A707F" w:rsidP="00E354EB">
      <w:pPr>
        <w:pStyle w:val="FootnoteText"/>
        <w:rPr>
          <w:rFonts w:ascii="Century Schoolbook" w:hAnsi="Century Schoolbook" w:cs="Times New Roman"/>
          <w:sz w:val="18"/>
          <w:szCs w:val="18"/>
          <w:lang w:val="en-CA"/>
        </w:rPr>
      </w:pPr>
    </w:p>
  </w:footnote>
  <w:footnote w:id="7">
    <w:p w14:paraId="374834F4" w14:textId="77777777" w:rsidR="005A707F" w:rsidRPr="00B75EAC" w:rsidRDefault="005A707F" w:rsidP="00E354EB">
      <w:pPr>
        <w:pStyle w:val="FootnoteText"/>
        <w:rPr>
          <w:rFonts w:ascii="Century Schoolbook" w:hAnsi="Century Schoolbook" w:cs="Times New Roman"/>
          <w:sz w:val="18"/>
          <w:szCs w:val="18"/>
          <w:lang w:val="en-CA"/>
        </w:rPr>
      </w:pPr>
      <w:r w:rsidRPr="00B75EAC">
        <w:rPr>
          <w:rStyle w:val="FootnoteReference"/>
          <w:rFonts w:ascii="Century Schoolbook" w:hAnsi="Century Schoolbook"/>
          <w:sz w:val="18"/>
          <w:szCs w:val="18"/>
        </w:rPr>
        <w:footnoteRef/>
      </w:r>
      <w:r w:rsidRPr="00B75EAC">
        <w:rPr>
          <w:rFonts w:ascii="Century Schoolbook" w:hAnsi="Century Schoolbook"/>
          <w:sz w:val="18"/>
          <w:szCs w:val="18"/>
        </w:rPr>
        <w:t xml:space="preserve"> </w:t>
      </w:r>
      <w:r w:rsidRPr="00B75EAC">
        <w:rPr>
          <w:rFonts w:ascii="Century Schoolbook" w:hAnsi="Century Schoolbook" w:cs="Times New Roman"/>
          <w:sz w:val="18"/>
          <w:szCs w:val="18"/>
          <w:lang w:val="en-CA"/>
        </w:rPr>
        <w:t xml:space="preserve">We thank </w:t>
      </w:r>
      <w:proofErr w:type="spellStart"/>
      <w:r w:rsidRPr="00B75EAC">
        <w:rPr>
          <w:rFonts w:ascii="Century Schoolbook" w:hAnsi="Century Schoolbook" w:cs="Times New Roman"/>
          <w:sz w:val="18"/>
          <w:szCs w:val="18"/>
          <w:lang w:val="en-CA"/>
        </w:rPr>
        <w:t>Alok</w:t>
      </w:r>
      <w:proofErr w:type="spellEnd"/>
      <w:r w:rsidRPr="00B75EAC">
        <w:rPr>
          <w:rFonts w:ascii="Century Schoolbook" w:hAnsi="Century Schoolbook" w:cs="Times New Roman"/>
          <w:sz w:val="18"/>
          <w:szCs w:val="18"/>
          <w:lang w:val="en-CA"/>
        </w:rPr>
        <w:t xml:space="preserve"> Kumar and Kelvin Law for providing us with data on analyst gender.</w:t>
      </w:r>
    </w:p>
    <w:p w14:paraId="753C3546" w14:textId="77777777" w:rsidR="005A707F" w:rsidRPr="00105477" w:rsidRDefault="005A707F" w:rsidP="00E354EB">
      <w:pPr>
        <w:pStyle w:val="FootnoteText"/>
        <w:rPr>
          <w:sz w:val="18"/>
          <w:szCs w:val="18"/>
          <w:lang w:val="en-CA"/>
        </w:rPr>
      </w:pPr>
    </w:p>
  </w:footnote>
  <w:footnote w:id="8">
    <w:p w14:paraId="520ABBAB" w14:textId="2350C4CC" w:rsidR="005A707F" w:rsidRPr="001F299F" w:rsidRDefault="005A707F" w:rsidP="00105477">
      <w:pPr>
        <w:pStyle w:val="Footer"/>
        <w:rPr>
          <w:lang w:val="en-CA"/>
        </w:rPr>
      </w:pPr>
      <w:r w:rsidRPr="00105477">
        <w:rPr>
          <w:rStyle w:val="FootnoteReference"/>
          <w:rFonts w:ascii="Century Schoolbook" w:hAnsi="Century Schoolbook" w:cs="Times New Roman"/>
          <w:sz w:val="18"/>
          <w:szCs w:val="18"/>
        </w:rPr>
        <w:footnoteRef/>
      </w:r>
      <w:r w:rsidRPr="00105477">
        <w:rPr>
          <w:rFonts w:ascii="Century Schoolbook" w:hAnsi="Century Schoolbook" w:cs="Times New Roman"/>
          <w:sz w:val="18"/>
          <w:szCs w:val="18"/>
          <w:lang w:val="en-CA"/>
        </w:rPr>
        <w:t xml:space="preserve">  Some brokerage firms use a 3</w:t>
      </w:r>
      <w:r>
        <w:rPr>
          <w:rFonts w:ascii="Century Schoolbook" w:hAnsi="Century Schoolbook" w:cs="Times New Roman"/>
          <w:sz w:val="18"/>
          <w:szCs w:val="18"/>
          <w:lang w:val="en-CA"/>
        </w:rPr>
        <w:t>-</w:t>
      </w:r>
      <w:r w:rsidRPr="00105477">
        <w:rPr>
          <w:rFonts w:ascii="Century Schoolbook" w:hAnsi="Century Schoolbook" w:cs="Times New Roman"/>
          <w:sz w:val="18"/>
          <w:szCs w:val="18"/>
          <w:lang w:val="en-CA"/>
        </w:rPr>
        <w:t>tier rating system instead of a 5</w:t>
      </w:r>
      <w:r>
        <w:rPr>
          <w:rFonts w:ascii="Century Schoolbook" w:hAnsi="Century Schoolbook" w:cs="Times New Roman"/>
          <w:sz w:val="18"/>
          <w:szCs w:val="18"/>
          <w:lang w:val="en-CA"/>
        </w:rPr>
        <w:t>-</w:t>
      </w:r>
      <w:r w:rsidRPr="00105477">
        <w:rPr>
          <w:rFonts w:ascii="Century Schoolbook" w:hAnsi="Century Schoolbook" w:cs="Times New Roman"/>
          <w:sz w:val="18"/>
          <w:szCs w:val="18"/>
          <w:lang w:val="en-CA"/>
        </w:rPr>
        <w:t>tier rating system.</w:t>
      </w:r>
    </w:p>
  </w:footnote>
  <w:footnote w:id="9">
    <w:p w14:paraId="639459DA" w14:textId="7AAEEA72" w:rsidR="005A707F" w:rsidRPr="008E3E98" w:rsidRDefault="005A707F" w:rsidP="005A482B">
      <w:pPr>
        <w:autoSpaceDE w:val="0"/>
        <w:autoSpaceDN w:val="0"/>
        <w:adjustRightInd w:val="0"/>
        <w:spacing w:after="0" w:line="240" w:lineRule="auto"/>
        <w:rPr>
          <w:rFonts w:ascii="Century Schoolbook" w:hAnsi="Century Schoolbook" w:cs="Times New Roman"/>
          <w:sz w:val="16"/>
          <w:szCs w:val="16"/>
          <w:lang w:val="en-CA"/>
        </w:rPr>
      </w:pPr>
      <w:r w:rsidRPr="00FD6384">
        <w:rPr>
          <w:rStyle w:val="FootnoteReference"/>
          <w:rFonts w:ascii="Century Schoolbook" w:hAnsi="Century Schoolbook" w:cs="Times New Roman"/>
          <w:sz w:val="18"/>
          <w:szCs w:val="16"/>
        </w:rPr>
        <w:footnoteRef/>
      </w:r>
      <w:r w:rsidRPr="00FD6384">
        <w:rPr>
          <w:rFonts w:ascii="Century Schoolbook" w:hAnsi="Century Schoolbook" w:cs="Times New Roman"/>
          <w:sz w:val="18"/>
          <w:szCs w:val="16"/>
          <w:lang w:val="en-CA"/>
        </w:rPr>
        <w:t xml:space="preserve"> </w:t>
      </w:r>
      <w:r w:rsidRPr="00123318">
        <w:rPr>
          <w:rFonts w:ascii="Century Schoolbook" w:hAnsi="Century Schoolbook" w:cs="Times New Roman"/>
          <w:sz w:val="18"/>
          <w:szCs w:val="18"/>
          <w:lang w:val="en-CA"/>
        </w:rPr>
        <w:t xml:space="preserve">Our main conclusions are unaffected when using a 7-year, 5-year, or 3-year rolling window of recommendation history, instead of all past history, to classify our analysts. </w:t>
      </w:r>
      <w:r>
        <w:rPr>
          <w:rFonts w:ascii="Century Schoolbook" w:hAnsi="Century Schoolbook" w:cs="Times New Roman"/>
          <w:sz w:val="18"/>
          <w:szCs w:val="18"/>
          <w:lang w:val="en-CA"/>
        </w:rPr>
        <w:t>Section D</w:t>
      </w:r>
      <w:r w:rsidRPr="000A767D">
        <w:rPr>
          <w:rFonts w:ascii="Century Schoolbook" w:hAnsi="Century Schoolbook" w:cs="Times New Roman"/>
          <w:sz w:val="18"/>
          <w:szCs w:val="18"/>
          <w:lang w:val="en-CA"/>
        </w:rPr>
        <w:t xml:space="preserve"> in the Online Appendix reports robustness-check results</w:t>
      </w:r>
      <w:r w:rsidRPr="000A767D">
        <w:rPr>
          <w:rFonts w:ascii="Century Schoolbook" w:hAnsi="Century Schoolbook" w:cs="cmr10"/>
          <w:sz w:val="18"/>
          <w:szCs w:val="18"/>
        </w:rPr>
        <w:t xml:space="preserve"> using different rolling windows of recommendation history.</w:t>
      </w:r>
    </w:p>
  </w:footnote>
  <w:footnote w:id="10">
    <w:p w14:paraId="36B811B2" w14:textId="77777777" w:rsidR="005A707F" w:rsidRPr="007E35C9" w:rsidRDefault="005A707F" w:rsidP="00E354EB">
      <w:pPr>
        <w:pStyle w:val="FootnoteText"/>
        <w:jc w:val="both"/>
        <w:rPr>
          <w:rFonts w:ascii="Century Schoolbook" w:hAnsi="Century Schoolbook"/>
          <w:lang w:val="en-CA"/>
        </w:rPr>
      </w:pPr>
      <w:r w:rsidRPr="007E35C9">
        <w:rPr>
          <w:rStyle w:val="FootnoteReference"/>
          <w:rFonts w:ascii="Century Schoolbook" w:hAnsi="Century Schoolbook"/>
          <w:sz w:val="16"/>
        </w:rPr>
        <w:footnoteRef/>
      </w:r>
      <w:r>
        <w:rPr>
          <w:rFonts w:ascii="Century Schoolbook" w:hAnsi="Century Schoolbook" w:cs="Times New Roman"/>
          <w:sz w:val="16"/>
          <w:lang w:val="en-CA"/>
        </w:rPr>
        <w:t xml:space="preserve"> </w:t>
      </w:r>
      <w:r w:rsidRPr="009428B8">
        <w:rPr>
          <w:rFonts w:ascii="Century Schoolbook" w:hAnsi="Century Schoolbook" w:cs="Times New Roman"/>
          <w:sz w:val="18"/>
          <w:lang w:val="en-CA"/>
        </w:rPr>
        <w:t xml:space="preserve">Consider our prior example, where </w:t>
      </w:r>
      <w:r w:rsidRPr="009428B8">
        <w:rPr>
          <w:rFonts w:ascii="Century Schoolbook" w:eastAsia="Times New Roman" w:hAnsi="Century Schoolbook" w:cs="Times New Roman"/>
          <w:sz w:val="18"/>
          <w:lang w:val="en-CA" w:eastAsia="fr-FR"/>
        </w:rPr>
        <w:t>7 out of 8 stocks in an analyst’s portfolio are in the fastest revisions quartile. According to a Binomial distribution, the probability that 7 or more stocks (out of 8) are in the fastest revision quartile, given that the null probability is 25% is less than 0.001.</w:t>
      </w:r>
    </w:p>
  </w:footnote>
  <w:footnote w:id="11">
    <w:p w14:paraId="79C0CF1A" w14:textId="068F89F4" w:rsidR="005A707F" w:rsidRPr="00A00DFF" w:rsidRDefault="005A707F" w:rsidP="001724D0">
      <w:pPr>
        <w:pStyle w:val="FootnoteText"/>
        <w:jc w:val="both"/>
        <w:rPr>
          <w:rFonts w:ascii="Century Schoolbook" w:eastAsiaTheme="minorEastAsia" w:hAnsi="Century Schoolbook" w:cs="Times New Roman"/>
          <w:sz w:val="17"/>
          <w:szCs w:val="17"/>
        </w:rPr>
      </w:pPr>
      <w:r w:rsidRPr="00A00DFF">
        <w:rPr>
          <w:rStyle w:val="FootnoteReference"/>
          <w:rFonts w:ascii="Century Schoolbook" w:hAnsi="Century Schoolbook"/>
          <w:sz w:val="17"/>
          <w:szCs w:val="17"/>
        </w:rPr>
        <w:footnoteRef/>
      </w:r>
      <w:r w:rsidRPr="00A00DFF">
        <w:rPr>
          <w:rFonts w:ascii="Century Schoolbook" w:hAnsi="Century Schoolbook"/>
          <w:sz w:val="17"/>
          <w:szCs w:val="17"/>
        </w:rPr>
        <w:t xml:space="preserve"> </w:t>
      </w:r>
      <w:r w:rsidRPr="00A00DFF">
        <w:rPr>
          <w:rFonts w:ascii="Century Schoolbook" w:eastAsiaTheme="minorEastAsia" w:hAnsi="Century Schoolbook" w:cs="Times New Roman"/>
          <w:sz w:val="17"/>
          <w:szCs w:val="17"/>
        </w:rPr>
        <w:t>It can take up to 24 hours to estimate each Cox PH model specification on the SAS WRDS-Cloud server with this weekly panel data over the 1996–2013 period.</w:t>
      </w:r>
    </w:p>
    <w:p w14:paraId="74D6011E" w14:textId="77777777" w:rsidR="005A707F" w:rsidRPr="00A00DFF" w:rsidRDefault="005A707F" w:rsidP="001724D0">
      <w:pPr>
        <w:pStyle w:val="FootnoteText"/>
        <w:rPr>
          <w:sz w:val="17"/>
          <w:szCs w:val="17"/>
        </w:rPr>
      </w:pPr>
    </w:p>
  </w:footnote>
  <w:footnote w:id="12">
    <w:p w14:paraId="05D218C4" w14:textId="4D1A3DBD" w:rsidR="005A707F" w:rsidRPr="001B7D59" w:rsidRDefault="005A707F" w:rsidP="00EC6D76">
      <w:pPr>
        <w:pStyle w:val="FootnoteText"/>
        <w:rPr>
          <w:rFonts w:ascii="Century Schoolbook" w:hAnsi="Century Schoolbook"/>
        </w:rPr>
      </w:pPr>
      <w:r w:rsidRPr="001B7D59">
        <w:rPr>
          <w:rStyle w:val="FootnoteReference"/>
          <w:rFonts w:ascii="Century Schoolbook" w:hAnsi="Century Schoolbook"/>
          <w:sz w:val="16"/>
        </w:rPr>
        <w:footnoteRef/>
      </w:r>
      <w:r w:rsidRPr="001B7D59">
        <w:rPr>
          <w:rFonts w:ascii="Century Schoolbook" w:hAnsi="Century Schoolbook"/>
          <w:sz w:val="16"/>
        </w:rPr>
        <w:t xml:space="preserve"> The </w:t>
      </w:r>
      <w:r>
        <w:rPr>
          <w:rFonts w:ascii="Century Schoolbook" w:hAnsi="Century Schoolbook"/>
          <w:sz w:val="16"/>
        </w:rPr>
        <w:t>log-likelihood ratio (</w:t>
      </w:r>
      <w:r w:rsidRPr="001B7D59">
        <w:rPr>
          <w:rFonts w:ascii="Century Schoolbook" w:hAnsi="Century Schoolbook"/>
          <w:sz w:val="16"/>
        </w:rPr>
        <w:t>LLR</w:t>
      </w:r>
      <w:r>
        <w:rPr>
          <w:rFonts w:ascii="Century Schoolbook" w:hAnsi="Century Schoolbook"/>
          <w:sz w:val="16"/>
        </w:rPr>
        <w:t>)</w:t>
      </w:r>
      <w:r w:rsidRPr="001B7D59">
        <w:rPr>
          <w:rFonts w:ascii="Century Schoolbook" w:hAnsi="Century Schoolbook"/>
          <w:sz w:val="16"/>
        </w:rPr>
        <w:t xml:space="preserve"> converges to a Chi-squared distribution with two degree of freedoms.</w:t>
      </w:r>
    </w:p>
    <w:p w14:paraId="6271EE91" w14:textId="77777777" w:rsidR="005A707F" w:rsidRPr="00EC6D76" w:rsidRDefault="005A707F" w:rsidP="00EC6D76">
      <w:pPr>
        <w:pStyle w:val="FootnoteText"/>
        <w:rPr>
          <w:rFonts w:ascii="Century Schoolbook" w:hAnsi="Century Schoolbook"/>
          <w:sz w:val="22"/>
          <w:szCs w:val="22"/>
        </w:rPr>
      </w:pPr>
    </w:p>
  </w:footnote>
  <w:footnote w:id="13">
    <w:p w14:paraId="1F0F947A" w14:textId="3A4CFD0E" w:rsidR="005A707F" w:rsidRPr="0080423D" w:rsidRDefault="005A707F" w:rsidP="0080423D">
      <w:pPr>
        <w:pStyle w:val="FootnoteText"/>
        <w:jc w:val="both"/>
        <w:rPr>
          <w:rFonts w:ascii="Century Schoolbook" w:hAnsi="Century Schoolbook"/>
          <w:sz w:val="18"/>
          <w:szCs w:val="18"/>
        </w:rPr>
      </w:pPr>
      <w:r w:rsidRPr="0080423D">
        <w:rPr>
          <w:rStyle w:val="FootnoteReference"/>
          <w:rFonts w:ascii="Century Schoolbook" w:hAnsi="Century Schoolbook"/>
          <w:sz w:val="18"/>
          <w:szCs w:val="18"/>
        </w:rPr>
        <w:footnoteRef/>
      </w:r>
      <w:r w:rsidRPr="0080423D">
        <w:rPr>
          <w:rFonts w:ascii="Century Schoolbook" w:hAnsi="Century Schoolbook"/>
          <w:sz w:val="18"/>
          <w:szCs w:val="18"/>
        </w:rPr>
        <w:t xml:space="preserve"> </w:t>
      </w:r>
      <w:r w:rsidRPr="0080423D">
        <w:rPr>
          <w:rFonts w:ascii="Century Schoolbook" w:hAnsi="Century Schoolbook" w:cs="Times New Roman"/>
          <w:sz w:val="18"/>
          <w:szCs w:val="18"/>
        </w:rPr>
        <w:t xml:space="preserve">We apply the method of </w:t>
      </w:r>
      <w:proofErr w:type="spellStart"/>
      <w:r w:rsidRPr="0080423D">
        <w:rPr>
          <w:rFonts w:ascii="Century Schoolbook" w:hAnsi="Century Schoolbook" w:cs="Times New Roman"/>
          <w:sz w:val="18"/>
          <w:szCs w:val="18"/>
        </w:rPr>
        <w:t>Loh</w:t>
      </w:r>
      <w:proofErr w:type="spellEnd"/>
      <w:r w:rsidRPr="0080423D">
        <w:rPr>
          <w:rFonts w:ascii="Century Schoolbook" w:hAnsi="Century Schoolbook" w:cs="Times New Roman"/>
          <w:sz w:val="18"/>
          <w:szCs w:val="18"/>
        </w:rPr>
        <w:t xml:space="preserve"> and </w:t>
      </w:r>
      <w:proofErr w:type="spellStart"/>
      <w:r w:rsidRPr="0080423D">
        <w:rPr>
          <w:rFonts w:ascii="Century Schoolbook" w:hAnsi="Century Schoolbook" w:cs="Times New Roman"/>
          <w:sz w:val="18"/>
          <w:szCs w:val="18"/>
        </w:rPr>
        <w:t>Stulz</w:t>
      </w:r>
      <w:proofErr w:type="spellEnd"/>
      <w:r w:rsidRPr="0080423D">
        <w:rPr>
          <w:rFonts w:ascii="Century Schoolbook" w:hAnsi="Century Schoolbook" w:cs="Times New Roman"/>
          <w:sz w:val="18"/>
          <w:szCs w:val="18"/>
        </w:rPr>
        <w:t xml:space="preserve"> (2011) to detect daily stock returns that are outliers, in a sense that they cannot be explained by the firm’s current volatility level</w:t>
      </w:r>
      <w:r>
        <w:rPr>
          <w:rFonts w:ascii="Century Schoolbook" w:hAnsi="Century Schoolbook"/>
          <w:sz w:val="18"/>
          <w:szCs w:val="18"/>
        </w:rPr>
        <w:t xml:space="preserve">. </w:t>
      </w:r>
      <w:r w:rsidRPr="0080423D">
        <w:rPr>
          <w:rFonts w:ascii="Century Schoolbook" w:hAnsi="Century Schoolbook"/>
          <w:sz w:val="18"/>
          <w:szCs w:val="18"/>
        </w:rPr>
        <w:t xml:space="preserve">For each day </w:t>
      </w:r>
      <w:r w:rsidRPr="0080423D">
        <w:rPr>
          <w:rFonts w:ascii="Century Schoolbook" w:hAnsi="Century Schoolbook"/>
          <w:i/>
          <w:sz w:val="18"/>
          <w:szCs w:val="18"/>
        </w:rPr>
        <w:t>t</w:t>
      </w:r>
      <w:r w:rsidRPr="0080423D">
        <w:rPr>
          <w:rFonts w:ascii="Century Schoolbook" w:hAnsi="Century Schoolbook"/>
          <w:sz w:val="18"/>
          <w:szCs w:val="18"/>
        </w:rPr>
        <w:t>, we flag the security as experiencing a positive</w:t>
      </w:r>
      <w:r>
        <w:rPr>
          <w:rFonts w:ascii="Century Schoolbook" w:hAnsi="Century Schoolbook"/>
          <w:sz w:val="18"/>
          <w:szCs w:val="18"/>
        </w:rPr>
        <w:t xml:space="preserve"> (or negative)</w:t>
      </w:r>
      <w:r w:rsidRPr="0080423D">
        <w:rPr>
          <w:rFonts w:ascii="Century Schoolbook" w:hAnsi="Century Schoolbook"/>
          <w:sz w:val="18"/>
          <w:szCs w:val="18"/>
        </w:rPr>
        <w:t xml:space="preserve"> jump if its 1-day buy-and-hold adjusted return exceeds 1.96 × </w:t>
      </w:r>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ε</m:t>
            </m:r>
          </m:sub>
        </m:sSub>
      </m:oMath>
      <w:r w:rsidRPr="0080423D">
        <w:rPr>
          <w:rFonts w:ascii="Century Schoolbook" w:hAnsi="Century Schoolbook"/>
          <w:sz w:val="18"/>
          <w:szCs w:val="18"/>
        </w:rPr>
        <w:t xml:space="preserve"> </w:t>
      </w:r>
      <w:r>
        <w:rPr>
          <w:rFonts w:ascii="Century Schoolbook" w:hAnsi="Century Schoolbook"/>
          <w:sz w:val="18"/>
          <w:szCs w:val="18"/>
        </w:rPr>
        <w:t>(or falls</w:t>
      </w:r>
      <w:r w:rsidRPr="0080423D">
        <w:rPr>
          <w:rFonts w:ascii="Century Schoolbook" w:hAnsi="Century Schoolbook"/>
          <w:sz w:val="18"/>
          <w:szCs w:val="18"/>
        </w:rPr>
        <w:t xml:space="preserve"> below −1.96 × </w:t>
      </w:r>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ε</m:t>
            </m:r>
          </m:sub>
        </m:sSub>
      </m:oMath>
      <w:r>
        <w:rPr>
          <w:rFonts w:ascii="Century Schoolbook" w:eastAsiaTheme="minorEastAsia" w:hAnsi="Century Schoolbook"/>
          <w:sz w:val="18"/>
          <w:szCs w:val="18"/>
        </w:rPr>
        <w:t>)</w:t>
      </w:r>
      <w:r w:rsidRPr="0080423D">
        <w:rPr>
          <w:rFonts w:ascii="Century Schoolbook" w:hAnsi="Century Schoolbook"/>
          <w:sz w:val="18"/>
          <w:szCs w:val="18"/>
        </w:rPr>
        <w:t xml:space="preserve">, where </w:t>
      </w:r>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ε</m:t>
            </m:r>
          </m:sub>
        </m:sSub>
      </m:oMath>
      <w:r w:rsidRPr="0080423D">
        <w:rPr>
          <w:rFonts w:ascii="Century Schoolbook" w:hAnsi="Century Schoolbook"/>
          <w:sz w:val="18"/>
          <w:szCs w:val="18"/>
        </w:rPr>
        <w:t xml:space="preserve"> is the idiosyncratic volatility</w:t>
      </w:r>
      <w:r>
        <w:rPr>
          <w:rFonts w:ascii="Century Schoolbook" w:hAnsi="Century Schoolbook"/>
          <w:sz w:val="18"/>
          <w:szCs w:val="18"/>
        </w:rPr>
        <w:t xml:space="preserve"> calculated using the Carhart 4-factor model </w:t>
      </w:r>
      <w:r w:rsidRPr="0080423D">
        <w:rPr>
          <w:rFonts w:ascii="Century Schoolbook" w:hAnsi="Century Schoolbook"/>
          <w:sz w:val="18"/>
          <w:szCs w:val="18"/>
        </w:rPr>
        <w:t xml:space="preserve">over the [−60, −5] days relative to day </w:t>
      </w:r>
      <w:r w:rsidRPr="0080423D">
        <w:rPr>
          <w:rFonts w:ascii="Century Schoolbook" w:hAnsi="Century Schoolbook"/>
          <w:i/>
          <w:sz w:val="18"/>
          <w:szCs w:val="18"/>
        </w:rPr>
        <w:t>t</w:t>
      </w:r>
      <w:r>
        <w:rPr>
          <w:rFonts w:ascii="Century Schoolbook" w:hAnsi="Century Schoolbook"/>
          <w:i/>
          <w:sz w:val="18"/>
          <w:szCs w:val="18"/>
        </w:rPr>
        <w:t xml:space="preserve">. </w:t>
      </w:r>
      <w:r w:rsidRPr="0080423D">
        <w:rPr>
          <w:rFonts w:ascii="Century Schoolbook" w:hAnsi="Century Schoolbook"/>
          <w:sz w:val="18"/>
          <w:szCs w:val="18"/>
        </w:rPr>
        <w:t xml:space="preserve">We use 1.96 as the cut-off value in detecting return outliers, which corresponds to the 5 percent detection rate for </w:t>
      </w:r>
      <w:r>
        <w:rPr>
          <w:rFonts w:ascii="Century Schoolbook" w:hAnsi="Century Schoolbook"/>
          <w:sz w:val="18"/>
          <w:szCs w:val="18"/>
        </w:rPr>
        <w:t>a standard normal distribution.</w:t>
      </w:r>
    </w:p>
  </w:footnote>
  <w:footnote w:id="14">
    <w:p w14:paraId="0216523B" w14:textId="3CE7A07F" w:rsidR="005A707F" w:rsidRDefault="005A707F" w:rsidP="00591723">
      <w:pPr>
        <w:pStyle w:val="FootnoteText"/>
        <w:rPr>
          <w:rFonts w:ascii="Century Schoolbook" w:hAnsi="Century Schoolbook"/>
          <w:sz w:val="18"/>
          <w:szCs w:val="18"/>
        </w:rPr>
      </w:pPr>
      <w:r w:rsidRPr="000D5CBC">
        <w:rPr>
          <w:rStyle w:val="FootnoteReference"/>
          <w:rFonts w:ascii="Century Schoolbook" w:hAnsi="Century Schoolbook"/>
          <w:sz w:val="18"/>
          <w:szCs w:val="18"/>
        </w:rPr>
        <w:footnoteRef/>
      </w:r>
      <w:r w:rsidRPr="000D5CBC">
        <w:rPr>
          <w:rFonts w:ascii="Century Schoolbook" w:hAnsi="Century Schoolbook"/>
          <w:sz w:val="18"/>
          <w:szCs w:val="18"/>
        </w:rPr>
        <w:t xml:space="preserve"> </w:t>
      </w:r>
      <w:r w:rsidRPr="00D33D99">
        <w:rPr>
          <w:rFonts w:ascii="Century Schoolbook" w:hAnsi="Century Schoolbook"/>
          <w:sz w:val="18"/>
          <w:szCs w:val="18"/>
        </w:rPr>
        <w:t>See Section 5.1 for a detailed description of the Capital IQ database</w:t>
      </w:r>
    </w:p>
    <w:p w14:paraId="1D04FA43" w14:textId="77777777" w:rsidR="005A707F" w:rsidRPr="00D33D99" w:rsidRDefault="005A707F" w:rsidP="00591723">
      <w:pPr>
        <w:pStyle w:val="FootnoteText"/>
        <w:rPr>
          <w:rFonts w:ascii="Century Schoolbook" w:hAnsi="Century Schoolbook"/>
          <w:sz w:val="18"/>
          <w:szCs w:val="18"/>
        </w:rPr>
      </w:pPr>
    </w:p>
  </w:footnote>
  <w:footnote w:id="15">
    <w:p w14:paraId="7350116A" w14:textId="77777777" w:rsidR="005A707F" w:rsidRDefault="005A707F" w:rsidP="00D23BE5">
      <w:pPr>
        <w:pStyle w:val="FootnoteText"/>
        <w:jc w:val="both"/>
        <w:rPr>
          <w:rFonts w:ascii="Century Schoolbook" w:eastAsiaTheme="minorEastAsia" w:hAnsi="Century Schoolbook" w:cs="Times New Roman"/>
          <w:color w:val="000000"/>
          <w:sz w:val="18"/>
          <w:szCs w:val="16"/>
          <w:shd w:val="clear" w:color="auto" w:fill="FFFFFF" w:themeFill="background1"/>
          <w:lang w:val="en-CA" w:eastAsia="en-CA"/>
        </w:rPr>
      </w:pPr>
      <w:r>
        <w:rPr>
          <w:rStyle w:val="FootnoteReference"/>
        </w:rPr>
        <w:footnoteRef/>
      </w:r>
      <w:r w:rsidRPr="00582994">
        <w:rPr>
          <w:rFonts w:ascii="Century Schoolbook" w:eastAsiaTheme="minorEastAsia" w:hAnsi="Century Schoolbook" w:cs="Times New Roman"/>
          <w:color w:val="000000"/>
          <w:sz w:val="18"/>
          <w:szCs w:val="16"/>
          <w:shd w:val="clear" w:color="auto" w:fill="FFFFFF" w:themeFill="background1"/>
          <w:lang w:val="en-CA" w:eastAsia="en-CA"/>
        </w:rPr>
        <w:t xml:space="preserve">  We opt for this approach rather than an ordered-logit </w:t>
      </w:r>
      <w:r>
        <w:rPr>
          <w:rFonts w:ascii="Century Schoolbook" w:eastAsiaTheme="minorEastAsia" w:hAnsi="Century Schoolbook" w:cs="Times New Roman"/>
          <w:color w:val="000000"/>
          <w:sz w:val="18"/>
          <w:szCs w:val="16"/>
          <w:shd w:val="clear" w:color="auto" w:fill="FFFFFF" w:themeFill="background1"/>
          <w:lang w:val="en-CA" w:eastAsia="en-CA"/>
        </w:rPr>
        <w:t>(</w:t>
      </w:r>
      <w:r w:rsidRPr="00582994">
        <w:rPr>
          <w:rFonts w:ascii="Century Schoolbook" w:eastAsiaTheme="minorEastAsia" w:hAnsi="Century Schoolbook" w:cs="Times New Roman"/>
          <w:color w:val="000000"/>
          <w:sz w:val="18"/>
          <w:szCs w:val="16"/>
          <w:shd w:val="clear" w:color="auto" w:fill="FFFFFF" w:themeFill="background1"/>
          <w:lang w:val="en-CA" w:eastAsia="en-CA"/>
        </w:rPr>
        <w:t>or an ordered-</w:t>
      </w:r>
      <w:proofErr w:type="spellStart"/>
      <w:r w:rsidRPr="00582994">
        <w:rPr>
          <w:rFonts w:ascii="Century Schoolbook" w:eastAsiaTheme="minorEastAsia" w:hAnsi="Century Schoolbook" w:cs="Times New Roman"/>
          <w:color w:val="000000"/>
          <w:sz w:val="18"/>
          <w:szCs w:val="16"/>
          <w:shd w:val="clear" w:color="auto" w:fill="FFFFFF" w:themeFill="background1"/>
          <w:lang w:val="en-CA" w:eastAsia="en-CA"/>
        </w:rPr>
        <w:t>probit</w:t>
      </w:r>
      <w:proofErr w:type="spellEnd"/>
      <w:r>
        <w:rPr>
          <w:rFonts w:ascii="Century Schoolbook" w:eastAsiaTheme="minorEastAsia" w:hAnsi="Century Schoolbook" w:cs="Times New Roman"/>
          <w:color w:val="000000"/>
          <w:sz w:val="18"/>
          <w:szCs w:val="16"/>
          <w:shd w:val="clear" w:color="auto" w:fill="FFFFFF" w:themeFill="background1"/>
          <w:lang w:val="en-CA" w:eastAsia="en-CA"/>
        </w:rPr>
        <w:t>) model because the</w:t>
      </w:r>
      <w:r w:rsidRPr="00582994">
        <w:rPr>
          <w:rFonts w:ascii="Century Schoolbook" w:eastAsiaTheme="minorEastAsia" w:hAnsi="Century Schoolbook" w:cs="Times New Roman"/>
          <w:color w:val="000000"/>
          <w:sz w:val="18"/>
          <w:szCs w:val="16"/>
          <w:shd w:val="clear" w:color="auto" w:fill="FFFFFF" w:themeFill="background1"/>
          <w:lang w:val="en-CA" w:eastAsia="en-CA"/>
        </w:rPr>
        <w:t xml:space="preserve"> </w:t>
      </w:r>
      <w:r>
        <w:rPr>
          <w:rFonts w:ascii="Century Schoolbook" w:eastAsiaTheme="minorEastAsia" w:hAnsi="Century Schoolbook" w:cs="Times New Roman"/>
          <w:color w:val="000000"/>
          <w:sz w:val="18"/>
          <w:szCs w:val="16"/>
          <w:shd w:val="clear" w:color="auto" w:fill="FFFFFF" w:themeFill="background1"/>
          <w:lang w:val="en-CA" w:eastAsia="en-CA"/>
        </w:rPr>
        <w:t>log-</w:t>
      </w:r>
      <w:r w:rsidRPr="00582994">
        <w:rPr>
          <w:rFonts w:ascii="Century Schoolbook" w:eastAsiaTheme="minorEastAsia" w:hAnsi="Century Schoolbook" w:cs="Times New Roman"/>
          <w:color w:val="000000"/>
          <w:sz w:val="18"/>
          <w:szCs w:val="16"/>
          <w:shd w:val="clear" w:color="auto" w:fill="FFFFFF" w:themeFill="background1"/>
          <w:lang w:val="en-CA" w:eastAsia="en-CA"/>
        </w:rPr>
        <w:t>likelihood-ratio test rejects the</w:t>
      </w:r>
      <w:r>
        <w:rPr>
          <w:rFonts w:ascii="Century Schoolbook" w:eastAsiaTheme="minorEastAsia" w:hAnsi="Century Schoolbook" w:cs="Times New Roman"/>
          <w:color w:val="000000"/>
          <w:sz w:val="18"/>
          <w:szCs w:val="16"/>
          <w:shd w:val="clear" w:color="auto" w:fill="FFFFFF" w:themeFill="background1"/>
          <w:lang w:val="en-CA" w:eastAsia="en-CA"/>
        </w:rPr>
        <w:t xml:space="preserve"> parallel regression assumption (see Long and </w:t>
      </w:r>
      <w:proofErr w:type="spellStart"/>
      <w:r>
        <w:rPr>
          <w:rFonts w:ascii="Century Schoolbook" w:eastAsiaTheme="minorEastAsia" w:hAnsi="Century Schoolbook" w:cs="Times New Roman"/>
          <w:color w:val="000000"/>
          <w:sz w:val="18"/>
          <w:szCs w:val="16"/>
          <w:shd w:val="clear" w:color="auto" w:fill="FFFFFF" w:themeFill="background1"/>
          <w:lang w:val="en-CA" w:eastAsia="en-CA"/>
        </w:rPr>
        <w:t>Freese</w:t>
      </w:r>
      <w:proofErr w:type="spellEnd"/>
      <w:r>
        <w:rPr>
          <w:rFonts w:ascii="Century Schoolbook" w:eastAsiaTheme="minorEastAsia" w:hAnsi="Century Schoolbook" w:cs="Times New Roman"/>
          <w:color w:val="000000"/>
          <w:sz w:val="18"/>
          <w:szCs w:val="16"/>
          <w:shd w:val="clear" w:color="auto" w:fill="FFFFFF" w:themeFill="background1"/>
          <w:lang w:val="en-CA" w:eastAsia="en-CA"/>
        </w:rPr>
        <w:t>, 2014)</w:t>
      </w:r>
      <w:r w:rsidRPr="00582994">
        <w:rPr>
          <w:rFonts w:ascii="Century Schoolbook" w:eastAsiaTheme="minorEastAsia" w:hAnsi="Century Schoolbook" w:cs="Times New Roman"/>
          <w:color w:val="000000"/>
          <w:sz w:val="18"/>
          <w:szCs w:val="16"/>
          <w:shd w:val="clear" w:color="auto" w:fill="FFFFFF" w:themeFill="background1"/>
          <w:lang w:val="en-CA" w:eastAsia="en-CA"/>
        </w:rPr>
        <w:t xml:space="preserve">. </w:t>
      </w:r>
    </w:p>
    <w:p w14:paraId="61B9152E" w14:textId="77777777" w:rsidR="005A707F" w:rsidRPr="00603859" w:rsidRDefault="005A707F" w:rsidP="00D23BE5">
      <w:pPr>
        <w:pStyle w:val="FootnoteText"/>
      </w:pPr>
    </w:p>
  </w:footnote>
  <w:footnote w:id="16">
    <w:p w14:paraId="73EB1E2E" w14:textId="54B2EC22" w:rsidR="005A707F" w:rsidRPr="006D7293" w:rsidRDefault="005A707F" w:rsidP="00582994">
      <w:pPr>
        <w:pStyle w:val="FootnoteText"/>
        <w:jc w:val="both"/>
        <w:rPr>
          <w:rFonts w:ascii="Century Schoolbook" w:eastAsia="Times New Roman" w:hAnsi="Century Schoolbook" w:cs="Times New Roman"/>
          <w:color w:val="000000"/>
          <w:sz w:val="18"/>
          <w:szCs w:val="16"/>
          <w:shd w:val="clear" w:color="auto" w:fill="FFFFFF" w:themeFill="background1"/>
          <w:lang w:val="en-CA" w:eastAsia="en-CA"/>
        </w:rPr>
      </w:pPr>
      <w:r w:rsidRPr="00A00DFF">
        <w:rPr>
          <w:rStyle w:val="FootnoteReference"/>
          <w:rFonts w:ascii="Century Schoolbook" w:hAnsi="Century Schoolbook"/>
          <w:sz w:val="16"/>
          <w:szCs w:val="16"/>
        </w:rPr>
        <w:footnoteRef/>
      </w:r>
      <w:r w:rsidRPr="00A00DFF">
        <w:rPr>
          <w:rFonts w:ascii="Century Schoolbook" w:hAnsi="Century Schoolbook"/>
          <w:sz w:val="16"/>
          <w:szCs w:val="16"/>
        </w:rPr>
        <w:t xml:space="preserve"> We measure the timeliness of recommendation </w:t>
      </w:r>
      <w:r w:rsidRPr="00A00DFF">
        <w:rPr>
          <w:rFonts w:ascii="Century Schoolbook" w:eastAsia="Times New Roman" w:hAnsi="Century Schoolbook" w:cs="Times New Roman"/>
          <w:color w:val="000000"/>
          <w:sz w:val="16"/>
          <w:szCs w:val="16"/>
          <w:shd w:val="clear" w:color="auto" w:fill="FFFFFF" w:themeFill="background1"/>
          <w:lang w:val="en-CA" w:eastAsia="en-CA"/>
        </w:rPr>
        <w:t xml:space="preserve">change in the spirit of Cooper, Day, and Lewis (2001) who developed the </w:t>
      </w:r>
      <w:r w:rsidRPr="00A00DFF">
        <w:rPr>
          <w:rFonts w:ascii="Century Schoolbook" w:eastAsia="Times New Roman" w:hAnsi="Century Schoolbook" w:cs="Times New Roman"/>
          <w:i/>
          <w:color w:val="000000"/>
          <w:sz w:val="16"/>
          <w:szCs w:val="16"/>
          <w:shd w:val="clear" w:color="auto" w:fill="FFFFFF" w:themeFill="background1"/>
          <w:lang w:val="en-CA" w:eastAsia="en-CA"/>
        </w:rPr>
        <w:t>LFR</w:t>
      </w:r>
      <w:r w:rsidRPr="00A00DFF">
        <w:rPr>
          <w:rFonts w:ascii="Century Schoolbook" w:eastAsia="Times New Roman" w:hAnsi="Century Schoolbook" w:cs="Times New Roman"/>
          <w:color w:val="000000"/>
          <w:sz w:val="16"/>
          <w:szCs w:val="16"/>
          <w:shd w:val="clear" w:color="auto" w:fill="FFFFFF" w:themeFill="background1"/>
          <w:lang w:val="en-CA" w:eastAsia="en-CA"/>
        </w:rPr>
        <w:t xml:space="preserve"> to quantify the timeliness of an analyst’s forecasts. We apply their method to analysts’ recommendation revisions. </w:t>
      </w:r>
      <w:r w:rsidRPr="00A00DFF">
        <w:rPr>
          <w:rFonts w:ascii="Century Schoolbook" w:eastAsiaTheme="minorEastAsia" w:hAnsi="Century Schoolbook" w:cs="Times New Roman"/>
          <w:color w:val="000000"/>
          <w:sz w:val="16"/>
          <w:szCs w:val="16"/>
          <w:shd w:val="clear" w:color="auto" w:fill="FFFFFF" w:themeFill="background1"/>
          <w:lang w:val="en-CA" w:eastAsia="en-CA"/>
        </w:rPr>
        <w:t xml:space="preserve">A larger value of </w:t>
      </w:r>
      <m:oMath>
        <m:r>
          <w:rPr>
            <w:rFonts w:ascii="Cambria Math" w:eastAsia="Times New Roman" w:hAnsi="Cambria Math" w:cs="Times New Roman"/>
            <w:color w:val="000000"/>
            <w:sz w:val="16"/>
            <w:szCs w:val="16"/>
            <w:shd w:val="clear" w:color="auto" w:fill="FFFFFF" w:themeFill="background1"/>
            <w:lang w:val="en-CA" w:eastAsia="en-CA"/>
          </w:rPr>
          <m:t>LFR</m:t>
        </m:r>
      </m:oMath>
      <w:r w:rsidRPr="00A00DFF">
        <w:rPr>
          <w:rFonts w:ascii="Century Schoolbook" w:eastAsiaTheme="minorEastAsia" w:hAnsi="Century Schoolbook" w:cs="Times New Roman"/>
          <w:color w:val="000000"/>
          <w:sz w:val="16"/>
          <w:szCs w:val="16"/>
          <w:shd w:val="clear" w:color="auto" w:fill="FFFFFF" w:themeFill="background1"/>
          <w:lang w:val="en-CA" w:eastAsia="en-CA"/>
        </w:rPr>
        <w:t xml:space="preserve"> value indicates the analyst, on average, issues more timely recommendation changes. </w:t>
      </w:r>
      <w:r w:rsidRPr="00A00DFF">
        <w:rPr>
          <w:rFonts w:ascii="Century Schoolbook" w:eastAsia="Times New Roman" w:hAnsi="Century Schoolbook" w:cs="Times New Roman"/>
          <w:color w:val="000000"/>
          <w:sz w:val="16"/>
          <w:szCs w:val="16"/>
          <w:shd w:val="clear" w:color="auto" w:fill="FFFFFF" w:themeFill="background1"/>
          <w:lang w:val="en-CA" w:eastAsia="en-CA"/>
        </w:rPr>
        <w:t>See Appendix A in the Online Appendix for details</w:t>
      </w:r>
      <w:r w:rsidRPr="006D7293">
        <w:rPr>
          <w:rFonts w:ascii="Century Schoolbook" w:eastAsia="Times New Roman" w:hAnsi="Century Schoolbook" w:cs="Times New Roman"/>
          <w:color w:val="000000"/>
          <w:sz w:val="18"/>
          <w:szCs w:val="16"/>
          <w:shd w:val="clear" w:color="auto" w:fill="FFFFFF" w:themeFill="background1"/>
          <w:lang w:val="en-CA" w:eastAsia="en-CA"/>
        </w:rPr>
        <w:t xml:space="preserve">. </w:t>
      </w:r>
    </w:p>
    <w:p w14:paraId="05B1E856" w14:textId="77777777" w:rsidR="005A707F" w:rsidRPr="006D7293" w:rsidRDefault="005A707F" w:rsidP="00582994">
      <w:pPr>
        <w:pStyle w:val="FootnoteText"/>
        <w:jc w:val="both"/>
        <w:rPr>
          <w:rFonts w:ascii="Century Schoolbook" w:hAnsi="Century Schoolbook"/>
          <w:sz w:val="16"/>
          <w:szCs w:val="16"/>
          <w:lang w:val="en-CA"/>
        </w:rPr>
      </w:pPr>
    </w:p>
  </w:footnote>
  <w:footnote w:id="17">
    <w:p w14:paraId="65DD6CFD" w14:textId="09D19AA3" w:rsidR="005A707F" w:rsidRPr="0008348B" w:rsidRDefault="005A707F" w:rsidP="0008348B">
      <w:pPr>
        <w:spacing w:line="240" w:lineRule="auto"/>
        <w:jc w:val="both"/>
        <w:rPr>
          <w:rFonts w:ascii="Century Schoolbook" w:hAnsi="Century Schoolbook" w:cs="Times New Roman"/>
          <w:sz w:val="16"/>
          <w:szCs w:val="16"/>
          <w:lang w:val="en-CA"/>
        </w:rPr>
      </w:pPr>
      <w:r w:rsidRPr="00A00DFF">
        <w:rPr>
          <w:rStyle w:val="FootnoteReference"/>
          <w:rFonts w:ascii="Century Schoolbook" w:hAnsi="Century Schoolbook"/>
          <w:sz w:val="16"/>
          <w:szCs w:val="16"/>
        </w:rPr>
        <w:footnoteRef/>
      </w:r>
      <w:r w:rsidRPr="00A00DFF">
        <w:rPr>
          <w:rFonts w:ascii="Century Schoolbook" w:hAnsi="Century Schoolbook"/>
          <w:sz w:val="16"/>
          <w:szCs w:val="16"/>
        </w:rPr>
        <w:t xml:space="preserve"> </w:t>
      </w:r>
      <w:r w:rsidRPr="00A00DFF">
        <w:rPr>
          <w:rFonts w:ascii="Century Schoolbook" w:hAnsi="Century Schoolbook" w:cs="Times New Roman"/>
          <w:sz w:val="16"/>
          <w:szCs w:val="16"/>
          <w:lang w:val="en-CA"/>
        </w:rPr>
        <w:t>We obtain similar conclusions if we measure the immediate price impact using the event windows [0, +1] or [0, 0] relative to t</w:t>
      </w:r>
      <w:r>
        <w:rPr>
          <w:rFonts w:ascii="Century Schoolbook" w:hAnsi="Century Schoolbook" w:cs="Times New Roman"/>
          <w:sz w:val="16"/>
          <w:szCs w:val="16"/>
          <w:lang w:val="en-CA"/>
        </w:rPr>
        <w:t xml:space="preserve">he recommendation change date. </w:t>
      </w:r>
    </w:p>
  </w:footnote>
  <w:footnote w:id="18">
    <w:p w14:paraId="7965C7ED" w14:textId="1E4964E1" w:rsidR="005A707F" w:rsidRPr="00A00DFF" w:rsidRDefault="005A707F" w:rsidP="00D645E3">
      <w:pPr>
        <w:pStyle w:val="FootnoteText"/>
        <w:jc w:val="both"/>
        <w:rPr>
          <w:rFonts w:ascii="Century Schoolbook" w:hAnsi="Century Schoolbook"/>
          <w:sz w:val="16"/>
          <w:szCs w:val="16"/>
          <w:lang w:val="en-CA"/>
        </w:rPr>
      </w:pPr>
      <w:r w:rsidRPr="00A00DFF">
        <w:rPr>
          <w:rStyle w:val="FootnoteReference"/>
          <w:rFonts w:ascii="Century Schoolbook" w:hAnsi="Century Schoolbook"/>
          <w:sz w:val="16"/>
          <w:szCs w:val="16"/>
        </w:rPr>
        <w:footnoteRef/>
      </w:r>
      <w:r w:rsidRPr="00A00DFF">
        <w:rPr>
          <w:rFonts w:ascii="Century Schoolbook" w:hAnsi="Century Schoolbook"/>
          <w:sz w:val="16"/>
          <w:szCs w:val="16"/>
        </w:rPr>
        <w:t xml:space="preserve"> Appendix </w:t>
      </w:r>
      <w:r w:rsidRPr="00A00DFF">
        <w:rPr>
          <w:rFonts w:ascii="Century Schoolbook" w:hAnsi="Century Schoolbook" w:cs="Times New Roman"/>
          <w:sz w:val="16"/>
          <w:szCs w:val="16"/>
          <w:lang w:val="en-CA"/>
        </w:rPr>
        <w:t>Table A1 further verifies our results in a univariate setting by directly comparing stock price reactions to recommendations of different analysts’ speed-style groups against their experience, as well as against their All-star status.</w:t>
      </w:r>
    </w:p>
  </w:footnote>
  <w:footnote w:id="19">
    <w:p w14:paraId="664E9247" w14:textId="25D36C77" w:rsidR="005A707F" w:rsidRPr="00A00DFF" w:rsidRDefault="005A707F">
      <w:pPr>
        <w:pStyle w:val="FootnoteText"/>
        <w:rPr>
          <w:rFonts w:ascii="Century Schoolbook" w:hAnsi="Century Schoolbook"/>
          <w:sz w:val="16"/>
          <w:szCs w:val="16"/>
        </w:rPr>
      </w:pPr>
      <w:r w:rsidRPr="00A00DFF">
        <w:rPr>
          <w:rStyle w:val="FootnoteReference"/>
          <w:rFonts w:ascii="Century Schoolbook" w:hAnsi="Century Schoolbook"/>
          <w:sz w:val="16"/>
          <w:szCs w:val="16"/>
        </w:rPr>
        <w:footnoteRef/>
      </w:r>
      <w:r w:rsidRPr="00A00DFF">
        <w:rPr>
          <w:rFonts w:ascii="Century Schoolbook" w:hAnsi="Century Schoolbook"/>
          <w:sz w:val="16"/>
          <w:szCs w:val="16"/>
        </w:rPr>
        <w:t xml:space="preserve"> </w:t>
      </w:r>
      <w:r w:rsidRPr="00A00DFF">
        <w:rPr>
          <w:rFonts w:ascii="Century Schoolbook" w:hAnsi="Century Schoolbook" w:cs="Times New Roman"/>
          <w:sz w:val="16"/>
          <w:szCs w:val="16"/>
          <w:lang w:val="en-CA"/>
        </w:rPr>
        <w:t>For instance, Barber et al. (2006) finds annualized alpha from a four-factor model in the [4.03; 10.08] range for the long side and [-11.09; -5.54] for the short side.</w:t>
      </w:r>
    </w:p>
  </w:footnote>
  <w:footnote w:id="20">
    <w:p w14:paraId="5B1A4AD1" w14:textId="0C4B3650" w:rsidR="005A707F" w:rsidRPr="00D8063F" w:rsidRDefault="005A707F" w:rsidP="001F0C50">
      <w:pPr>
        <w:pStyle w:val="FootnoteText"/>
        <w:jc w:val="both"/>
        <w:rPr>
          <w:rFonts w:ascii="Century Schoolbook" w:hAnsi="Century Schoolbook" w:cs="Times New Roman"/>
          <w:sz w:val="16"/>
          <w:szCs w:val="18"/>
        </w:rPr>
      </w:pPr>
      <w:r w:rsidRPr="00A00DFF">
        <w:rPr>
          <w:rStyle w:val="FootnoteReference"/>
          <w:rFonts w:ascii="Century Schoolbook" w:hAnsi="Century Schoolbook"/>
          <w:sz w:val="16"/>
          <w:szCs w:val="16"/>
        </w:rPr>
        <w:footnoteRef/>
      </w:r>
      <w:r w:rsidRPr="00A00DFF">
        <w:rPr>
          <w:rFonts w:ascii="Century Schoolbook" w:hAnsi="Century Schoolbook"/>
          <w:sz w:val="16"/>
          <w:szCs w:val="16"/>
        </w:rPr>
        <w:t xml:space="preserve"> </w:t>
      </w:r>
      <w:r w:rsidRPr="00D8063F">
        <w:rPr>
          <w:rFonts w:ascii="Century Schoolbook" w:hAnsi="Century Schoolbook" w:cs="Times New Roman"/>
          <w:sz w:val="16"/>
          <w:szCs w:val="18"/>
        </w:rPr>
        <w:t xml:space="preserve">Recent studies that take advantage of this feature in Capital IQ’s key development database include Edmans et al. (2016), </w:t>
      </w:r>
      <w:proofErr w:type="spellStart"/>
      <w:r w:rsidRPr="00D8063F">
        <w:rPr>
          <w:rFonts w:ascii="Century Schoolbook" w:hAnsi="Century Schoolbook" w:cs="Times New Roman"/>
          <w:sz w:val="16"/>
          <w:szCs w:val="18"/>
        </w:rPr>
        <w:t>Livnat</w:t>
      </w:r>
      <w:proofErr w:type="spellEnd"/>
      <w:r w:rsidRPr="00D8063F">
        <w:rPr>
          <w:rFonts w:ascii="Century Schoolbook" w:hAnsi="Century Schoolbook" w:cs="Times New Roman"/>
          <w:sz w:val="16"/>
          <w:szCs w:val="18"/>
        </w:rPr>
        <w:t xml:space="preserve"> and Zhang (2012), Nichols (2009), and Cohn, </w:t>
      </w:r>
      <w:proofErr w:type="spellStart"/>
      <w:r w:rsidRPr="00D8063F">
        <w:rPr>
          <w:rFonts w:ascii="Century Schoolbook" w:hAnsi="Century Schoolbook" w:cs="Times New Roman"/>
          <w:sz w:val="16"/>
          <w:szCs w:val="18"/>
        </w:rPr>
        <w:t>Gurun</w:t>
      </w:r>
      <w:proofErr w:type="spellEnd"/>
      <w:r w:rsidRPr="00D8063F">
        <w:rPr>
          <w:rFonts w:ascii="Century Schoolbook" w:hAnsi="Century Schoolbook" w:cs="Times New Roman"/>
          <w:sz w:val="16"/>
          <w:szCs w:val="18"/>
        </w:rPr>
        <w:t xml:space="preserve"> and </w:t>
      </w:r>
      <w:proofErr w:type="spellStart"/>
      <w:r w:rsidRPr="00D8063F">
        <w:rPr>
          <w:rFonts w:ascii="Century Schoolbook" w:hAnsi="Century Schoolbook" w:cs="Times New Roman"/>
          <w:sz w:val="16"/>
          <w:szCs w:val="18"/>
        </w:rPr>
        <w:t>Moussawi</w:t>
      </w:r>
      <w:proofErr w:type="spellEnd"/>
      <w:r w:rsidRPr="00D8063F">
        <w:rPr>
          <w:rFonts w:ascii="Century Schoolbook" w:hAnsi="Century Schoolbook" w:cs="Times New Roman"/>
          <w:sz w:val="16"/>
          <w:szCs w:val="18"/>
        </w:rPr>
        <w:t xml:space="preserve"> (2014).</w:t>
      </w:r>
    </w:p>
    <w:p w14:paraId="26F74F8D" w14:textId="77777777" w:rsidR="005A707F" w:rsidRPr="00D8063F" w:rsidRDefault="005A707F" w:rsidP="001F0C50">
      <w:pPr>
        <w:pStyle w:val="FootnoteText"/>
        <w:rPr>
          <w:rFonts w:ascii="Century Schoolbook" w:hAnsi="Century Schoolbook"/>
          <w:sz w:val="16"/>
          <w:szCs w:val="18"/>
        </w:rPr>
      </w:pPr>
    </w:p>
  </w:footnote>
  <w:footnote w:id="21">
    <w:p w14:paraId="50A0106E" w14:textId="0D332F47" w:rsidR="005A707F" w:rsidRPr="00D8063F" w:rsidRDefault="005A707F" w:rsidP="001F0C50">
      <w:pPr>
        <w:pStyle w:val="FootnoteText"/>
        <w:jc w:val="both"/>
        <w:rPr>
          <w:rFonts w:ascii="Century Schoolbook" w:hAnsi="Century Schoolbook" w:cs="Times New Roman"/>
          <w:sz w:val="16"/>
          <w:szCs w:val="18"/>
        </w:rPr>
      </w:pPr>
      <w:r w:rsidRPr="00D8063F">
        <w:rPr>
          <w:rStyle w:val="FootnoteReference"/>
          <w:rFonts w:ascii="Century Schoolbook" w:hAnsi="Century Schoolbook" w:cs="Times New Roman"/>
          <w:sz w:val="16"/>
          <w:szCs w:val="18"/>
        </w:rPr>
        <w:footnoteRef/>
      </w:r>
      <w:r w:rsidRPr="00D8063F">
        <w:rPr>
          <w:rFonts w:ascii="Century Schoolbook" w:hAnsi="Century Schoolbook" w:cs="Times New Roman"/>
          <w:sz w:val="16"/>
          <w:szCs w:val="18"/>
        </w:rPr>
        <w:t xml:space="preserve"> CIQ items are naturally grouped into broader category based on their topic code. For instance, code 31 is “Business Expansion”, and code 32 is “Business reorganization”; they are naturally grouped together.</w:t>
      </w:r>
    </w:p>
    <w:p w14:paraId="414FCD52" w14:textId="77777777" w:rsidR="005A707F" w:rsidRPr="00A00DFF" w:rsidRDefault="005A707F" w:rsidP="00E55AF9">
      <w:pPr>
        <w:pStyle w:val="FootnoteText"/>
        <w:jc w:val="both"/>
        <w:rPr>
          <w:rFonts w:ascii="Times New Roman" w:hAnsi="Times New Roman" w:cs="Times New Roman"/>
          <w:i/>
          <w:sz w:val="16"/>
          <w:szCs w:val="16"/>
        </w:rPr>
      </w:pPr>
    </w:p>
  </w:footnote>
  <w:footnote w:id="22">
    <w:p w14:paraId="101FADEA" w14:textId="3D3D444C" w:rsidR="005A707F" w:rsidRDefault="005A707F" w:rsidP="00913AA2">
      <w:pPr>
        <w:pStyle w:val="FootnoteText"/>
        <w:rPr>
          <w:rFonts w:ascii="Century Schoolbook" w:hAnsi="Century Schoolbook" w:cs="Times New Roman"/>
          <w:sz w:val="16"/>
          <w:szCs w:val="18"/>
        </w:rPr>
      </w:pPr>
      <w:r w:rsidRPr="00D8063F">
        <w:rPr>
          <w:rStyle w:val="FootnoteReference"/>
          <w:rFonts w:ascii="Century Schoolbook" w:hAnsi="Century Schoolbook"/>
          <w:sz w:val="16"/>
          <w:szCs w:val="18"/>
        </w:rPr>
        <w:footnoteRef/>
      </w:r>
      <w:r w:rsidRPr="00D8063F">
        <w:rPr>
          <w:rFonts w:ascii="Century Schoolbook" w:hAnsi="Century Schoolbook"/>
          <w:sz w:val="16"/>
          <w:szCs w:val="18"/>
        </w:rPr>
        <w:t xml:space="preserve"> </w:t>
      </w:r>
      <w:r>
        <w:rPr>
          <w:rFonts w:ascii="Century Schoolbook" w:hAnsi="Century Schoolbook" w:cs="Times New Roman"/>
          <w:sz w:val="16"/>
          <w:szCs w:val="18"/>
        </w:rPr>
        <w:t>Section F</w:t>
      </w:r>
      <w:r w:rsidRPr="00D8063F">
        <w:rPr>
          <w:rFonts w:ascii="Century Schoolbook" w:hAnsi="Century Schoolbook" w:cs="Times New Roman"/>
          <w:sz w:val="16"/>
          <w:szCs w:val="18"/>
        </w:rPr>
        <w:t xml:space="preserve"> of the Online Appendix provides details about the database construction.</w:t>
      </w:r>
    </w:p>
    <w:p w14:paraId="2A5F91A6" w14:textId="77777777" w:rsidR="005A707F" w:rsidRPr="00D8063F" w:rsidRDefault="005A707F" w:rsidP="00913AA2">
      <w:pPr>
        <w:pStyle w:val="FootnoteText"/>
        <w:rPr>
          <w:rFonts w:ascii="Century Schoolbook" w:hAnsi="Century Schoolbook"/>
          <w:sz w:val="16"/>
          <w:szCs w:val="18"/>
        </w:rPr>
      </w:pPr>
    </w:p>
  </w:footnote>
  <w:footnote w:id="23">
    <w:p w14:paraId="2FF39B42" w14:textId="086C132C" w:rsidR="005A707F" w:rsidRPr="00A00DFF" w:rsidRDefault="005A707F" w:rsidP="00A00DFF">
      <w:pPr>
        <w:pStyle w:val="FootnoteText"/>
        <w:rPr>
          <w:rFonts w:ascii="Century Schoolbook" w:hAnsi="Century Schoolbook"/>
          <w:sz w:val="16"/>
          <w:szCs w:val="16"/>
        </w:rPr>
      </w:pPr>
      <w:r w:rsidRPr="00A00DFF">
        <w:rPr>
          <w:rStyle w:val="FootnoteReference"/>
          <w:rFonts w:ascii="Century Schoolbook" w:hAnsi="Century Schoolbook"/>
          <w:sz w:val="16"/>
          <w:szCs w:val="16"/>
        </w:rPr>
        <w:footnoteRef/>
      </w:r>
      <w:r w:rsidRPr="00A00DFF">
        <w:rPr>
          <w:rFonts w:ascii="Century Schoolbook" w:hAnsi="Century Schoolbook"/>
          <w:sz w:val="16"/>
          <w:szCs w:val="16"/>
        </w:rPr>
        <w:t xml:space="preserve"> Our conclusions are </w:t>
      </w:r>
      <w:r>
        <w:rPr>
          <w:rFonts w:ascii="Century Schoolbook" w:hAnsi="Century Schoolbook"/>
          <w:sz w:val="16"/>
          <w:szCs w:val="16"/>
        </w:rPr>
        <w:t>qualitatively unaffected</w:t>
      </w:r>
      <w:r w:rsidRPr="00A00DFF">
        <w:rPr>
          <w:rFonts w:ascii="Century Schoolbook" w:hAnsi="Century Schoolbook"/>
          <w:sz w:val="16"/>
          <w:szCs w:val="16"/>
        </w:rPr>
        <w:t xml:space="preserve"> when using a shorter one-week window and a longer four-week window.</w:t>
      </w:r>
    </w:p>
    <w:p w14:paraId="2F980267" w14:textId="77777777" w:rsidR="005A707F" w:rsidRPr="00A00DFF" w:rsidRDefault="005A707F" w:rsidP="00A00DFF">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AE1"/>
    <w:multiLevelType w:val="hybridMultilevel"/>
    <w:tmpl w:val="F19203A4"/>
    <w:lvl w:ilvl="0" w:tplc="6FA45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E07C3"/>
    <w:multiLevelType w:val="multilevel"/>
    <w:tmpl w:val="ED94FC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16002E"/>
    <w:multiLevelType w:val="multilevel"/>
    <w:tmpl w:val="17289D56"/>
    <w:lvl w:ilvl="0">
      <w:start w:val="4"/>
      <w:numFmt w:val="decimal"/>
      <w:lvlText w:val="%1"/>
      <w:lvlJc w:val="left"/>
      <w:pPr>
        <w:ind w:left="360" w:hanging="360"/>
      </w:pPr>
      <w:rPr>
        <w:rFonts w:hint="default"/>
        <w:b w:val="0"/>
        <w:i/>
      </w:rPr>
    </w:lvl>
    <w:lvl w:ilvl="1">
      <w:start w:val="1"/>
      <w:numFmt w:val="decimal"/>
      <w:lvlText w:val="%1.%2"/>
      <w:lvlJc w:val="left"/>
      <w:pPr>
        <w:ind w:left="786" w:hanging="360"/>
      </w:pPr>
      <w:rPr>
        <w:rFonts w:hint="default"/>
        <w:b w:val="0"/>
        <w:i/>
      </w:rPr>
    </w:lvl>
    <w:lvl w:ilvl="2">
      <w:start w:val="1"/>
      <w:numFmt w:val="decimal"/>
      <w:lvlText w:val="%1.%2.%3"/>
      <w:lvlJc w:val="left"/>
      <w:pPr>
        <w:ind w:left="1572" w:hanging="720"/>
      </w:pPr>
      <w:rPr>
        <w:rFonts w:hint="default"/>
        <w:b w:val="0"/>
        <w:i/>
      </w:rPr>
    </w:lvl>
    <w:lvl w:ilvl="3">
      <w:start w:val="1"/>
      <w:numFmt w:val="decimal"/>
      <w:lvlText w:val="%1.%2.%3.%4"/>
      <w:lvlJc w:val="left"/>
      <w:pPr>
        <w:ind w:left="1998" w:hanging="720"/>
      </w:pPr>
      <w:rPr>
        <w:rFonts w:hint="default"/>
        <w:b w:val="0"/>
        <w:i/>
      </w:rPr>
    </w:lvl>
    <w:lvl w:ilvl="4">
      <w:start w:val="1"/>
      <w:numFmt w:val="decimal"/>
      <w:lvlText w:val="%1.%2.%3.%4.%5"/>
      <w:lvlJc w:val="left"/>
      <w:pPr>
        <w:ind w:left="2784" w:hanging="1080"/>
      </w:pPr>
      <w:rPr>
        <w:rFonts w:hint="default"/>
        <w:b w:val="0"/>
        <w:i/>
      </w:rPr>
    </w:lvl>
    <w:lvl w:ilvl="5">
      <w:start w:val="1"/>
      <w:numFmt w:val="decimal"/>
      <w:lvlText w:val="%1.%2.%3.%4.%5.%6"/>
      <w:lvlJc w:val="left"/>
      <w:pPr>
        <w:ind w:left="3210" w:hanging="1080"/>
      </w:pPr>
      <w:rPr>
        <w:rFonts w:hint="default"/>
        <w:b w:val="0"/>
        <w:i/>
      </w:rPr>
    </w:lvl>
    <w:lvl w:ilvl="6">
      <w:start w:val="1"/>
      <w:numFmt w:val="decimal"/>
      <w:lvlText w:val="%1.%2.%3.%4.%5.%6.%7"/>
      <w:lvlJc w:val="left"/>
      <w:pPr>
        <w:ind w:left="3996" w:hanging="1440"/>
      </w:pPr>
      <w:rPr>
        <w:rFonts w:hint="default"/>
        <w:b w:val="0"/>
        <w:i/>
      </w:rPr>
    </w:lvl>
    <w:lvl w:ilvl="7">
      <w:start w:val="1"/>
      <w:numFmt w:val="decimal"/>
      <w:lvlText w:val="%1.%2.%3.%4.%5.%6.%7.%8"/>
      <w:lvlJc w:val="left"/>
      <w:pPr>
        <w:ind w:left="4422" w:hanging="1440"/>
      </w:pPr>
      <w:rPr>
        <w:rFonts w:hint="default"/>
        <w:b w:val="0"/>
        <w:i/>
      </w:rPr>
    </w:lvl>
    <w:lvl w:ilvl="8">
      <w:start w:val="1"/>
      <w:numFmt w:val="decimal"/>
      <w:lvlText w:val="%1.%2.%3.%4.%5.%6.%7.%8.%9"/>
      <w:lvlJc w:val="left"/>
      <w:pPr>
        <w:ind w:left="4848" w:hanging="1440"/>
      </w:pPr>
      <w:rPr>
        <w:rFonts w:hint="default"/>
        <w:b w:val="0"/>
        <w:i/>
      </w:rPr>
    </w:lvl>
  </w:abstractNum>
  <w:abstractNum w:abstractNumId="3" w15:restartNumberingAfterBreak="0">
    <w:nsid w:val="0DFA5EB2"/>
    <w:multiLevelType w:val="hybridMultilevel"/>
    <w:tmpl w:val="5E9C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45E4"/>
    <w:multiLevelType w:val="multilevel"/>
    <w:tmpl w:val="03DEC7CA"/>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 w15:restartNumberingAfterBreak="0">
    <w:nsid w:val="11F64449"/>
    <w:multiLevelType w:val="hybridMultilevel"/>
    <w:tmpl w:val="4DD07ED2"/>
    <w:lvl w:ilvl="0" w:tplc="F0D47C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CE4931"/>
    <w:multiLevelType w:val="hybridMultilevel"/>
    <w:tmpl w:val="11E83C9E"/>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81949"/>
    <w:multiLevelType w:val="hybridMultilevel"/>
    <w:tmpl w:val="B6348472"/>
    <w:lvl w:ilvl="0" w:tplc="7DBE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768DD"/>
    <w:multiLevelType w:val="multilevel"/>
    <w:tmpl w:val="82C67A5C"/>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9" w15:restartNumberingAfterBreak="0">
    <w:nsid w:val="26680FCD"/>
    <w:multiLevelType w:val="multilevel"/>
    <w:tmpl w:val="BA829C6C"/>
    <w:lvl w:ilvl="0">
      <w:start w:val="3"/>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0" w15:restartNumberingAfterBreak="0">
    <w:nsid w:val="26BA6EB3"/>
    <w:multiLevelType w:val="hybridMultilevel"/>
    <w:tmpl w:val="2D44E236"/>
    <w:lvl w:ilvl="0" w:tplc="F52A175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8C509D"/>
    <w:multiLevelType w:val="multilevel"/>
    <w:tmpl w:val="DD8CE3EA"/>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2" w15:restartNumberingAfterBreak="0">
    <w:nsid w:val="2AA00335"/>
    <w:multiLevelType w:val="multilevel"/>
    <w:tmpl w:val="1CEAC01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927B00"/>
    <w:multiLevelType w:val="hybridMultilevel"/>
    <w:tmpl w:val="34A89970"/>
    <w:lvl w:ilvl="0" w:tplc="DEE477B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3D6507D"/>
    <w:multiLevelType w:val="multilevel"/>
    <w:tmpl w:val="36E2CA90"/>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5" w15:restartNumberingAfterBreak="0">
    <w:nsid w:val="349C713E"/>
    <w:multiLevelType w:val="hybridMultilevel"/>
    <w:tmpl w:val="0044AE92"/>
    <w:lvl w:ilvl="0" w:tplc="FA1EF3F0">
      <w:start w:val="1"/>
      <w:numFmt w:val="upperLetter"/>
      <w:lvlText w:val="(%1)"/>
      <w:lvlJc w:val="left"/>
      <w:pPr>
        <w:ind w:left="720" w:hanging="360"/>
      </w:pPr>
      <w:rPr>
        <w:rFonts w:eastAsiaTheme="minorHAns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D36F6"/>
    <w:multiLevelType w:val="hybridMultilevel"/>
    <w:tmpl w:val="83EA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B72C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7E6971"/>
    <w:multiLevelType w:val="multilevel"/>
    <w:tmpl w:val="C1D24C26"/>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9" w15:restartNumberingAfterBreak="0">
    <w:nsid w:val="434577A9"/>
    <w:multiLevelType w:val="multilevel"/>
    <w:tmpl w:val="BA829C6C"/>
    <w:lvl w:ilvl="0">
      <w:start w:val="3"/>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0" w15:restartNumberingAfterBreak="0">
    <w:nsid w:val="46DC3ABE"/>
    <w:multiLevelType w:val="hybridMultilevel"/>
    <w:tmpl w:val="B2D0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B1601"/>
    <w:multiLevelType w:val="multilevel"/>
    <w:tmpl w:val="BA829C6C"/>
    <w:lvl w:ilvl="0">
      <w:start w:val="3"/>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2" w15:restartNumberingAfterBreak="0">
    <w:nsid w:val="4BE71A3B"/>
    <w:multiLevelType w:val="hybridMultilevel"/>
    <w:tmpl w:val="AB44F396"/>
    <w:lvl w:ilvl="0" w:tplc="BAE8054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1A45E5"/>
    <w:multiLevelType w:val="hybridMultilevel"/>
    <w:tmpl w:val="633E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35E3D"/>
    <w:multiLevelType w:val="hybridMultilevel"/>
    <w:tmpl w:val="B47C921A"/>
    <w:lvl w:ilvl="0" w:tplc="CFDA74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D3E9E"/>
    <w:multiLevelType w:val="hybridMultilevel"/>
    <w:tmpl w:val="EF4CD7D2"/>
    <w:lvl w:ilvl="0" w:tplc="6F80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B4CDA"/>
    <w:multiLevelType w:val="hybridMultilevel"/>
    <w:tmpl w:val="1F9E4864"/>
    <w:lvl w:ilvl="0" w:tplc="C8CE3E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17CF4"/>
    <w:multiLevelType w:val="hybridMultilevel"/>
    <w:tmpl w:val="D9E023AE"/>
    <w:lvl w:ilvl="0" w:tplc="53787D9A">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F0E60"/>
    <w:multiLevelType w:val="hybridMultilevel"/>
    <w:tmpl w:val="8DC2BAC0"/>
    <w:lvl w:ilvl="0" w:tplc="D60C2C3E">
      <w:start w:val="1"/>
      <w:numFmt w:val="upperLetter"/>
      <w:lvlText w:val="%1."/>
      <w:lvlJc w:val="left"/>
      <w:pPr>
        <w:ind w:left="720" w:hanging="360"/>
      </w:pPr>
      <w:rPr>
        <w:rFonts w:ascii="Century Schoolbook" w:eastAsiaTheme="minorEastAsia" w:hAnsi="Century School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46498"/>
    <w:multiLevelType w:val="multilevel"/>
    <w:tmpl w:val="1CEAC01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402B95"/>
    <w:multiLevelType w:val="hybridMultilevel"/>
    <w:tmpl w:val="448AD688"/>
    <w:lvl w:ilvl="0" w:tplc="F8F211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6D30781"/>
    <w:multiLevelType w:val="multilevel"/>
    <w:tmpl w:val="22849580"/>
    <w:lvl w:ilvl="0">
      <w:start w:val="3"/>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2" w15:restartNumberingAfterBreak="0">
    <w:nsid w:val="68247528"/>
    <w:multiLevelType w:val="hybridMultilevel"/>
    <w:tmpl w:val="8B5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40B62"/>
    <w:multiLevelType w:val="hybridMultilevel"/>
    <w:tmpl w:val="06B48E84"/>
    <w:lvl w:ilvl="0" w:tplc="DC88E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C7039"/>
    <w:multiLevelType w:val="hybridMultilevel"/>
    <w:tmpl w:val="76424810"/>
    <w:lvl w:ilvl="0" w:tplc="739C889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481241"/>
    <w:multiLevelType w:val="multilevel"/>
    <w:tmpl w:val="17289D56"/>
    <w:lvl w:ilvl="0">
      <w:start w:val="4"/>
      <w:numFmt w:val="decimal"/>
      <w:lvlText w:val="%1"/>
      <w:lvlJc w:val="left"/>
      <w:pPr>
        <w:ind w:left="360" w:hanging="360"/>
      </w:pPr>
      <w:rPr>
        <w:rFonts w:hint="default"/>
        <w:b w:val="0"/>
        <w:i/>
      </w:rPr>
    </w:lvl>
    <w:lvl w:ilvl="1">
      <w:start w:val="1"/>
      <w:numFmt w:val="decimal"/>
      <w:lvlText w:val="%1.%2"/>
      <w:lvlJc w:val="left"/>
      <w:pPr>
        <w:ind w:left="786" w:hanging="360"/>
      </w:pPr>
      <w:rPr>
        <w:rFonts w:hint="default"/>
        <w:b w:val="0"/>
        <w:i/>
      </w:rPr>
    </w:lvl>
    <w:lvl w:ilvl="2">
      <w:start w:val="1"/>
      <w:numFmt w:val="decimal"/>
      <w:lvlText w:val="%1.%2.%3"/>
      <w:lvlJc w:val="left"/>
      <w:pPr>
        <w:ind w:left="1572" w:hanging="720"/>
      </w:pPr>
      <w:rPr>
        <w:rFonts w:hint="default"/>
        <w:b w:val="0"/>
        <w:i/>
      </w:rPr>
    </w:lvl>
    <w:lvl w:ilvl="3">
      <w:start w:val="1"/>
      <w:numFmt w:val="decimal"/>
      <w:lvlText w:val="%1.%2.%3.%4"/>
      <w:lvlJc w:val="left"/>
      <w:pPr>
        <w:ind w:left="1998" w:hanging="720"/>
      </w:pPr>
      <w:rPr>
        <w:rFonts w:hint="default"/>
        <w:b w:val="0"/>
        <w:i/>
      </w:rPr>
    </w:lvl>
    <w:lvl w:ilvl="4">
      <w:start w:val="1"/>
      <w:numFmt w:val="decimal"/>
      <w:lvlText w:val="%1.%2.%3.%4.%5"/>
      <w:lvlJc w:val="left"/>
      <w:pPr>
        <w:ind w:left="2784" w:hanging="1080"/>
      </w:pPr>
      <w:rPr>
        <w:rFonts w:hint="default"/>
        <w:b w:val="0"/>
        <w:i/>
      </w:rPr>
    </w:lvl>
    <w:lvl w:ilvl="5">
      <w:start w:val="1"/>
      <w:numFmt w:val="decimal"/>
      <w:lvlText w:val="%1.%2.%3.%4.%5.%6"/>
      <w:lvlJc w:val="left"/>
      <w:pPr>
        <w:ind w:left="3210" w:hanging="1080"/>
      </w:pPr>
      <w:rPr>
        <w:rFonts w:hint="default"/>
        <w:b w:val="0"/>
        <w:i/>
      </w:rPr>
    </w:lvl>
    <w:lvl w:ilvl="6">
      <w:start w:val="1"/>
      <w:numFmt w:val="decimal"/>
      <w:lvlText w:val="%1.%2.%3.%4.%5.%6.%7"/>
      <w:lvlJc w:val="left"/>
      <w:pPr>
        <w:ind w:left="3996" w:hanging="1440"/>
      </w:pPr>
      <w:rPr>
        <w:rFonts w:hint="default"/>
        <w:b w:val="0"/>
        <w:i/>
      </w:rPr>
    </w:lvl>
    <w:lvl w:ilvl="7">
      <w:start w:val="1"/>
      <w:numFmt w:val="decimal"/>
      <w:lvlText w:val="%1.%2.%3.%4.%5.%6.%7.%8"/>
      <w:lvlJc w:val="left"/>
      <w:pPr>
        <w:ind w:left="4422" w:hanging="1440"/>
      </w:pPr>
      <w:rPr>
        <w:rFonts w:hint="default"/>
        <w:b w:val="0"/>
        <w:i/>
      </w:rPr>
    </w:lvl>
    <w:lvl w:ilvl="8">
      <w:start w:val="1"/>
      <w:numFmt w:val="decimal"/>
      <w:lvlText w:val="%1.%2.%3.%4.%5.%6.%7.%8.%9"/>
      <w:lvlJc w:val="left"/>
      <w:pPr>
        <w:ind w:left="4848" w:hanging="1440"/>
      </w:pPr>
      <w:rPr>
        <w:rFonts w:hint="default"/>
        <w:b w:val="0"/>
        <w:i/>
      </w:rPr>
    </w:lvl>
  </w:abstractNum>
  <w:abstractNum w:abstractNumId="36" w15:restartNumberingAfterBreak="0">
    <w:nsid w:val="6C072388"/>
    <w:multiLevelType w:val="multilevel"/>
    <w:tmpl w:val="BA829C6C"/>
    <w:lvl w:ilvl="0">
      <w:start w:val="3"/>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7" w15:restartNumberingAfterBreak="0">
    <w:nsid w:val="6F956D36"/>
    <w:multiLevelType w:val="hybridMultilevel"/>
    <w:tmpl w:val="0C2439CE"/>
    <w:lvl w:ilvl="0" w:tplc="5820431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652E74"/>
    <w:multiLevelType w:val="hybridMultilevel"/>
    <w:tmpl w:val="8F2A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462B1"/>
    <w:multiLevelType w:val="hybridMultilevel"/>
    <w:tmpl w:val="35A8E9DC"/>
    <w:lvl w:ilvl="0" w:tplc="B36CD19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5F5CFA"/>
    <w:multiLevelType w:val="hybridMultilevel"/>
    <w:tmpl w:val="383E2016"/>
    <w:lvl w:ilvl="0" w:tplc="31C4A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140E1"/>
    <w:multiLevelType w:val="hybridMultilevel"/>
    <w:tmpl w:val="910C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35B59"/>
    <w:multiLevelType w:val="hybridMultilevel"/>
    <w:tmpl w:val="DBE8DB08"/>
    <w:lvl w:ilvl="0" w:tplc="563E0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D2832"/>
    <w:multiLevelType w:val="multilevel"/>
    <w:tmpl w:val="742062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0176E6"/>
    <w:multiLevelType w:val="hybridMultilevel"/>
    <w:tmpl w:val="62909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B746A"/>
    <w:multiLevelType w:val="multilevel"/>
    <w:tmpl w:val="5D087FF4"/>
    <w:lvl w:ilvl="0">
      <w:start w:val="1"/>
      <w:numFmt w:val="decimal"/>
      <w:lvlText w:val="%1."/>
      <w:lvlJc w:val="left"/>
      <w:pPr>
        <w:ind w:left="720" w:hanging="360"/>
      </w:pPr>
      <w:rPr>
        <w:rFonts w:hint="default"/>
        <w:b/>
        <w:i w:val="0"/>
      </w:rPr>
    </w:lvl>
    <w:lvl w:ilvl="1">
      <w:start w:val="3"/>
      <w:numFmt w:val="decimal"/>
      <w:isLgl/>
      <w:lvlText w:val="%1.%2"/>
      <w:lvlJc w:val="left"/>
      <w:pPr>
        <w:ind w:left="780" w:hanging="42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46" w15:restartNumberingAfterBreak="0">
    <w:nsid w:val="7E460849"/>
    <w:multiLevelType w:val="hybridMultilevel"/>
    <w:tmpl w:val="6E485C14"/>
    <w:lvl w:ilvl="0" w:tplc="00CC0648">
      <w:start w:val="1"/>
      <w:numFmt w:val="upperLetter"/>
      <w:lvlText w:val="%1."/>
      <w:lvlJc w:val="left"/>
      <w:pPr>
        <w:ind w:left="720" w:hanging="360"/>
      </w:pPr>
      <w:rPr>
        <w:rFonts w:eastAsiaTheme="minorHAns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435E7"/>
    <w:multiLevelType w:val="hybridMultilevel"/>
    <w:tmpl w:val="D17C42BC"/>
    <w:lvl w:ilvl="0" w:tplc="81A891E0">
      <w:start w:val="1"/>
      <w:numFmt w:val="bullet"/>
      <w:lvlText w:val="-"/>
      <w:lvlJc w:val="left"/>
      <w:pPr>
        <w:ind w:left="360" w:hanging="360"/>
      </w:pPr>
      <w:rPr>
        <w:rFonts w:ascii="Times New Roman" w:eastAsia="SimSu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17"/>
  </w:num>
  <w:num w:numId="4">
    <w:abstractNumId w:val="9"/>
  </w:num>
  <w:num w:numId="5">
    <w:abstractNumId w:val="21"/>
  </w:num>
  <w:num w:numId="6">
    <w:abstractNumId w:val="19"/>
  </w:num>
  <w:num w:numId="7">
    <w:abstractNumId w:val="35"/>
  </w:num>
  <w:num w:numId="8">
    <w:abstractNumId w:val="2"/>
  </w:num>
  <w:num w:numId="9">
    <w:abstractNumId w:val="26"/>
  </w:num>
  <w:num w:numId="10">
    <w:abstractNumId w:val="33"/>
  </w:num>
  <w:num w:numId="11">
    <w:abstractNumId w:val="36"/>
  </w:num>
  <w:num w:numId="12">
    <w:abstractNumId w:val="39"/>
  </w:num>
  <w:num w:numId="13">
    <w:abstractNumId w:val="11"/>
  </w:num>
  <w:num w:numId="14">
    <w:abstractNumId w:val="18"/>
  </w:num>
  <w:num w:numId="15">
    <w:abstractNumId w:val="31"/>
  </w:num>
  <w:num w:numId="16">
    <w:abstractNumId w:val="14"/>
  </w:num>
  <w:num w:numId="17">
    <w:abstractNumId w:val="8"/>
  </w:num>
  <w:num w:numId="18">
    <w:abstractNumId w:val="1"/>
  </w:num>
  <w:num w:numId="19">
    <w:abstractNumId w:val="16"/>
  </w:num>
  <w:num w:numId="20">
    <w:abstractNumId w:val="4"/>
  </w:num>
  <w:num w:numId="21">
    <w:abstractNumId w:val="29"/>
  </w:num>
  <w:num w:numId="22">
    <w:abstractNumId w:val="43"/>
  </w:num>
  <w:num w:numId="23">
    <w:abstractNumId w:val="42"/>
  </w:num>
  <w:num w:numId="24">
    <w:abstractNumId w:val="44"/>
  </w:num>
  <w:num w:numId="25">
    <w:abstractNumId w:val="12"/>
  </w:num>
  <w:num w:numId="26">
    <w:abstractNumId w:val="45"/>
  </w:num>
  <w:num w:numId="27">
    <w:abstractNumId w:val="6"/>
  </w:num>
  <w:num w:numId="28">
    <w:abstractNumId w:val="40"/>
  </w:num>
  <w:num w:numId="29">
    <w:abstractNumId w:val="7"/>
  </w:num>
  <w:num w:numId="30">
    <w:abstractNumId w:val="25"/>
  </w:num>
  <w:num w:numId="31">
    <w:abstractNumId w:val="27"/>
  </w:num>
  <w:num w:numId="32">
    <w:abstractNumId w:val="47"/>
  </w:num>
  <w:num w:numId="33">
    <w:abstractNumId w:val="41"/>
  </w:num>
  <w:num w:numId="34">
    <w:abstractNumId w:val="20"/>
  </w:num>
  <w:num w:numId="35">
    <w:abstractNumId w:val="3"/>
  </w:num>
  <w:num w:numId="36">
    <w:abstractNumId w:val="38"/>
  </w:num>
  <w:num w:numId="37">
    <w:abstractNumId w:val="32"/>
  </w:num>
  <w:num w:numId="38">
    <w:abstractNumId w:val="24"/>
  </w:num>
  <w:num w:numId="39">
    <w:abstractNumId w:val="23"/>
  </w:num>
  <w:num w:numId="40">
    <w:abstractNumId w:val="13"/>
  </w:num>
  <w:num w:numId="41">
    <w:abstractNumId w:val="30"/>
  </w:num>
  <w:num w:numId="42">
    <w:abstractNumId w:val="28"/>
  </w:num>
  <w:num w:numId="43">
    <w:abstractNumId w:val="37"/>
  </w:num>
  <w:num w:numId="44">
    <w:abstractNumId w:val="22"/>
  </w:num>
  <w:num w:numId="45">
    <w:abstractNumId w:val="5"/>
  </w:num>
  <w:num w:numId="46">
    <w:abstractNumId w:val="10"/>
  </w:num>
  <w:num w:numId="47">
    <w:abstractNumId w:val="1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FR"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3C"/>
    <w:rsid w:val="0000081C"/>
    <w:rsid w:val="000009B3"/>
    <w:rsid w:val="00000B14"/>
    <w:rsid w:val="0000113B"/>
    <w:rsid w:val="000017B6"/>
    <w:rsid w:val="000019D1"/>
    <w:rsid w:val="00001F57"/>
    <w:rsid w:val="000022B2"/>
    <w:rsid w:val="0000251E"/>
    <w:rsid w:val="000028D8"/>
    <w:rsid w:val="00002EC6"/>
    <w:rsid w:val="00003239"/>
    <w:rsid w:val="000032F2"/>
    <w:rsid w:val="000036F1"/>
    <w:rsid w:val="000040CB"/>
    <w:rsid w:val="000045D0"/>
    <w:rsid w:val="0000488F"/>
    <w:rsid w:val="00004B5C"/>
    <w:rsid w:val="00005241"/>
    <w:rsid w:val="000054D6"/>
    <w:rsid w:val="000057F1"/>
    <w:rsid w:val="0000599D"/>
    <w:rsid w:val="00005AFE"/>
    <w:rsid w:val="000073C6"/>
    <w:rsid w:val="000074D4"/>
    <w:rsid w:val="000077EE"/>
    <w:rsid w:val="00007D41"/>
    <w:rsid w:val="00010A17"/>
    <w:rsid w:val="00010BAF"/>
    <w:rsid w:val="00010EBC"/>
    <w:rsid w:val="00011298"/>
    <w:rsid w:val="0001142D"/>
    <w:rsid w:val="00011900"/>
    <w:rsid w:val="00012248"/>
    <w:rsid w:val="0001226A"/>
    <w:rsid w:val="0001257F"/>
    <w:rsid w:val="00012CF6"/>
    <w:rsid w:val="000131BD"/>
    <w:rsid w:val="00013431"/>
    <w:rsid w:val="000134D5"/>
    <w:rsid w:val="000141CB"/>
    <w:rsid w:val="00014220"/>
    <w:rsid w:val="000142D9"/>
    <w:rsid w:val="0001472F"/>
    <w:rsid w:val="0001476D"/>
    <w:rsid w:val="00014CC2"/>
    <w:rsid w:val="00014F04"/>
    <w:rsid w:val="000152BF"/>
    <w:rsid w:val="00015548"/>
    <w:rsid w:val="00016CD5"/>
    <w:rsid w:val="000204B4"/>
    <w:rsid w:val="00020DD7"/>
    <w:rsid w:val="00021195"/>
    <w:rsid w:val="0002133B"/>
    <w:rsid w:val="00021676"/>
    <w:rsid w:val="00021F49"/>
    <w:rsid w:val="00022F82"/>
    <w:rsid w:val="00022FB7"/>
    <w:rsid w:val="00023383"/>
    <w:rsid w:val="00023602"/>
    <w:rsid w:val="00024CBA"/>
    <w:rsid w:val="0002540E"/>
    <w:rsid w:val="00025EF3"/>
    <w:rsid w:val="00026367"/>
    <w:rsid w:val="00027BCB"/>
    <w:rsid w:val="00027CB2"/>
    <w:rsid w:val="000302F4"/>
    <w:rsid w:val="00030AB0"/>
    <w:rsid w:val="00030EAE"/>
    <w:rsid w:val="00030F0C"/>
    <w:rsid w:val="0003191B"/>
    <w:rsid w:val="00031CE1"/>
    <w:rsid w:val="00031F64"/>
    <w:rsid w:val="000325FC"/>
    <w:rsid w:val="00032AB0"/>
    <w:rsid w:val="00033ABA"/>
    <w:rsid w:val="00033C3C"/>
    <w:rsid w:val="0003424E"/>
    <w:rsid w:val="000347D6"/>
    <w:rsid w:val="00034AA6"/>
    <w:rsid w:val="00034CF2"/>
    <w:rsid w:val="00035086"/>
    <w:rsid w:val="0003531D"/>
    <w:rsid w:val="00035DD5"/>
    <w:rsid w:val="00035DE2"/>
    <w:rsid w:val="0003664A"/>
    <w:rsid w:val="00040946"/>
    <w:rsid w:val="00040B3F"/>
    <w:rsid w:val="00041552"/>
    <w:rsid w:val="000416AC"/>
    <w:rsid w:val="00041B2D"/>
    <w:rsid w:val="0004227A"/>
    <w:rsid w:val="00043760"/>
    <w:rsid w:val="00043B0F"/>
    <w:rsid w:val="00043E83"/>
    <w:rsid w:val="000441C1"/>
    <w:rsid w:val="000443AF"/>
    <w:rsid w:val="000445B2"/>
    <w:rsid w:val="00044734"/>
    <w:rsid w:val="00044D6C"/>
    <w:rsid w:val="0004557F"/>
    <w:rsid w:val="00045FF4"/>
    <w:rsid w:val="00046341"/>
    <w:rsid w:val="00047A85"/>
    <w:rsid w:val="00047B5B"/>
    <w:rsid w:val="00047FAC"/>
    <w:rsid w:val="00053179"/>
    <w:rsid w:val="00053E7D"/>
    <w:rsid w:val="000541C2"/>
    <w:rsid w:val="00054DD5"/>
    <w:rsid w:val="00055352"/>
    <w:rsid w:val="000555AC"/>
    <w:rsid w:val="00055904"/>
    <w:rsid w:val="00056286"/>
    <w:rsid w:val="00056536"/>
    <w:rsid w:val="00056A86"/>
    <w:rsid w:val="0005724C"/>
    <w:rsid w:val="00061389"/>
    <w:rsid w:val="000617BC"/>
    <w:rsid w:val="0006212B"/>
    <w:rsid w:val="00062502"/>
    <w:rsid w:val="000625D4"/>
    <w:rsid w:val="0006288B"/>
    <w:rsid w:val="00062B9E"/>
    <w:rsid w:val="00062EFF"/>
    <w:rsid w:val="0006371A"/>
    <w:rsid w:val="00064819"/>
    <w:rsid w:val="00065875"/>
    <w:rsid w:val="00065A8C"/>
    <w:rsid w:val="00065FE9"/>
    <w:rsid w:val="000679C1"/>
    <w:rsid w:val="00067F95"/>
    <w:rsid w:val="000712A5"/>
    <w:rsid w:val="00071E25"/>
    <w:rsid w:val="000723C8"/>
    <w:rsid w:val="0007264E"/>
    <w:rsid w:val="00072A29"/>
    <w:rsid w:val="00072FEA"/>
    <w:rsid w:val="00073228"/>
    <w:rsid w:val="00074FCE"/>
    <w:rsid w:val="0007579F"/>
    <w:rsid w:val="00077621"/>
    <w:rsid w:val="0007768C"/>
    <w:rsid w:val="00077745"/>
    <w:rsid w:val="0007779E"/>
    <w:rsid w:val="00077AD6"/>
    <w:rsid w:val="00077C66"/>
    <w:rsid w:val="000808A8"/>
    <w:rsid w:val="000809EA"/>
    <w:rsid w:val="00081CE3"/>
    <w:rsid w:val="0008270D"/>
    <w:rsid w:val="00082AA0"/>
    <w:rsid w:val="00082E64"/>
    <w:rsid w:val="0008348B"/>
    <w:rsid w:val="00084BA2"/>
    <w:rsid w:val="00084BC6"/>
    <w:rsid w:val="000853DA"/>
    <w:rsid w:val="0008556F"/>
    <w:rsid w:val="00085AB6"/>
    <w:rsid w:val="000866FE"/>
    <w:rsid w:val="000868E8"/>
    <w:rsid w:val="00086C88"/>
    <w:rsid w:val="00087781"/>
    <w:rsid w:val="00087BF2"/>
    <w:rsid w:val="000902C0"/>
    <w:rsid w:val="00090596"/>
    <w:rsid w:val="00091784"/>
    <w:rsid w:val="000918AD"/>
    <w:rsid w:val="000918B7"/>
    <w:rsid w:val="000918D8"/>
    <w:rsid w:val="0009219F"/>
    <w:rsid w:val="0009293F"/>
    <w:rsid w:val="00093CDA"/>
    <w:rsid w:val="00093CE0"/>
    <w:rsid w:val="00093E0A"/>
    <w:rsid w:val="0009410D"/>
    <w:rsid w:val="00094E13"/>
    <w:rsid w:val="00095051"/>
    <w:rsid w:val="00095233"/>
    <w:rsid w:val="000955D0"/>
    <w:rsid w:val="000956D8"/>
    <w:rsid w:val="00095C8A"/>
    <w:rsid w:val="00095CCA"/>
    <w:rsid w:val="00095D13"/>
    <w:rsid w:val="0009677C"/>
    <w:rsid w:val="00096A34"/>
    <w:rsid w:val="00096ABD"/>
    <w:rsid w:val="00096CC0"/>
    <w:rsid w:val="000977F4"/>
    <w:rsid w:val="0009780D"/>
    <w:rsid w:val="000979B4"/>
    <w:rsid w:val="000A0338"/>
    <w:rsid w:val="000A07B8"/>
    <w:rsid w:val="000A0932"/>
    <w:rsid w:val="000A1005"/>
    <w:rsid w:val="000A1AF5"/>
    <w:rsid w:val="000A1D30"/>
    <w:rsid w:val="000A1EB7"/>
    <w:rsid w:val="000A2AC5"/>
    <w:rsid w:val="000A2CC3"/>
    <w:rsid w:val="000A2F00"/>
    <w:rsid w:val="000A3151"/>
    <w:rsid w:val="000A3C36"/>
    <w:rsid w:val="000A403A"/>
    <w:rsid w:val="000A4212"/>
    <w:rsid w:val="000A449C"/>
    <w:rsid w:val="000A45FD"/>
    <w:rsid w:val="000A6223"/>
    <w:rsid w:val="000A65C9"/>
    <w:rsid w:val="000A66AD"/>
    <w:rsid w:val="000A6AE1"/>
    <w:rsid w:val="000A6ED9"/>
    <w:rsid w:val="000A722F"/>
    <w:rsid w:val="000A767D"/>
    <w:rsid w:val="000A7CD5"/>
    <w:rsid w:val="000A7ECF"/>
    <w:rsid w:val="000B0633"/>
    <w:rsid w:val="000B161B"/>
    <w:rsid w:val="000B1E0E"/>
    <w:rsid w:val="000B1FAE"/>
    <w:rsid w:val="000B23E1"/>
    <w:rsid w:val="000B2610"/>
    <w:rsid w:val="000B291A"/>
    <w:rsid w:val="000B2DF8"/>
    <w:rsid w:val="000B2F1F"/>
    <w:rsid w:val="000B2FCE"/>
    <w:rsid w:val="000B32F9"/>
    <w:rsid w:val="000B34C6"/>
    <w:rsid w:val="000B3597"/>
    <w:rsid w:val="000B35E4"/>
    <w:rsid w:val="000B389F"/>
    <w:rsid w:val="000B3BD9"/>
    <w:rsid w:val="000B4766"/>
    <w:rsid w:val="000B49EE"/>
    <w:rsid w:val="000B516C"/>
    <w:rsid w:val="000B55EA"/>
    <w:rsid w:val="000B5973"/>
    <w:rsid w:val="000B671D"/>
    <w:rsid w:val="000B774F"/>
    <w:rsid w:val="000B7D19"/>
    <w:rsid w:val="000B7E2E"/>
    <w:rsid w:val="000C01C7"/>
    <w:rsid w:val="000C02CA"/>
    <w:rsid w:val="000C03AB"/>
    <w:rsid w:val="000C08CF"/>
    <w:rsid w:val="000C118F"/>
    <w:rsid w:val="000C12FE"/>
    <w:rsid w:val="000C150A"/>
    <w:rsid w:val="000C1A87"/>
    <w:rsid w:val="000C2010"/>
    <w:rsid w:val="000C2212"/>
    <w:rsid w:val="000C2631"/>
    <w:rsid w:val="000C3361"/>
    <w:rsid w:val="000C36FA"/>
    <w:rsid w:val="000C3B2D"/>
    <w:rsid w:val="000C3D44"/>
    <w:rsid w:val="000C441C"/>
    <w:rsid w:val="000C5589"/>
    <w:rsid w:val="000C6178"/>
    <w:rsid w:val="000C6B04"/>
    <w:rsid w:val="000C73BD"/>
    <w:rsid w:val="000C7AF7"/>
    <w:rsid w:val="000D0012"/>
    <w:rsid w:val="000D03BD"/>
    <w:rsid w:val="000D0A1C"/>
    <w:rsid w:val="000D10CA"/>
    <w:rsid w:val="000D1C1A"/>
    <w:rsid w:val="000D279C"/>
    <w:rsid w:val="000D2F6E"/>
    <w:rsid w:val="000D3029"/>
    <w:rsid w:val="000D3120"/>
    <w:rsid w:val="000D3190"/>
    <w:rsid w:val="000D3A66"/>
    <w:rsid w:val="000D3E68"/>
    <w:rsid w:val="000D42DC"/>
    <w:rsid w:val="000D44B9"/>
    <w:rsid w:val="000D4909"/>
    <w:rsid w:val="000D4D0F"/>
    <w:rsid w:val="000D59C0"/>
    <w:rsid w:val="000D5A2C"/>
    <w:rsid w:val="000D5CBC"/>
    <w:rsid w:val="000D5F02"/>
    <w:rsid w:val="000D5F98"/>
    <w:rsid w:val="000D6AE1"/>
    <w:rsid w:val="000D7B98"/>
    <w:rsid w:val="000E0FE6"/>
    <w:rsid w:val="000E109E"/>
    <w:rsid w:val="000E11D3"/>
    <w:rsid w:val="000E19A8"/>
    <w:rsid w:val="000E2111"/>
    <w:rsid w:val="000E21BD"/>
    <w:rsid w:val="000E3010"/>
    <w:rsid w:val="000E3529"/>
    <w:rsid w:val="000E4421"/>
    <w:rsid w:val="000E51CF"/>
    <w:rsid w:val="000E77AA"/>
    <w:rsid w:val="000F0144"/>
    <w:rsid w:val="000F0381"/>
    <w:rsid w:val="000F084F"/>
    <w:rsid w:val="000F0FE5"/>
    <w:rsid w:val="000F156B"/>
    <w:rsid w:val="000F191D"/>
    <w:rsid w:val="000F1D3E"/>
    <w:rsid w:val="000F294B"/>
    <w:rsid w:val="000F3A40"/>
    <w:rsid w:val="000F44C1"/>
    <w:rsid w:val="000F478C"/>
    <w:rsid w:val="000F47E2"/>
    <w:rsid w:val="000F4C54"/>
    <w:rsid w:val="000F4D18"/>
    <w:rsid w:val="000F5285"/>
    <w:rsid w:val="000F581E"/>
    <w:rsid w:val="000F612E"/>
    <w:rsid w:val="000F6A4E"/>
    <w:rsid w:val="000F7021"/>
    <w:rsid w:val="000F74A8"/>
    <w:rsid w:val="000F763E"/>
    <w:rsid w:val="000F76C4"/>
    <w:rsid w:val="000F7C71"/>
    <w:rsid w:val="000F7DF8"/>
    <w:rsid w:val="00100A76"/>
    <w:rsid w:val="00100D3A"/>
    <w:rsid w:val="001011E6"/>
    <w:rsid w:val="001014A3"/>
    <w:rsid w:val="00101A4B"/>
    <w:rsid w:val="001053D9"/>
    <w:rsid w:val="00105477"/>
    <w:rsid w:val="001054E1"/>
    <w:rsid w:val="00105D11"/>
    <w:rsid w:val="00105DD5"/>
    <w:rsid w:val="001064C1"/>
    <w:rsid w:val="00106967"/>
    <w:rsid w:val="00106C67"/>
    <w:rsid w:val="001070E2"/>
    <w:rsid w:val="00107102"/>
    <w:rsid w:val="00110911"/>
    <w:rsid w:val="00110941"/>
    <w:rsid w:val="00110E69"/>
    <w:rsid w:val="00110E9B"/>
    <w:rsid w:val="00112ACD"/>
    <w:rsid w:val="001136FF"/>
    <w:rsid w:val="00114BD1"/>
    <w:rsid w:val="00115233"/>
    <w:rsid w:val="001154EF"/>
    <w:rsid w:val="001156A7"/>
    <w:rsid w:val="001156F1"/>
    <w:rsid w:val="0011591E"/>
    <w:rsid w:val="001175AB"/>
    <w:rsid w:val="001178B0"/>
    <w:rsid w:val="001178DD"/>
    <w:rsid w:val="00117DF7"/>
    <w:rsid w:val="00120211"/>
    <w:rsid w:val="00120ABE"/>
    <w:rsid w:val="00121A11"/>
    <w:rsid w:val="00122261"/>
    <w:rsid w:val="0012249D"/>
    <w:rsid w:val="00122C60"/>
    <w:rsid w:val="00123163"/>
    <w:rsid w:val="001231F9"/>
    <w:rsid w:val="00123318"/>
    <w:rsid w:val="0012336F"/>
    <w:rsid w:val="001236C1"/>
    <w:rsid w:val="00123CC3"/>
    <w:rsid w:val="00123F9A"/>
    <w:rsid w:val="001253AC"/>
    <w:rsid w:val="00125517"/>
    <w:rsid w:val="0012553A"/>
    <w:rsid w:val="00125A2C"/>
    <w:rsid w:val="00125D8C"/>
    <w:rsid w:val="001262FC"/>
    <w:rsid w:val="001278B7"/>
    <w:rsid w:val="00127D14"/>
    <w:rsid w:val="00127E08"/>
    <w:rsid w:val="001301EF"/>
    <w:rsid w:val="0013150D"/>
    <w:rsid w:val="00131DE2"/>
    <w:rsid w:val="00131F26"/>
    <w:rsid w:val="001329AA"/>
    <w:rsid w:val="00133283"/>
    <w:rsid w:val="0013420C"/>
    <w:rsid w:val="00134238"/>
    <w:rsid w:val="001348D4"/>
    <w:rsid w:val="00134F6E"/>
    <w:rsid w:val="0013596B"/>
    <w:rsid w:val="00135E43"/>
    <w:rsid w:val="00136088"/>
    <w:rsid w:val="0013609E"/>
    <w:rsid w:val="00136170"/>
    <w:rsid w:val="001369DF"/>
    <w:rsid w:val="00136DDA"/>
    <w:rsid w:val="001409BA"/>
    <w:rsid w:val="00140C7A"/>
    <w:rsid w:val="00140E20"/>
    <w:rsid w:val="001413CE"/>
    <w:rsid w:val="00141B64"/>
    <w:rsid w:val="00141D37"/>
    <w:rsid w:val="0014206B"/>
    <w:rsid w:val="001426E1"/>
    <w:rsid w:val="001427F7"/>
    <w:rsid w:val="00142CDC"/>
    <w:rsid w:val="00143016"/>
    <w:rsid w:val="00144EFA"/>
    <w:rsid w:val="00145D63"/>
    <w:rsid w:val="00146172"/>
    <w:rsid w:val="001461E3"/>
    <w:rsid w:val="00146C49"/>
    <w:rsid w:val="00146D1D"/>
    <w:rsid w:val="001470C1"/>
    <w:rsid w:val="00147A78"/>
    <w:rsid w:val="00147B57"/>
    <w:rsid w:val="001500E5"/>
    <w:rsid w:val="0015037F"/>
    <w:rsid w:val="001509E2"/>
    <w:rsid w:val="00150ACD"/>
    <w:rsid w:val="00151820"/>
    <w:rsid w:val="001518BF"/>
    <w:rsid w:val="00151BDE"/>
    <w:rsid w:val="00151D01"/>
    <w:rsid w:val="00152802"/>
    <w:rsid w:val="00152845"/>
    <w:rsid w:val="0015303B"/>
    <w:rsid w:val="001530CB"/>
    <w:rsid w:val="00153D18"/>
    <w:rsid w:val="00153FE6"/>
    <w:rsid w:val="00154DBC"/>
    <w:rsid w:val="0015592B"/>
    <w:rsid w:val="00155BBE"/>
    <w:rsid w:val="00155E26"/>
    <w:rsid w:val="00156258"/>
    <w:rsid w:val="001564FC"/>
    <w:rsid w:val="00156612"/>
    <w:rsid w:val="001569AC"/>
    <w:rsid w:val="00156A01"/>
    <w:rsid w:val="00156CED"/>
    <w:rsid w:val="0015798B"/>
    <w:rsid w:val="00157A6C"/>
    <w:rsid w:val="0016195F"/>
    <w:rsid w:val="00161E0D"/>
    <w:rsid w:val="00161FAC"/>
    <w:rsid w:val="0016269D"/>
    <w:rsid w:val="00162EAC"/>
    <w:rsid w:val="00163028"/>
    <w:rsid w:val="00163543"/>
    <w:rsid w:val="001640A8"/>
    <w:rsid w:val="001646E6"/>
    <w:rsid w:val="00165590"/>
    <w:rsid w:val="001656DD"/>
    <w:rsid w:val="00165FC0"/>
    <w:rsid w:val="0016629C"/>
    <w:rsid w:val="0016631F"/>
    <w:rsid w:val="00167934"/>
    <w:rsid w:val="00170883"/>
    <w:rsid w:val="001709F6"/>
    <w:rsid w:val="0017141C"/>
    <w:rsid w:val="001715FE"/>
    <w:rsid w:val="001718BC"/>
    <w:rsid w:val="001724D0"/>
    <w:rsid w:val="0017518A"/>
    <w:rsid w:val="00175508"/>
    <w:rsid w:val="00175562"/>
    <w:rsid w:val="00175708"/>
    <w:rsid w:val="00175E71"/>
    <w:rsid w:val="001765F9"/>
    <w:rsid w:val="00176E8D"/>
    <w:rsid w:val="00177B50"/>
    <w:rsid w:val="001811B1"/>
    <w:rsid w:val="00181ED5"/>
    <w:rsid w:val="00182513"/>
    <w:rsid w:val="00182D94"/>
    <w:rsid w:val="00183449"/>
    <w:rsid w:val="00183F7C"/>
    <w:rsid w:val="0018468C"/>
    <w:rsid w:val="001855FD"/>
    <w:rsid w:val="001859FF"/>
    <w:rsid w:val="00185EB9"/>
    <w:rsid w:val="00185F17"/>
    <w:rsid w:val="00186333"/>
    <w:rsid w:val="0018686F"/>
    <w:rsid w:val="00187A11"/>
    <w:rsid w:val="00187F9D"/>
    <w:rsid w:val="0019029D"/>
    <w:rsid w:val="00190A07"/>
    <w:rsid w:val="0019174F"/>
    <w:rsid w:val="00191D5E"/>
    <w:rsid w:val="00191DE2"/>
    <w:rsid w:val="0019244C"/>
    <w:rsid w:val="00192D80"/>
    <w:rsid w:val="001946C8"/>
    <w:rsid w:val="00194724"/>
    <w:rsid w:val="001962DE"/>
    <w:rsid w:val="0019676F"/>
    <w:rsid w:val="00196B40"/>
    <w:rsid w:val="00196DB7"/>
    <w:rsid w:val="00196F1A"/>
    <w:rsid w:val="00196F82"/>
    <w:rsid w:val="001A003F"/>
    <w:rsid w:val="001A02CF"/>
    <w:rsid w:val="001A0715"/>
    <w:rsid w:val="001A0DCF"/>
    <w:rsid w:val="001A1236"/>
    <w:rsid w:val="001A1575"/>
    <w:rsid w:val="001A223B"/>
    <w:rsid w:val="001A2A04"/>
    <w:rsid w:val="001A2C66"/>
    <w:rsid w:val="001A3B14"/>
    <w:rsid w:val="001A3B7E"/>
    <w:rsid w:val="001A3E2C"/>
    <w:rsid w:val="001A3EFA"/>
    <w:rsid w:val="001A46C0"/>
    <w:rsid w:val="001A4FD5"/>
    <w:rsid w:val="001A569B"/>
    <w:rsid w:val="001A6206"/>
    <w:rsid w:val="001A7965"/>
    <w:rsid w:val="001B0A42"/>
    <w:rsid w:val="001B10A9"/>
    <w:rsid w:val="001B1853"/>
    <w:rsid w:val="001B1E59"/>
    <w:rsid w:val="001B2103"/>
    <w:rsid w:val="001B270A"/>
    <w:rsid w:val="001B2B29"/>
    <w:rsid w:val="001B2DC4"/>
    <w:rsid w:val="001B308B"/>
    <w:rsid w:val="001B317E"/>
    <w:rsid w:val="001B3A7A"/>
    <w:rsid w:val="001B3E38"/>
    <w:rsid w:val="001B40A9"/>
    <w:rsid w:val="001B4946"/>
    <w:rsid w:val="001B577A"/>
    <w:rsid w:val="001B5D41"/>
    <w:rsid w:val="001B6296"/>
    <w:rsid w:val="001B633A"/>
    <w:rsid w:val="001B6525"/>
    <w:rsid w:val="001B68A4"/>
    <w:rsid w:val="001B7D59"/>
    <w:rsid w:val="001C0C53"/>
    <w:rsid w:val="001C12C5"/>
    <w:rsid w:val="001C1503"/>
    <w:rsid w:val="001C2166"/>
    <w:rsid w:val="001C23B7"/>
    <w:rsid w:val="001C2EC5"/>
    <w:rsid w:val="001C3030"/>
    <w:rsid w:val="001C3257"/>
    <w:rsid w:val="001C34BE"/>
    <w:rsid w:val="001C6105"/>
    <w:rsid w:val="001C6437"/>
    <w:rsid w:val="001C7418"/>
    <w:rsid w:val="001D002F"/>
    <w:rsid w:val="001D01DD"/>
    <w:rsid w:val="001D05EE"/>
    <w:rsid w:val="001D0734"/>
    <w:rsid w:val="001D0E3C"/>
    <w:rsid w:val="001D11E9"/>
    <w:rsid w:val="001D1BAA"/>
    <w:rsid w:val="001D1E22"/>
    <w:rsid w:val="001D2085"/>
    <w:rsid w:val="001D279D"/>
    <w:rsid w:val="001D2D14"/>
    <w:rsid w:val="001D2F78"/>
    <w:rsid w:val="001D3702"/>
    <w:rsid w:val="001D3871"/>
    <w:rsid w:val="001D484E"/>
    <w:rsid w:val="001D4ADA"/>
    <w:rsid w:val="001D5706"/>
    <w:rsid w:val="001D5D20"/>
    <w:rsid w:val="001D6731"/>
    <w:rsid w:val="001D75D7"/>
    <w:rsid w:val="001E0173"/>
    <w:rsid w:val="001E0BEB"/>
    <w:rsid w:val="001E1170"/>
    <w:rsid w:val="001E1409"/>
    <w:rsid w:val="001E15A2"/>
    <w:rsid w:val="001E1C3F"/>
    <w:rsid w:val="001E1FA9"/>
    <w:rsid w:val="001E2040"/>
    <w:rsid w:val="001E2E82"/>
    <w:rsid w:val="001E39F4"/>
    <w:rsid w:val="001E3A90"/>
    <w:rsid w:val="001E40CD"/>
    <w:rsid w:val="001E4318"/>
    <w:rsid w:val="001E43FA"/>
    <w:rsid w:val="001E499D"/>
    <w:rsid w:val="001E4CAE"/>
    <w:rsid w:val="001E51C4"/>
    <w:rsid w:val="001E67B3"/>
    <w:rsid w:val="001E7DE1"/>
    <w:rsid w:val="001F0970"/>
    <w:rsid w:val="001F0C50"/>
    <w:rsid w:val="001F180A"/>
    <w:rsid w:val="001F1CB3"/>
    <w:rsid w:val="001F2B06"/>
    <w:rsid w:val="001F3E35"/>
    <w:rsid w:val="001F4594"/>
    <w:rsid w:val="001F4E18"/>
    <w:rsid w:val="001F5207"/>
    <w:rsid w:val="001F53C2"/>
    <w:rsid w:val="001F6094"/>
    <w:rsid w:val="001F63B3"/>
    <w:rsid w:val="001F6C15"/>
    <w:rsid w:val="001F7375"/>
    <w:rsid w:val="001F799A"/>
    <w:rsid w:val="001F7BB4"/>
    <w:rsid w:val="0020076C"/>
    <w:rsid w:val="00200770"/>
    <w:rsid w:val="00200DD1"/>
    <w:rsid w:val="00200F8A"/>
    <w:rsid w:val="002011BA"/>
    <w:rsid w:val="002011D8"/>
    <w:rsid w:val="002012C0"/>
    <w:rsid w:val="00201B6E"/>
    <w:rsid w:val="0020220A"/>
    <w:rsid w:val="00202984"/>
    <w:rsid w:val="00203256"/>
    <w:rsid w:val="0020407F"/>
    <w:rsid w:val="0020447D"/>
    <w:rsid w:val="00204497"/>
    <w:rsid w:val="00204AA3"/>
    <w:rsid w:val="00204B71"/>
    <w:rsid w:val="002056A3"/>
    <w:rsid w:val="002069E8"/>
    <w:rsid w:val="002078A1"/>
    <w:rsid w:val="0021048A"/>
    <w:rsid w:val="00210499"/>
    <w:rsid w:val="00210529"/>
    <w:rsid w:val="002108C2"/>
    <w:rsid w:val="00211209"/>
    <w:rsid w:val="0021182C"/>
    <w:rsid w:val="00212920"/>
    <w:rsid w:val="00213252"/>
    <w:rsid w:val="00213C3C"/>
    <w:rsid w:val="002142F2"/>
    <w:rsid w:val="0021432B"/>
    <w:rsid w:val="00214993"/>
    <w:rsid w:val="002151B3"/>
    <w:rsid w:val="00215B77"/>
    <w:rsid w:val="00215DED"/>
    <w:rsid w:val="002161EC"/>
    <w:rsid w:val="00216430"/>
    <w:rsid w:val="0021658C"/>
    <w:rsid w:val="0022000F"/>
    <w:rsid w:val="002201E5"/>
    <w:rsid w:val="0022062B"/>
    <w:rsid w:val="00220C58"/>
    <w:rsid w:val="00220F21"/>
    <w:rsid w:val="0022116D"/>
    <w:rsid w:val="002213BE"/>
    <w:rsid w:val="0022152C"/>
    <w:rsid w:val="002216E3"/>
    <w:rsid w:val="00222012"/>
    <w:rsid w:val="00222401"/>
    <w:rsid w:val="00222B07"/>
    <w:rsid w:val="002236A7"/>
    <w:rsid w:val="00223954"/>
    <w:rsid w:val="002241B4"/>
    <w:rsid w:val="002245A0"/>
    <w:rsid w:val="00224848"/>
    <w:rsid w:val="0022530B"/>
    <w:rsid w:val="002257E3"/>
    <w:rsid w:val="00225883"/>
    <w:rsid w:val="00225B50"/>
    <w:rsid w:val="002262C1"/>
    <w:rsid w:val="00226CC2"/>
    <w:rsid w:val="00227176"/>
    <w:rsid w:val="00227693"/>
    <w:rsid w:val="00227742"/>
    <w:rsid w:val="002278A4"/>
    <w:rsid w:val="00227E0F"/>
    <w:rsid w:val="002303B0"/>
    <w:rsid w:val="00230A1F"/>
    <w:rsid w:val="00230E2F"/>
    <w:rsid w:val="0023189C"/>
    <w:rsid w:val="0023190F"/>
    <w:rsid w:val="00231CA5"/>
    <w:rsid w:val="00232A9B"/>
    <w:rsid w:val="00233C3D"/>
    <w:rsid w:val="00233D13"/>
    <w:rsid w:val="0023406F"/>
    <w:rsid w:val="002341CF"/>
    <w:rsid w:val="002345C2"/>
    <w:rsid w:val="0023474D"/>
    <w:rsid w:val="00235418"/>
    <w:rsid w:val="0023576E"/>
    <w:rsid w:val="00235BFB"/>
    <w:rsid w:val="00235D0D"/>
    <w:rsid w:val="00235D4D"/>
    <w:rsid w:val="00236058"/>
    <w:rsid w:val="00236CBF"/>
    <w:rsid w:val="00236E66"/>
    <w:rsid w:val="00237270"/>
    <w:rsid w:val="0023770D"/>
    <w:rsid w:val="00240531"/>
    <w:rsid w:val="002406F5"/>
    <w:rsid w:val="00240836"/>
    <w:rsid w:val="00240C1C"/>
    <w:rsid w:val="00240D44"/>
    <w:rsid w:val="00241B4B"/>
    <w:rsid w:val="00241DE2"/>
    <w:rsid w:val="00242BAA"/>
    <w:rsid w:val="00242D5D"/>
    <w:rsid w:val="00243121"/>
    <w:rsid w:val="00243B36"/>
    <w:rsid w:val="002442B9"/>
    <w:rsid w:val="00244407"/>
    <w:rsid w:val="002460FE"/>
    <w:rsid w:val="00246D7F"/>
    <w:rsid w:val="0024776E"/>
    <w:rsid w:val="00247BC7"/>
    <w:rsid w:val="00251B6E"/>
    <w:rsid w:val="00252817"/>
    <w:rsid w:val="00253829"/>
    <w:rsid w:val="002539D4"/>
    <w:rsid w:val="00254665"/>
    <w:rsid w:val="00254F78"/>
    <w:rsid w:val="00255051"/>
    <w:rsid w:val="00255126"/>
    <w:rsid w:val="00255862"/>
    <w:rsid w:val="0025592A"/>
    <w:rsid w:val="00255DC6"/>
    <w:rsid w:val="002565CE"/>
    <w:rsid w:val="00257069"/>
    <w:rsid w:val="002573DC"/>
    <w:rsid w:val="002601D8"/>
    <w:rsid w:val="0026049C"/>
    <w:rsid w:val="00260960"/>
    <w:rsid w:val="00261BB6"/>
    <w:rsid w:val="00261D49"/>
    <w:rsid w:val="00262067"/>
    <w:rsid w:val="00262198"/>
    <w:rsid w:val="002621AB"/>
    <w:rsid w:val="00262C57"/>
    <w:rsid w:val="002631ED"/>
    <w:rsid w:val="00263288"/>
    <w:rsid w:val="0026387A"/>
    <w:rsid w:val="00263937"/>
    <w:rsid w:val="00263B3F"/>
    <w:rsid w:val="00263BBE"/>
    <w:rsid w:val="00263D3D"/>
    <w:rsid w:val="002641B8"/>
    <w:rsid w:val="00266017"/>
    <w:rsid w:val="00266025"/>
    <w:rsid w:val="00266D89"/>
    <w:rsid w:val="00267541"/>
    <w:rsid w:val="00270CDF"/>
    <w:rsid w:val="00270D95"/>
    <w:rsid w:val="00270E5C"/>
    <w:rsid w:val="00271187"/>
    <w:rsid w:val="00271A57"/>
    <w:rsid w:val="00271E22"/>
    <w:rsid w:val="00271F3D"/>
    <w:rsid w:val="0027218F"/>
    <w:rsid w:val="00272289"/>
    <w:rsid w:val="00272DCE"/>
    <w:rsid w:val="002733DE"/>
    <w:rsid w:val="00273D33"/>
    <w:rsid w:val="00274B74"/>
    <w:rsid w:val="00274C5E"/>
    <w:rsid w:val="00275BF9"/>
    <w:rsid w:val="002761A3"/>
    <w:rsid w:val="00276D34"/>
    <w:rsid w:val="0027796D"/>
    <w:rsid w:val="00277BFB"/>
    <w:rsid w:val="002804B5"/>
    <w:rsid w:val="00280802"/>
    <w:rsid w:val="0028118A"/>
    <w:rsid w:val="002814EB"/>
    <w:rsid w:val="002816B6"/>
    <w:rsid w:val="002816E2"/>
    <w:rsid w:val="00282658"/>
    <w:rsid w:val="0028282A"/>
    <w:rsid w:val="00283836"/>
    <w:rsid w:val="00284F5A"/>
    <w:rsid w:val="002851F2"/>
    <w:rsid w:val="00285671"/>
    <w:rsid w:val="00286C27"/>
    <w:rsid w:val="00287403"/>
    <w:rsid w:val="00287573"/>
    <w:rsid w:val="00287A77"/>
    <w:rsid w:val="00287E0D"/>
    <w:rsid w:val="0029026E"/>
    <w:rsid w:val="00292212"/>
    <w:rsid w:val="00292B2C"/>
    <w:rsid w:val="002936E2"/>
    <w:rsid w:val="00294137"/>
    <w:rsid w:val="00294148"/>
    <w:rsid w:val="0029473B"/>
    <w:rsid w:val="00294C93"/>
    <w:rsid w:val="00295379"/>
    <w:rsid w:val="00295C63"/>
    <w:rsid w:val="00296AA2"/>
    <w:rsid w:val="002974E4"/>
    <w:rsid w:val="002977CA"/>
    <w:rsid w:val="002A01BB"/>
    <w:rsid w:val="002A0DBF"/>
    <w:rsid w:val="002A1B43"/>
    <w:rsid w:val="002A2481"/>
    <w:rsid w:val="002A27D2"/>
    <w:rsid w:val="002A399A"/>
    <w:rsid w:val="002A3A15"/>
    <w:rsid w:val="002A3B6D"/>
    <w:rsid w:val="002A40F9"/>
    <w:rsid w:val="002A4126"/>
    <w:rsid w:val="002A4B5E"/>
    <w:rsid w:val="002A5092"/>
    <w:rsid w:val="002A5228"/>
    <w:rsid w:val="002A6822"/>
    <w:rsid w:val="002A7109"/>
    <w:rsid w:val="002A713D"/>
    <w:rsid w:val="002A79B7"/>
    <w:rsid w:val="002B0160"/>
    <w:rsid w:val="002B0206"/>
    <w:rsid w:val="002B2384"/>
    <w:rsid w:val="002B2895"/>
    <w:rsid w:val="002B2D90"/>
    <w:rsid w:val="002B3080"/>
    <w:rsid w:val="002B3E4A"/>
    <w:rsid w:val="002B4322"/>
    <w:rsid w:val="002B51BA"/>
    <w:rsid w:val="002B65F8"/>
    <w:rsid w:val="002B7270"/>
    <w:rsid w:val="002C05D0"/>
    <w:rsid w:val="002C0735"/>
    <w:rsid w:val="002C0C6B"/>
    <w:rsid w:val="002C176B"/>
    <w:rsid w:val="002C181B"/>
    <w:rsid w:val="002C181F"/>
    <w:rsid w:val="002C1B1E"/>
    <w:rsid w:val="002C1BDE"/>
    <w:rsid w:val="002C1EAF"/>
    <w:rsid w:val="002C3240"/>
    <w:rsid w:val="002C3401"/>
    <w:rsid w:val="002C36D0"/>
    <w:rsid w:val="002C3CE4"/>
    <w:rsid w:val="002C48B9"/>
    <w:rsid w:val="002C6265"/>
    <w:rsid w:val="002C6450"/>
    <w:rsid w:val="002C6BD2"/>
    <w:rsid w:val="002C79F5"/>
    <w:rsid w:val="002D0401"/>
    <w:rsid w:val="002D141E"/>
    <w:rsid w:val="002D1F8B"/>
    <w:rsid w:val="002D2B97"/>
    <w:rsid w:val="002D2D08"/>
    <w:rsid w:val="002D3531"/>
    <w:rsid w:val="002D3789"/>
    <w:rsid w:val="002D3B89"/>
    <w:rsid w:val="002D3DEB"/>
    <w:rsid w:val="002D3E0A"/>
    <w:rsid w:val="002D467F"/>
    <w:rsid w:val="002D570B"/>
    <w:rsid w:val="002D5912"/>
    <w:rsid w:val="002D59D6"/>
    <w:rsid w:val="002D5C2E"/>
    <w:rsid w:val="002D620C"/>
    <w:rsid w:val="002D6F93"/>
    <w:rsid w:val="002D7651"/>
    <w:rsid w:val="002D7C68"/>
    <w:rsid w:val="002E001C"/>
    <w:rsid w:val="002E17ED"/>
    <w:rsid w:val="002E1B89"/>
    <w:rsid w:val="002E1DB8"/>
    <w:rsid w:val="002E3247"/>
    <w:rsid w:val="002E3347"/>
    <w:rsid w:val="002E34E1"/>
    <w:rsid w:val="002E3C6F"/>
    <w:rsid w:val="002E3EB2"/>
    <w:rsid w:val="002E4514"/>
    <w:rsid w:val="002E4DDF"/>
    <w:rsid w:val="002E542C"/>
    <w:rsid w:val="002E5957"/>
    <w:rsid w:val="002E6FCE"/>
    <w:rsid w:val="002E7429"/>
    <w:rsid w:val="002F04E3"/>
    <w:rsid w:val="002F104E"/>
    <w:rsid w:val="002F13DF"/>
    <w:rsid w:val="002F2329"/>
    <w:rsid w:val="002F288D"/>
    <w:rsid w:val="002F2D87"/>
    <w:rsid w:val="002F32C7"/>
    <w:rsid w:val="002F33CD"/>
    <w:rsid w:val="002F3AE5"/>
    <w:rsid w:val="002F3EA1"/>
    <w:rsid w:val="002F4DE6"/>
    <w:rsid w:val="002F5473"/>
    <w:rsid w:val="002F5FB5"/>
    <w:rsid w:val="002F6468"/>
    <w:rsid w:val="002F6C0D"/>
    <w:rsid w:val="002F7159"/>
    <w:rsid w:val="002F715C"/>
    <w:rsid w:val="002F74EA"/>
    <w:rsid w:val="002F7846"/>
    <w:rsid w:val="003009DF"/>
    <w:rsid w:val="003019C7"/>
    <w:rsid w:val="0030212F"/>
    <w:rsid w:val="0030324D"/>
    <w:rsid w:val="003032FA"/>
    <w:rsid w:val="00303FD1"/>
    <w:rsid w:val="003041C4"/>
    <w:rsid w:val="0030487C"/>
    <w:rsid w:val="00305A7D"/>
    <w:rsid w:val="00306388"/>
    <w:rsid w:val="00306C03"/>
    <w:rsid w:val="0030788A"/>
    <w:rsid w:val="00310163"/>
    <w:rsid w:val="003107DA"/>
    <w:rsid w:val="00310895"/>
    <w:rsid w:val="00310EE1"/>
    <w:rsid w:val="003115D6"/>
    <w:rsid w:val="0031186D"/>
    <w:rsid w:val="00312DE0"/>
    <w:rsid w:val="00314300"/>
    <w:rsid w:val="00315361"/>
    <w:rsid w:val="0031648B"/>
    <w:rsid w:val="003165E8"/>
    <w:rsid w:val="00316D68"/>
    <w:rsid w:val="0031718D"/>
    <w:rsid w:val="0031722D"/>
    <w:rsid w:val="003175C4"/>
    <w:rsid w:val="00320215"/>
    <w:rsid w:val="00320217"/>
    <w:rsid w:val="003202D6"/>
    <w:rsid w:val="003203B1"/>
    <w:rsid w:val="00320FB5"/>
    <w:rsid w:val="003211A7"/>
    <w:rsid w:val="00321B6E"/>
    <w:rsid w:val="0032202D"/>
    <w:rsid w:val="003225B5"/>
    <w:rsid w:val="00322858"/>
    <w:rsid w:val="00322F97"/>
    <w:rsid w:val="00323220"/>
    <w:rsid w:val="003233F0"/>
    <w:rsid w:val="00323813"/>
    <w:rsid w:val="00324894"/>
    <w:rsid w:val="00324B43"/>
    <w:rsid w:val="003255D8"/>
    <w:rsid w:val="00325B11"/>
    <w:rsid w:val="00325BD4"/>
    <w:rsid w:val="00325BE7"/>
    <w:rsid w:val="00325E4F"/>
    <w:rsid w:val="00325E70"/>
    <w:rsid w:val="00326165"/>
    <w:rsid w:val="00326464"/>
    <w:rsid w:val="003266E0"/>
    <w:rsid w:val="00326A28"/>
    <w:rsid w:val="003270ED"/>
    <w:rsid w:val="00327C9B"/>
    <w:rsid w:val="00330197"/>
    <w:rsid w:val="00330B93"/>
    <w:rsid w:val="003319C6"/>
    <w:rsid w:val="0033223A"/>
    <w:rsid w:val="0033249F"/>
    <w:rsid w:val="00332962"/>
    <w:rsid w:val="00332C6E"/>
    <w:rsid w:val="00333FB1"/>
    <w:rsid w:val="00334761"/>
    <w:rsid w:val="00334A10"/>
    <w:rsid w:val="003359AB"/>
    <w:rsid w:val="00335C8A"/>
    <w:rsid w:val="00336111"/>
    <w:rsid w:val="0033630F"/>
    <w:rsid w:val="0033670F"/>
    <w:rsid w:val="00336963"/>
    <w:rsid w:val="00336E63"/>
    <w:rsid w:val="003378E3"/>
    <w:rsid w:val="00337CC4"/>
    <w:rsid w:val="00340204"/>
    <w:rsid w:val="00340455"/>
    <w:rsid w:val="003405CF"/>
    <w:rsid w:val="003410D5"/>
    <w:rsid w:val="00341352"/>
    <w:rsid w:val="00341E38"/>
    <w:rsid w:val="0034244F"/>
    <w:rsid w:val="00343167"/>
    <w:rsid w:val="003437EA"/>
    <w:rsid w:val="00343ABD"/>
    <w:rsid w:val="003442CE"/>
    <w:rsid w:val="0034460E"/>
    <w:rsid w:val="00345A0B"/>
    <w:rsid w:val="00345D25"/>
    <w:rsid w:val="00345DC5"/>
    <w:rsid w:val="00346D20"/>
    <w:rsid w:val="00346E40"/>
    <w:rsid w:val="003470A9"/>
    <w:rsid w:val="003471C2"/>
    <w:rsid w:val="003472F0"/>
    <w:rsid w:val="00347D0C"/>
    <w:rsid w:val="00350171"/>
    <w:rsid w:val="00350221"/>
    <w:rsid w:val="0035029B"/>
    <w:rsid w:val="00350B6A"/>
    <w:rsid w:val="003510A2"/>
    <w:rsid w:val="003519D9"/>
    <w:rsid w:val="00352C23"/>
    <w:rsid w:val="00352D08"/>
    <w:rsid w:val="0035364D"/>
    <w:rsid w:val="00353DD5"/>
    <w:rsid w:val="00354541"/>
    <w:rsid w:val="00354DDE"/>
    <w:rsid w:val="00355F12"/>
    <w:rsid w:val="00356AAC"/>
    <w:rsid w:val="00356C10"/>
    <w:rsid w:val="00357067"/>
    <w:rsid w:val="003575BA"/>
    <w:rsid w:val="00357ACD"/>
    <w:rsid w:val="00357E3B"/>
    <w:rsid w:val="00360254"/>
    <w:rsid w:val="0036035F"/>
    <w:rsid w:val="00360406"/>
    <w:rsid w:val="00360D92"/>
    <w:rsid w:val="00360E9F"/>
    <w:rsid w:val="00361629"/>
    <w:rsid w:val="003619F2"/>
    <w:rsid w:val="00361BCA"/>
    <w:rsid w:val="00361CAA"/>
    <w:rsid w:val="00361D32"/>
    <w:rsid w:val="00362CB5"/>
    <w:rsid w:val="0036306B"/>
    <w:rsid w:val="00363B76"/>
    <w:rsid w:val="00364AC5"/>
    <w:rsid w:val="003661BC"/>
    <w:rsid w:val="00366A13"/>
    <w:rsid w:val="00366AA5"/>
    <w:rsid w:val="00366D46"/>
    <w:rsid w:val="00367B6B"/>
    <w:rsid w:val="00370F40"/>
    <w:rsid w:val="003719E2"/>
    <w:rsid w:val="00371AE7"/>
    <w:rsid w:val="00372293"/>
    <w:rsid w:val="00372735"/>
    <w:rsid w:val="003727CF"/>
    <w:rsid w:val="00372BB0"/>
    <w:rsid w:val="00372CC9"/>
    <w:rsid w:val="0037391C"/>
    <w:rsid w:val="00373947"/>
    <w:rsid w:val="003739C7"/>
    <w:rsid w:val="00373AD7"/>
    <w:rsid w:val="003745A4"/>
    <w:rsid w:val="00374695"/>
    <w:rsid w:val="0037512A"/>
    <w:rsid w:val="003751E1"/>
    <w:rsid w:val="003757D8"/>
    <w:rsid w:val="00375DC2"/>
    <w:rsid w:val="003761E1"/>
    <w:rsid w:val="00376563"/>
    <w:rsid w:val="003766A7"/>
    <w:rsid w:val="00376A31"/>
    <w:rsid w:val="00376A40"/>
    <w:rsid w:val="00376DF1"/>
    <w:rsid w:val="00376ED1"/>
    <w:rsid w:val="0037741E"/>
    <w:rsid w:val="003801AA"/>
    <w:rsid w:val="003803D0"/>
    <w:rsid w:val="00380704"/>
    <w:rsid w:val="00381B5F"/>
    <w:rsid w:val="00382E9C"/>
    <w:rsid w:val="003832F9"/>
    <w:rsid w:val="0038452A"/>
    <w:rsid w:val="003848E8"/>
    <w:rsid w:val="003849D7"/>
    <w:rsid w:val="003859C7"/>
    <w:rsid w:val="00385E5F"/>
    <w:rsid w:val="00386695"/>
    <w:rsid w:val="003873EB"/>
    <w:rsid w:val="0038748A"/>
    <w:rsid w:val="00387AF7"/>
    <w:rsid w:val="00390381"/>
    <w:rsid w:val="003907A6"/>
    <w:rsid w:val="00390BBA"/>
    <w:rsid w:val="00390DC1"/>
    <w:rsid w:val="0039151F"/>
    <w:rsid w:val="00392408"/>
    <w:rsid w:val="00393549"/>
    <w:rsid w:val="00393D16"/>
    <w:rsid w:val="003944C8"/>
    <w:rsid w:val="00394715"/>
    <w:rsid w:val="00394DD0"/>
    <w:rsid w:val="003955D7"/>
    <w:rsid w:val="003957B4"/>
    <w:rsid w:val="00396F14"/>
    <w:rsid w:val="00396FDD"/>
    <w:rsid w:val="003972F8"/>
    <w:rsid w:val="00397DFF"/>
    <w:rsid w:val="003A0205"/>
    <w:rsid w:val="003A05B3"/>
    <w:rsid w:val="003A0623"/>
    <w:rsid w:val="003A0861"/>
    <w:rsid w:val="003A16D7"/>
    <w:rsid w:val="003A1789"/>
    <w:rsid w:val="003A1B30"/>
    <w:rsid w:val="003A2DB9"/>
    <w:rsid w:val="003A3C59"/>
    <w:rsid w:val="003A3F75"/>
    <w:rsid w:val="003A6063"/>
    <w:rsid w:val="003A654C"/>
    <w:rsid w:val="003A7128"/>
    <w:rsid w:val="003A7879"/>
    <w:rsid w:val="003B0510"/>
    <w:rsid w:val="003B0D0C"/>
    <w:rsid w:val="003B22D5"/>
    <w:rsid w:val="003B2B38"/>
    <w:rsid w:val="003B3B88"/>
    <w:rsid w:val="003B425F"/>
    <w:rsid w:val="003B4B9B"/>
    <w:rsid w:val="003B6363"/>
    <w:rsid w:val="003B680D"/>
    <w:rsid w:val="003B6A2E"/>
    <w:rsid w:val="003B6EE4"/>
    <w:rsid w:val="003B7146"/>
    <w:rsid w:val="003B76AA"/>
    <w:rsid w:val="003B76C9"/>
    <w:rsid w:val="003B7FA3"/>
    <w:rsid w:val="003C0157"/>
    <w:rsid w:val="003C0197"/>
    <w:rsid w:val="003C0F76"/>
    <w:rsid w:val="003C18B1"/>
    <w:rsid w:val="003C2D44"/>
    <w:rsid w:val="003C2F00"/>
    <w:rsid w:val="003C310A"/>
    <w:rsid w:val="003C3E50"/>
    <w:rsid w:val="003C3F81"/>
    <w:rsid w:val="003C41F8"/>
    <w:rsid w:val="003C4839"/>
    <w:rsid w:val="003C5C86"/>
    <w:rsid w:val="003C5D80"/>
    <w:rsid w:val="003C66EF"/>
    <w:rsid w:val="003C7219"/>
    <w:rsid w:val="003C7226"/>
    <w:rsid w:val="003C7491"/>
    <w:rsid w:val="003D0F9E"/>
    <w:rsid w:val="003D13E1"/>
    <w:rsid w:val="003D144B"/>
    <w:rsid w:val="003D176B"/>
    <w:rsid w:val="003D1D90"/>
    <w:rsid w:val="003D2A4E"/>
    <w:rsid w:val="003D2D92"/>
    <w:rsid w:val="003D30AE"/>
    <w:rsid w:val="003D3239"/>
    <w:rsid w:val="003D3573"/>
    <w:rsid w:val="003D37DB"/>
    <w:rsid w:val="003D395E"/>
    <w:rsid w:val="003D3DA2"/>
    <w:rsid w:val="003D405C"/>
    <w:rsid w:val="003D4BE4"/>
    <w:rsid w:val="003D4E61"/>
    <w:rsid w:val="003D4F34"/>
    <w:rsid w:val="003D501C"/>
    <w:rsid w:val="003D6FA2"/>
    <w:rsid w:val="003D7BE5"/>
    <w:rsid w:val="003D7C0F"/>
    <w:rsid w:val="003E47F3"/>
    <w:rsid w:val="003E4F1F"/>
    <w:rsid w:val="003E5374"/>
    <w:rsid w:val="003E5676"/>
    <w:rsid w:val="003E5994"/>
    <w:rsid w:val="003E621C"/>
    <w:rsid w:val="003E6E51"/>
    <w:rsid w:val="003E765D"/>
    <w:rsid w:val="003E7D8F"/>
    <w:rsid w:val="003F0052"/>
    <w:rsid w:val="003F0C3E"/>
    <w:rsid w:val="003F0E1C"/>
    <w:rsid w:val="003F1C25"/>
    <w:rsid w:val="003F2D1A"/>
    <w:rsid w:val="003F2D44"/>
    <w:rsid w:val="003F2E68"/>
    <w:rsid w:val="003F37DA"/>
    <w:rsid w:val="003F4E4B"/>
    <w:rsid w:val="003F53A6"/>
    <w:rsid w:val="003F658C"/>
    <w:rsid w:val="003F70D0"/>
    <w:rsid w:val="004002CC"/>
    <w:rsid w:val="00400419"/>
    <w:rsid w:val="00400427"/>
    <w:rsid w:val="004004E1"/>
    <w:rsid w:val="00400A85"/>
    <w:rsid w:val="00400AB3"/>
    <w:rsid w:val="00400BFB"/>
    <w:rsid w:val="00400DF4"/>
    <w:rsid w:val="00400FF3"/>
    <w:rsid w:val="0040106E"/>
    <w:rsid w:val="004014ED"/>
    <w:rsid w:val="00401518"/>
    <w:rsid w:val="004017C8"/>
    <w:rsid w:val="00401801"/>
    <w:rsid w:val="00401A6D"/>
    <w:rsid w:val="00401D9D"/>
    <w:rsid w:val="00401DC3"/>
    <w:rsid w:val="00402164"/>
    <w:rsid w:val="0040288B"/>
    <w:rsid w:val="00403340"/>
    <w:rsid w:val="00403428"/>
    <w:rsid w:val="0040430E"/>
    <w:rsid w:val="00404E79"/>
    <w:rsid w:val="00404F61"/>
    <w:rsid w:val="00405967"/>
    <w:rsid w:val="00405CA3"/>
    <w:rsid w:val="004079D5"/>
    <w:rsid w:val="00407F19"/>
    <w:rsid w:val="00410081"/>
    <w:rsid w:val="004104B4"/>
    <w:rsid w:val="004107D2"/>
    <w:rsid w:val="00410BB0"/>
    <w:rsid w:val="00410CE4"/>
    <w:rsid w:val="00411430"/>
    <w:rsid w:val="00411888"/>
    <w:rsid w:val="00411BAC"/>
    <w:rsid w:val="00412150"/>
    <w:rsid w:val="00412E0E"/>
    <w:rsid w:val="00412E5F"/>
    <w:rsid w:val="00412F60"/>
    <w:rsid w:val="00412F7A"/>
    <w:rsid w:val="0041363F"/>
    <w:rsid w:val="00413F45"/>
    <w:rsid w:val="0041401E"/>
    <w:rsid w:val="0041451A"/>
    <w:rsid w:val="00414A14"/>
    <w:rsid w:val="00415663"/>
    <w:rsid w:val="00415699"/>
    <w:rsid w:val="00415AFB"/>
    <w:rsid w:val="00415BEA"/>
    <w:rsid w:val="00415CEF"/>
    <w:rsid w:val="00416325"/>
    <w:rsid w:val="004166A5"/>
    <w:rsid w:val="00416822"/>
    <w:rsid w:val="0041698E"/>
    <w:rsid w:val="004169B6"/>
    <w:rsid w:val="0041717C"/>
    <w:rsid w:val="00417A62"/>
    <w:rsid w:val="00417B4E"/>
    <w:rsid w:val="00420A81"/>
    <w:rsid w:val="00421103"/>
    <w:rsid w:val="004218D7"/>
    <w:rsid w:val="00422A73"/>
    <w:rsid w:val="00422D94"/>
    <w:rsid w:val="00423127"/>
    <w:rsid w:val="00423566"/>
    <w:rsid w:val="00423B72"/>
    <w:rsid w:val="00424509"/>
    <w:rsid w:val="00426583"/>
    <w:rsid w:val="00426E7B"/>
    <w:rsid w:val="0042763F"/>
    <w:rsid w:val="00430505"/>
    <w:rsid w:val="00430684"/>
    <w:rsid w:val="00431F00"/>
    <w:rsid w:val="0043226D"/>
    <w:rsid w:val="0043280B"/>
    <w:rsid w:val="00432996"/>
    <w:rsid w:val="0043381D"/>
    <w:rsid w:val="00433F5D"/>
    <w:rsid w:val="004344CE"/>
    <w:rsid w:val="00434EDF"/>
    <w:rsid w:val="004350D3"/>
    <w:rsid w:val="004354DE"/>
    <w:rsid w:val="004355BC"/>
    <w:rsid w:val="00435D73"/>
    <w:rsid w:val="00436358"/>
    <w:rsid w:val="0044000D"/>
    <w:rsid w:val="00441245"/>
    <w:rsid w:val="00441247"/>
    <w:rsid w:val="00441904"/>
    <w:rsid w:val="00441B4F"/>
    <w:rsid w:val="004421E7"/>
    <w:rsid w:val="00442268"/>
    <w:rsid w:val="00442315"/>
    <w:rsid w:val="00442C69"/>
    <w:rsid w:val="00442D39"/>
    <w:rsid w:val="004439B9"/>
    <w:rsid w:val="004439D5"/>
    <w:rsid w:val="00444588"/>
    <w:rsid w:val="0044466B"/>
    <w:rsid w:val="00445595"/>
    <w:rsid w:val="0044578D"/>
    <w:rsid w:val="00445F78"/>
    <w:rsid w:val="00446120"/>
    <w:rsid w:val="00446305"/>
    <w:rsid w:val="00446FB1"/>
    <w:rsid w:val="00450776"/>
    <w:rsid w:val="004508DA"/>
    <w:rsid w:val="00450AB8"/>
    <w:rsid w:val="00450B33"/>
    <w:rsid w:val="00452B0B"/>
    <w:rsid w:val="00452BF5"/>
    <w:rsid w:val="004530BF"/>
    <w:rsid w:val="004556D1"/>
    <w:rsid w:val="00455A8A"/>
    <w:rsid w:val="00455AF4"/>
    <w:rsid w:val="00455D9C"/>
    <w:rsid w:val="0045767B"/>
    <w:rsid w:val="00457B3C"/>
    <w:rsid w:val="00457FBE"/>
    <w:rsid w:val="0046061E"/>
    <w:rsid w:val="004612E8"/>
    <w:rsid w:val="0046182F"/>
    <w:rsid w:val="0046186A"/>
    <w:rsid w:val="00461E21"/>
    <w:rsid w:val="00461E82"/>
    <w:rsid w:val="004623A0"/>
    <w:rsid w:val="0046242D"/>
    <w:rsid w:val="004624C2"/>
    <w:rsid w:val="0046257E"/>
    <w:rsid w:val="004626E1"/>
    <w:rsid w:val="00462E76"/>
    <w:rsid w:val="00463E5B"/>
    <w:rsid w:val="00464064"/>
    <w:rsid w:val="004645A8"/>
    <w:rsid w:val="0046479D"/>
    <w:rsid w:val="004651EA"/>
    <w:rsid w:val="0046616E"/>
    <w:rsid w:val="00466392"/>
    <w:rsid w:val="00466995"/>
    <w:rsid w:val="00466B2E"/>
    <w:rsid w:val="00466B61"/>
    <w:rsid w:val="00467F63"/>
    <w:rsid w:val="004703A3"/>
    <w:rsid w:val="004709A2"/>
    <w:rsid w:val="00471C55"/>
    <w:rsid w:val="004722C5"/>
    <w:rsid w:val="00472D76"/>
    <w:rsid w:val="00473692"/>
    <w:rsid w:val="00473B83"/>
    <w:rsid w:val="00473F53"/>
    <w:rsid w:val="00474262"/>
    <w:rsid w:val="00474BA8"/>
    <w:rsid w:val="00474C38"/>
    <w:rsid w:val="00474C8A"/>
    <w:rsid w:val="00474EA8"/>
    <w:rsid w:val="00475266"/>
    <w:rsid w:val="00475B40"/>
    <w:rsid w:val="00475B9D"/>
    <w:rsid w:val="00475C3A"/>
    <w:rsid w:val="0047760B"/>
    <w:rsid w:val="00480CB8"/>
    <w:rsid w:val="00481FA0"/>
    <w:rsid w:val="004824E7"/>
    <w:rsid w:val="00482665"/>
    <w:rsid w:val="004826FE"/>
    <w:rsid w:val="00482ADF"/>
    <w:rsid w:val="004837F1"/>
    <w:rsid w:val="00484F8D"/>
    <w:rsid w:val="004851B3"/>
    <w:rsid w:val="0048554F"/>
    <w:rsid w:val="00486567"/>
    <w:rsid w:val="00486974"/>
    <w:rsid w:val="00487046"/>
    <w:rsid w:val="00487A0D"/>
    <w:rsid w:val="004909FF"/>
    <w:rsid w:val="00491426"/>
    <w:rsid w:val="0049197F"/>
    <w:rsid w:val="004919F0"/>
    <w:rsid w:val="004922ED"/>
    <w:rsid w:val="004930C3"/>
    <w:rsid w:val="00493602"/>
    <w:rsid w:val="0049383F"/>
    <w:rsid w:val="00494213"/>
    <w:rsid w:val="00494E40"/>
    <w:rsid w:val="00495804"/>
    <w:rsid w:val="00495A4B"/>
    <w:rsid w:val="00495A6C"/>
    <w:rsid w:val="00495D49"/>
    <w:rsid w:val="00496138"/>
    <w:rsid w:val="00496C2C"/>
    <w:rsid w:val="00496E10"/>
    <w:rsid w:val="00496E18"/>
    <w:rsid w:val="004971F2"/>
    <w:rsid w:val="00497549"/>
    <w:rsid w:val="004A0083"/>
    <w:rsid w:val="004A0481"/>
    <w:rsid w:val="004A0F20"/>
    <w:rsid w:val="004A130F"/>
    <w:rsid w:val="004A1944"/>
    <w:rsid w:val="004A1DDC"/>
    <w:rsid w:val="004A234C"/>
    <w:rsid w:val="004A3109"/>
    <w:rsid w:val="004A32C6"/>
    <w:rsid w:val="004A3566"/>
    <w:rsid w:val="004A3C4B"/>
    <w:rsid w:val="004A4266"/>
    <w:rsid w:val="004A4269"/>
    <w:rsid w:val="004A4E27"/>
    <w:rsid w:val="004A51F4"/>
    <w:rsid w:val="004A5A0E"/>
    <w:rsid w:val="004A6030"/>
    <w:rsid w:val="004A6D4F"/>
    <w:rsid w:val="004A7744"/>
    <w:rsid w:val="004A7A02"/>
    <w:rsid w:val="004A7D18"/>
    <w:rsid w:val="004B0CC9"/>
    <w:rsid w:val="004B13DC"/>
    <w:rsid w:val="004B18B4"/>
    <w:rsid w:val="004B1EEC"/>
    <w:rsid w:val="004B23F1"/>
    <w:rsid w:val="004B2B6F"/>
    <w:rsid w:val="004B308D"/>
    <w:rsid w:val="004B33F8"/>
    <w:rsid w:val="004B3670"/>
    <w:rsid w:val="004B3C18"/>
    <w:rsid w:val="004B4271"/>
    <w:rsid w:val="004B4D60"/>
    <w:rsid w:val="004B4E49"/>
    <w:rsid w:val="004B54ED"/>
    <w:rsid w:val="004B5802"/>
    <w:rsid w:val="004B5984"/>
    <w:rsid w:val="004B60B4"/>
    <w:rsid w:val="004B62A6"/>
    <w:rsid w:val="004B65EC"/>
    <w:rsid w:val="004B6B13"/>
    <w:rsid w:val="004B6C55"/>
    <w:rsid w:val="004B747B"/>
    <w:rsid w:val="004B77E6"/>
    <w:rsid w:val="004C05CA"/>
    <w:rsid w:val="004C10C6"/>
    <w:rsid w:val="004C1B27"/>
    <w:rsid w:val="004C1BCC"/>
    <w:rsid w:val="004C24A5"/>
    <w:rsid w:val="004C2824"/>
    <w:rsid w:val="004C29ED"/>
    <w:rsid w:val="004C2AC0"/>
    <w:rsid w:val="004C3531"/>
    <w:rsid w:val="004C3A22"/>
    <w:rsid w:val="004C439A"/>
    <w:rsid w:val="004C439B"/>
    <w:rsid w:val="004C4FC6"/>
    <w:rsid w:val="004C506C"/>
    <w:rsid w:val="004C516D"/>
    <w:rsid w:val="004C51B6"/>
    <w:rsid w:val="004C630F"/>
    <w:rsid w:val="004C6689"/>
    <w:rsid w:val="004C6F8D"/>
    <w:rsid w:val="004C7075"/>
    <w:rsid w:val="004C74E2"/>
    <w:rsid w:val="004C75A2"/>
    <w:rsid w:val="004C77E7"/>
    <w:rsid w:val="004C7B65"/>
    <w:rsid w:val="004D141F"/>
    <w:rsid w:val="004D1629"/>
    <w:rsid w:val="004D21DC"/>
    <w:rsid w:val="004D2B39"/>
    <w:rsid w:val="004D2F90"/>
    <w:rsid w:val="004D2FFD"/>
    <w:rsid w:val="004D3D2D"/>
    <w:rsid w:val="004D4146"/>
    <w:rsid w:val="004D49B0"/>
    <w:rsid w:val="004D4D64"/>
    <w:rsid w:val="004D4F7B"/>
    <w:rsid w:val="004D52FA"/>
    <w:rsid w:val="004D61DF"/>
    <w:rsid w:val="004D62D2"/>
    <w:rsid w:val="004D6DD7"/>
    <w:rsid w:val="004D7751"/>
    <w:rsid w:val="004D79E2"/>
    <w:rsid w:val="004E0215"/>
    <w:rsid w:val="004E02F4"/>
    <w:rsid w:val="004E0F41"/>
    <w:rsid w:val="004E0FE6"/>
    <w:rsid w:val="004E1AF3"/>
    <w:rsid w:val="004E2876"/>
    <w:rsid w:val="004E2894"/>
    <w:rsid w:val="004E2A0F"/>
    <w:rsid w:val="004E2DDB"/>
    <w:rsid w:val="004E30C5"/>
    <w:rsid w:val="004E33BA"/>
    <w:rsid w:val="004E3500"/>
    <w:rsid w:val="004E38CE"/>
    <w:rsid w:val="004E3DD7"/>
    <w:rsid w:val="004E48F5"/>
    <w:rsid w:val="004E4BB5"/>
    <w:rsid w:val="004E4F12"/>
    <w:rsid w:val="004E5064"/>
    <w:rsid w:val="004E5070"/>
    <w:rsid w:val="004E5AC4"/>
    <w:rsid w:val="004E5C4A"/>
    <w:rsid w:val="004E72C1"/>
    <w:rsid w:val="004E7426"/>
    <w:rsid w:val="004E7B3B"/>
    <w:rsid w:val="004F027B"/>
    <w:rsid w:val="004F0B6B"/>
    <w:rsid w:val="004F1122"/>
    <w:rsid w:val="004F2C47"/>
    <w:rsid w:val="004F3717"/>
    <w:rsid w:val="004F4112"/>
    <w:rsid w:val="004F42E3"/>
    <w:rsid w:val="004F4426"/>
    <w:rsid w:val="004F5471"/>
    <w:rsid w:val="004F5715"/>
    <w:rsid w:val="004F5794"/>
    <w:rsid w:val="004F6438"/>
    <w:rsid w:val="004F678F"/>
    <w:rsid w:val="004F6ACF"/>
    <w:rsid w:val="004F6D9A"/>
    <w:rsid w:val="004F73C8"/>
    <w:rsid w:val="004F788D"/>
    <w:rsid w:val="00500080"/>
    <w:rsid w:val="005009BE"/>
    <w:rsid w:val="005011F3"/>
    <w:rsid w:val="005027D6"/>
    <w:rsid w:val="00502A77"/>
    <w:rsid w:val="0050308D"/>
    <w:rsid w:val="005030CA"/>
    <w:rsid w:val="00503455"/>
    <w:rsid w:val="0050379A"/>
    <w:rsid w:val="00503979"/>
    <w:rsid w:val="00503AE3"/>
    <w:rsid w:val="00503BFE"/>
    <w:rsid w:val="00503F31"/>
    <w:rsid w:val="005041F6"/>
    <w:rsid w:val="00504318"/>
    <w:rsid w:val="00504355"/>
    <w:rsid w:val="00504C7C"/>
    <w:rsid w:val="00505132"/>
    <w:rsid w:val="005052BD"/>
    <w:rsid w:val="00506D6C"/>
    <w:rsid w:val="0050794B"/>
    <w:rsid w:val="00507C4E"/>
    <w:rsid w:val="00510390"/>
    <w:rsid w:val="00510911"/>
    <w:rsid w:val="00510EB1"/>
    <w:rsid w:val="00510F13"/>
    <w:rsid w:val="0051107D"/>
    <w:rsid w:val="00511BF6"/>
    <w:rsid w:val="00511F35"/>
    <w:rsid w:val="00513B77"/>
    <w:rsid w:val="00513C55"/>
    <w:rsid w:val="005142B1"/>
    <w:rsid w:val="00515011"/>
    <w:rsid w:val="00515201"/>
    <w:rsid w:val="00515AD2"/>
    <w:rsid w:val="00515D46"/>
    <w:rsid w:val="00515ECA"/>
    <w:rsid w:val="00516793"/>
    <w:rsid w:val="00516B33"/>
    <w:rsid w:val="00516F58"/>
    <w:rsid w:val="005173F4"/>
    <w:rsid w:val="005176FD"/>
    <w:rsid w:val="00517A01"/>
    <w:rsid w:val="00517DDC"/>
    <w:rsid w:val="00520142"/>
    <w:rsid w:val="00520748"/>
    <w:rsid w:val="00520C4D"/>
    <w:rsid w:val="00520C52"/>
    <w:rsid w:val="00520FE4"/>
    <w:rsid w:val="00521CA1"/>
    <w:rsid w:val="0052214A"/>
    <w:rsid w:val="005221D2"/>
    <w:rsid w:val="005225E7"/>
    <w:rsid w:val="005226A1"/>
    <w:rsid w:val="005228EB"/>
    <w:rsid w:val="005229A2"/>
    <w:rsid w:val="00523182"/>
    <w:rsid w:val="00525694"/>
    <w:rsid w:val="00525928"/>
    <w:rsid w:val="00526074"/>
    <w:rsid w:val="00526C1A"/>
    <w:rsid w:val="00526C83"/>
    <w:rsid w:val="00527192"/>
    <w:rsid w:val="0052767F"/>
    <w:rsid w:val="00527B27"/>
    <w:rsid w:val="00527B80"/>
    <w:rsid w:val="00527E00"/>
    <w:rsid w:val="00530036"/>
    <w:rsid w:val="00530B91"/>
    <w:rsid w:val="0053123D"/>
    <w:rsid w:val="00532C30"/>
    <w:rsid w:val="00532E77"/>
    <w:rsid w:val="0053352C"/>
    <w:rsid w:val="0053394D"/>
    <w:rsid w:val="00533BDD"/>
    <w:rsid w:val="005349F1"/>
    <w:rsid w:val="00534BB9"/>
    <w:rsid w:val="00535F67"/>
    <w:rsid w:val="0053606F"/>
    <w:rsid w:val="00536077"/>
    <w:rsid w:val="00537101"/>
    <w:rsid w:val="00537320"/>
    <w:rsid w:val="0053739B"/>
    <w:rsid w:val="005377F5"/>
    <w:rsid w:val="00537D55"/>
    <w:rsid w:val="00540072"/>
    <w:rsid w:val="00540099"/>
    <w:rsid w:val="005409D3"/>
    <w:rsid w:val="005415F5"/>
    <w:rsid w:val="0054163D"/>
    <w:rsid w:val="00541ED4"/>
    <w:rsid w:val="00542207"/>
    <w:rsid w:val="00543357"/>
    <w:rsid w:val="00543C23"/>
    <w:rsid w:val="00543C24"/>
    <w:rsid w:val="00543C41"/>
    <w:rsid w:val="00543D55"/>
    <w:rsid w:val="0054404A"/>
    <w:rsid w:val="00545A54"/>
    <w:rsid w:val="00546ACC"/>
    <w:rsid w:val="00547CD8"/>
    <w:rsid w:val="00550C5F"/>
    <w:rsid w:val="00550DE2"/>
    <w:rsid w:val="005514D9"/>
    <w:rsid w:val="00551D4A"/>
    <w:rsid w:val="005523BA"/>
    <w:rsid w:val="00552565"/>
    <w:rsid w:val="005525D8"/>
    <w:rsid w:val="00552BF8"/>
    <w:rsid w:val="00552ED5"/>
    <w:rsid w:val="005532A0"/>
    <w:rsid w:val="005536A0"/>
    <w:rsid w:val="00553B4F"/>
    <w:rsid w:val="00553C16"/>
    <w:rsid w:val="00553C6C"/>
    <w:rsid w:val="00554372"/>
    <w:rsid w:val="005547D6"/>
    <w:rsid w:val="00554B0D"/>
    <w:rsid w:val="00554BCB"/>
    <w:rsid w:val="00554CF7"/>
    <w:rsid w:val="00554D25"/>
    <w:rsid w:val="005557DC"/>
    <w:rsid w:val="00555CE5"/>
    <w:rsid w:val="005560A4"/>
    <w:rsid w:val="00556902"/>
    <w:rsid w:val="00556E7F"/>
    <w:rsid w:val="00557008"/>
    <w:rsid w:val="005570D1"/>
    <w:rsid w:val="005571DB"/>
    <w:rsid w:val="005577BC"/>
    <w:rsid w:val="00560242"/>
    <w:rsid w:val="0056056F"/>
    <w:rsid w:val="0056160D"/>
    <w:rsid w:val="00562373"/>
    <w:rsid w:val="005624AD"/>
    <w:rsid w:val="00562535"/>
    <w:rsid w:val="00563419"/>
    <w:rsid w:val="00563805"/>
    <w:rsid w:val="00563FA6"/>
    <w:rsid w:val="0056401B"/>
    <w:rsid w:val="005643C0"/>
    <w:rsid w:val="005649F4"/>
    <w:rsid w:val="00564A87"/>
    <w:rsid w:val="00564D72"/>
    <w:rsid w:val="005651A6"/>
    <w:rsid w:val="00566125"/>
    <w:rsid w:val="005668B5"/>
    <w:rsid w:val="0056719A"/>
    <w:rsid w:val="005677FA"/>
    <w:rsid w:val="0056798D"/>
    <w:rsid w:val="00567EB0"/>
    <w:rsid w:val="005701F6"/>
    <w:rsid w:val="00570CBF"/>
    <w:rsid w:val="00570D44"/>
    <w:rsid w:val="00571217"/>
    <w:rsid w:val="0057125E"/>
    <w:rsid w:val="0057260D"/>
    <w:rsid w:val="00572942"/>
    <w:rsid w:val="00572DB5"/>
    <w:rsid w:val="00573932"/>
    <w:rsid w:val="00573E11"/>
    <w:rsid w:val="00573E7C"/>
    <w:rsid w:val="0057413D"/>
    <w:rsid w:val="005744EC"/>
    <w:rsid w:val="005749C9"/>
    <w:rsid w:val="00574FAD"/>
    <w:rsid w:val="0057540D"/>
    <w:rsid w:val="00575886"/>
    <w:rsid w:val="0057672D"/>
    <w:rsid w:val="00576AF8"/>
    <w:rsid w:val="00576CD7"/>
    <w:rsid w:val="00577427"/>
    <w:rsid w:val="00577E05"/>
    <w:rsid w:val="00577E97"/>
    <w:rsid w:val="00580272"/>
    <w:rsid w:val="00580571"/>
    <w:rsid w:val="005805BD"/>
    <w:rsid w:val="00580833"/>
    <w:rsid w:val="00580B83"/>
    <w:rsid w:val="00581706"/>
    <w:rsid w:val="00581AE3"/>
    <w:rsid w:val="00582898"/>
    <w:rsid w:val="00582994"/>
    <w:rsid w:val="00582A21"/>
    <w:rsid w:val="00583BB7"/>
    <w:rsid w:val="00583CF5"/>
    <w:rsid w:val="00584CFB"/>
    <w:rsid w:val="00585811"/>
    <w:rsid w:val="005861A0"/>
    <w:rsid w:val="005862E6"/>
    <w:rsid w:val="0058632F"/>
    <w:rsid w:val="00586688"/>
    <w:rsid w:val="005869D5"/>
    <w:rsid w:val="00586CF6"/>
    <w:rsid w:val="00586D73"/>
    <w:rsid w:val="00587537"/>
    <w:rsid w:val="00587550"/>
    <w:rsid w:val="00587CCE"/>
    <w:rsid w:val="00590297"/>
    <w:rsid w:val="00590701"/>
    <w:rsid w:val="00591608"/>
    <w:rsid w:val="00591723"/>
    <w:rsid w:val="00591BDC"/>
    <w:rsid w:val="00591E5A"/>
    <w:rsid w:val="00592129"/>
    <w:rsid w:val="005924AD"/>
    <w:rsid w:val="00592E3E"/>
    <w:rsid w:val="005932DF"/>
    <w:rsid w:val="005933F4"/>
    <w:rsid w:val="005934CE"/>
    <w:rsid w:val="00593C42"/>
    <w:rsid w:val="00593C56"/>
    <w:rsid w:val="0059421C"/>
    <w:rsid w:val="0059429D"/>
    <w:rsid w:val="00594FCB"/>
    <w:rsid w:val="0059554F"/>
    <w:rsid w:val="005959DA"/>
    <w:rsid w:val="005959E9"/>
    <w:rsid w:val="00596A52"/>
    <w:rsid w:val="005971C2"/>
    <w:rsid w:val="005977A3"/>
    <w:rsid w:val="00597816"/>
    <w:rsid w:val="005A02C1"/>
    <w:rsid w:val="005A049E"/>
    <w:rsid w:val="005A1E2B"/>
    <w:rsid w:val="005A217C"/>
    <w:rsid w:val="005A2241"/>
    <w:rsid w:val="005A28B8"/>
    <w:rsid w:val="005A2DA7"/>
    <w:rsid w:val="005A3770"/>
    <w:rsid w:val="005A3A27"/>
    <w:rsid w:val="005A3B01"/>
    <w:rsid w:val="005A482B"/>
    <w:rsid w:val="005A550C"/>
    <w:rsid w:val="005A6B0E"/>
    <w:rsid w:val="005A6BA7"/>
    <w:rsid w:val="005A6D81"/>
    <w:rsid w:val="005A6FD7"/>
    <w:rsid w:val="005A707F"/>
    <w:rsid w:val="005A7D42"/>
    <w:rsid w:val="005B0524"/>
    <w:rsid w:val="005B082C"/>
    <w:rsid w:val="005B0D80"/>
    <w:rsid w:val="005B1096"/>
    <w:rsid w:val="005B289C"/>
    <w:rsid w:val="005B338F"/>
    <w:rsid w:val="005B35D6"/>
    <w:rsid w:val="005B44F9"/>
    <w:rsid w:val="005B4756"/>
    <w:rsid w:val="005B4E9E"/>
    <w:rsid w:val="005B5138"/>
    <w:rsid w:val="005B531E"/>
    <w:rsid w:val="005B5E88"/>
    <w:rsid w:val="005B6EFE"/>
    <w:rsid w:val="005B7027"/>
    <w:rsid w:val="005C004F"/>
    <w:rsid w:val="005C0386"/>
    <w:rsid w:val="005C03BE"/>
    <w:rsid w:val="005C072F"/>
    <w:rsid w:val="005C1766"/>
    <w:rsid w:val="005C18AF"/>
    <w:rsid w:val="005C2060"/>
    <w:rsid w:val="005C2CCE"/>
    <w:rsid w:val="005C3687"/>
    <w:rsid w:val="005C47A2"/>
    <w:rsid w:val="005C47AA"/>
    <w:rsid w:val="005C47F1"/>
    <w:rsid w:val="005C51B5"/>
    <w:rsid w:val="005C71C4"/>
    <w:rsid w:val="005C75BF"/>
    <w:rsid w:val="005C7B48"/>
    <w:rsid w:val="005C7EAB"/>
    <w:rsid w:val="005D04F3"/>
    <w:rsid w:val="005D089C"/>
    <w:rsid w:val="005D1033"/>
    <w:rsid w:val="005D1965"/>
    <w:rsid w:val="005D2486"/>
    <w:rsid w:val="005D2847"/>
    <w:rsid w:val="005D2905"/>
    <w:rsid w:val="005D2B94"/>
    <w:rsid w:val="005D385D"/>
    <w:rsid w:val="005D3F4A"/>
    <w:rsid w:val="005D4134"/>
    <w:rsid w:val="005D41E5"/>
    <w:rsid w:val="005D4745"/>
    <w:rsid w:val="005D54D2"/>
    <w:rsid w:val="005D64C0"/>
    <w:rsid w:val="005D6DD0"/>
    <w:rsid w:val="005D79FE"/>
    <w:rsid w:val="005D7C70"/>
    <w:rsid w:val="005D7CAD"/>
    <w:rsid w:val="005E0456"/>
    <w:rsid w:val="005E0775"/>
    <w:rsid w:val="005E086C"/>
    <w:rsid w:val="005E0DE2"/>
    <w:rsid w:val="005E1DA7"/>
    <w:rsid w:val="005E2AF3"/>
    <w:rsid w:val="005E3102"/>
    <w:rsid w:val="005E33BF"/>
    <w:rsid w:val="005E4231"/>
    <w:rsid w:val="005E437D"/>
    <w:rsid w:val="005E4435"/>
    <w:rsid w:val="005E476E"/>
    <w:rsid w:val="005E4C4F"/>
    <w:rsid w:val="005E4C8C"/>
    <w:rsid w:val="005E59D6"/>
    <w:rsid w:val="005E6119"/>
    <w:rsid w:val="005E6751"/>
    <w:rsid w:val="005E7106"/>
    <w:rsid w:val="005E7BE8"/>
    <w:rsid w:val="005F05F4"/>
    <w:rsid w:val="005F0AEE"/>
    <w:rsid w:val="005F0DED"/>
    <w:rsid w:val="005F1FA8"/>
    <w:rsid w:val="005F1FBA"/>
    <w:rsid w:val="005F230D"/>
    <w:rsid w:val="005F24E5"/>
    <w:rsid w:val="005F280C"/>
    <w:rsid w:val="005F29E5"/>
    <w:rsid w:val="005F2E42"/>
    <w:rsid w:val="005F37D9"/>
    <w:rsid w:val="005F3944"/>
    <w:rsid w:val="005F3955"/>
    <w:rsid w:val="005F3BDC"/>
    <w:rsid w:val="005F3F57"/>
    <w:rsid w:val="005F4BA7"/>
    <w:rsid w:val="005F53A1"/>
    <w:rsid w:val="005F5739"/>
    <w:rsid w:val="005F5A5F"/>
    <w:rsid w:val="005F5BF7"/>
    <w:rsid w:val="005F70AE"/>
    <w:rsid w:val="006000E8"/>
    <w:rsid w:val="006003F0"/>
    <w:rsid w:val="00600461"/>
    <w:rsid w:val="00601013"/>
    <w:rsid w:val="0060111B"/>
    <w:rsid w:val="00602218"/>
    <w:rsid w:val="00602445"/>
    <w:rsid w:val="00603848"/>
    <w:rsid w:val="00603F64"/>
    <w:rsid w:val="006043B3"/>
    <w:rsid w:val="00604E32"/>
    <w:rsid w:val="00605F9D"/>
    <w:rsid w:val="00606321"/>
    <w:rsid w:val="00606B5A"/>
    <w:rsid w:val="00606C4D"/>
    <w:rsid w:val="00607000"/>
    <w:rsid w:val="0060770A"/>
    <w:rsid w:val="00610FA4"/>
    <w:rsid w:val="00611080"/>
    <w:rsid w:val="00611764"/>
    <w:rsid w:val="006128BA"/>
    <w:rsid w:val="00612DC9"/>
    <w:rsid w:val="00612F0E"/>
    <w:rsid w:val="00614171"/>
    <w:rsid w:val="00614321"/>
    <w:rsid w:val="00614392"/>
    <w:rsid w:val="00614AE8"/>
    <w:rsid w:val="006153D5"/>
    <w:rsid w:val="00615585"/>
    <w:rsid w:val="00616A48"/>
    <w:rsid w:val="0061774F"/>
    <w:rsid w:val="00617B21"/>
    <w:rsid w:val="00620A2D"/>
    <w:rsid w:val="0062193A"/>
    <w:rsid w:val="00621A9B"/>
    <w:rsid w:val="00621B42"/>
    <w:rsid w:val="0062222E"/>
    <w:rsid w:val="006222A4"/>
    <w:rsid w:val="00623D19"/>
    <w:rsid w:val="00624087"/>
    <w:rsid w:val="0062514D"/>
    <w:rsid w:val="006253D9"/>
    <w:rsid w:val="00625819"/>
    <w:rsid w:val="00625D1A"/>
    <w:rsid w:val="00626709"/>
    <w:rsid w:val="00626905"/>
    <w:rsid w:val="006272BB"/>
    <w:rsid w:val="0062783B"/>
    <w:rsid w:val="0062796D"/>
    <w:rsid w:val="00627A16"/>
    <w:rsid w:val="00630636"/>
    <w:rsid w:val="006306B8"/>
    <w:rsid w:val="006309C4"/>
    <w:rsid w:val="00630F5C"/>
    <w:rsid w:val="00631A4B"/>
    <w:rsid w:val="00632ACB"/>
    <w:rsid w:val="00633A45"/>
    <w:rsid w:val="00633E95"/>
    <w:rsid w:val="006345E3"/>
    <w:rsid w:val="00635A36"/>
    <w:rsid w:val="00635AA5"/>
    <w:rsid w:val="00635C17"/>
    <w:rsid w:val="00636B94"/>
    <w:rsid w:val="00636DCD"/>
    <w:rsid w:val="00636EEB"/>
    <w:rsid w:val="00637483"/>
    <w:rsid w:val="00637689"/>
    <w:rsid w:val="006378EA"/>
    <w:rsid w:val="006379C2"/>
    <w:rsid w:val="0064019C"/>
    <w:rsid w:val="0064083C"/>
    <w:rsid w:val="00640E35"/>
    <w:rsid w:val="00641005"/>
    <w:rsid w:val="006412BD"/>
    <w:rsid w:val="0064169D"/>
    <w:rsid w:val="006422D6"/>
    <w:rsid w:val="0064325D"/>
    <w:rsid w:val="006433AD"/>
    <w:rsid w:val="00643D4B"/>
    <w:rsid w:val="006446F6"/>
    <w:rsid w:val="0064539F"/>
    <w:rsid w:val="00646268"/>
    <w:rsid w:val="006466D1"/>
    <w:rsid w:val="00646B3C"/>
    <w:rsid w:val="0064763B"/>
    <w:rsid w:val="00650F02"/>
    <w:rsid w:val="0065189C"/>
    <w:rsid w:val="00653937"/>
    <w:rsid w:val="0065464B"/>
    <w:rsid w:val="00654B2A"/>
    <w:rsid w:val="00654D52"/>
    <w:rsid w:val="00654FA7"/>
    <w:rsid w:val="006553DD"/>
    <w:rsid w:val="006556C3"/>
    <w:rsid w:val="00655BCC"/>
    <w:rsid w:val="00655D8D"/>
    <w:rsid w:val="00655F78"/>
    <w:rsid w:val="006566B6"/>
    <w:rsid w:val="00656B34"/>
    <w:rsid w:val="00656D24"/>
    <w:rsid w:val="00656DC3"/>
    <w:rsid w:val="00657C61"/>
    <w:rsid w:val="00660665"/>
    <w:rsid w:val="00660CEA"/>
    <w:rsid w:val="00663D1E"/>
    <w:rsid w:val="00663D3F"/>
    <w:rsid w:val="00663F13"/>
    <w:rsid w:val="006645C7"/>
    <w:rsid w:val="00664A69"/>
    <w:rsid w:val="00664BB4"/>
    <w:rsid w:val="006650C9"/>
    <w:rsid w:val="00665B00"/>
    <w:rsid w:val="00666BE3"/>
    <w:rsid w:val="00667DF7"/>
    <w:rsid w:val="006713B2"/>
    <w:rsid w:val="0067175A"/>
    <w:rsid w:val="006717C6"/>
    <w:rsid w:val="00672757"/>
    <w:rsid w:val="0067296F"/>
    <w:rsid w:val="0067339A"/>
    <w:rsid w:val="006736EA"/>
    <w:rsid w:val="00673781"/>
    <w:rsid w:val="006737DA"/>
    <w:rsid w:val="006737DE"/>
    <w:rsid w:val="00673B4A"/>
    <w:rsid w:val="00673B5B"/>
    <w:rsid w:val="00673E45"/>
    <w:rsid w:val="00674761"/>
    <w:rsid w:val="006751CD"/>
    <w:rsid w:val="00675575"/>
    <w:rsid w:val="00675C03"/>
    <w:rsid w:val="00675D27"/>
    <w:rsid w:val="00676DC6"/>
    <w:rsid w:val="00676F6D"/>
    <w:rsid w:val="006776FD"/>
    <w:rsid w:val="00677C6B"/>
    <w:rsid w:val="00680244"/>
    <w:rsid w:val="006802BA"/>
    <w:rsid w:val="006807BB"/>
    <w:rsid w:val="00681080"/>
    <w:rsid w:val="006811E9"/>
    <w:rsid w:val="00681238"/>
    <w:rsid w:val="00682099"/>
    <w:rsid w:val="00682671"/>
    <w:rsid w:val="00682D83"/>
    <w:rsid w:val="006838E7"/>
    <w:rsid w:val="00684080"/>
    <w:rsid w:val="006845F8"/>
    <w:rsid w:val="00684C17"/>
    <w:rsid w:val="00685984"/>
    <w:rsid w:val="00685C62"/>
    <w:rsid w:val="00685EBB"/>
    <w:rsid w:val="00686349"/>
    <w:rsid w:val="0068644B"/>
    <w:rsid w:val="00687483"/>
    <w:rsid w:val="00690B91"/>
    <w:rsid w:val="00690C88"/>
    <w:rsid w:val="00691908"/>
    <w:rsid w:val="006919BA"/>
    <w:rsid w:val="006919FC"/>
    <w:rsid w:val="00691B8A"/>
    <w:rsid w:val="00691F03"/>
    <w:rsid w:val="00692BE9"/>
    <w:rsid w:val="00693C23"/>
    <w:rsid w:val="00694D49"/>
    <w:rsid w:val="00695308"/>
    <w:rsid w:val="006953F5"/>
    <w:rsid w:val="00695B7C"/>
    <w:rsid w:val="00695BAB"/>
    <w:rsid w:val="00695BE4"/>
    <w:rsid w:val="00695EA4"/>
    <w:rsid w:val="00695F16"/>
    <w:rsid w:val="0069646F"/>
    <w:rsid w:val="00696B7E"/>
    <w:rsid w:val="006972E3"/>
    <w:rsid w:val="006A012C"/>
    <w:rsid w:val="006A0FE8"/>
    <w:rsid w:val="006A1119"/>
    <w:rsid w:val="006A1158"/>
    <w:rsid w:val="006A1517"/>
    <w:rsid w:val="006A284B"/>
    <w:rsid w:val="006A29D0"/>
    <w:rsid w:val="006A2CB1"/>
    <w:rsid w:val="006A3302"/>
    <w:rsid w:val="006A4C4D"/>
    <w:rsid w:val="006A590C"/>
    <w:rsid w:val="006A5D11"/>
    <w:rsid w:val="006A5E75"/>
    <w:rsid w:val="006A69DF"/>
    <w:rsid w:val="006A6A88"/>
    <w:rsid w:val="006A704A"/>
    <w:rsid w:val="006A74C5"/>
    <w:rsid w:val="006B0536"/>
    <w:rsid w:val="006B0C6A"/>
    <w:rsid w:val="006B0EA9"/>
    <w:rsid w:val="006B1315"/>
    <w:rsid w:val="006B2364"/>
    <w:rsid w:val="006B2F0A"/>
    <w:rsid w:val="006B4265"/>
    <w:rsid w:val="006B4E80"/>
    <w:rsid w:val="006B574C"/>
    <w:rsid w:val="006B6206"/>
    <w:rsid w:val="006B65DA"/>
    <w:rsid w:val="006B718F"/>
    <w:rsid w:val="006B7C9D"/>
    <w:rsid w:val="006B7E6E"/>
    <w:rsid w:val="006C0AED"/>
    <w:rsid w:val="006C14A1"/>
    <w:rsid w:val="006C2F45"/>
    <w:rsid w:val="006C33C0"/>
    <w:rsid w:val="006C3ED4"/>
    <w:rsid w:val="006C4630"/>
    <w:rsid w:val="006C48BA"/>
    <w:rsid w:val="006C50E3"/>
    <w:rsid w:val="006C54D5"/>
    <w:rsid w:val="006C5C96"/>
    <w:rsid w:val="006C6536"/>
    <w:rsid w:val="006C6DA6"/>
    <w:rsid w:val="006C6FD8"/>
    <w:rsid w:val="006C728A"/>
    <w:rsid w:val="006D0252"/>
    <w:rsid w:val="006D242B"/>
    <w:rsid w:val="006D24B0"/>
    <w:rsid w:val="006D2F83"/>
    <w:rsid w:val="006D3213"/>
    <w:rsid w:val="006D3E79"/>
    <w:rsid w:val="006D46FE"/>
    <w:rsid w:val="006D4865"/>
    <w:rsid w:val="006D6B0F"/>
    <w:rsid w:val="006D6EA9"/>
    <w:rsid w:val="006D7293"/>
    <w:rsid w:val="006D7AB4"/>
    <w:rsid w:val="006D7DF5"/>
    <w:rsid w:val="006D7F44"/>
    <w:rsid w:val="006E0CA7"/>
    <w:rsid w:val="006E0EBA"/>
    <w:rsid w:val="006E1124"/>
    <w:rsid w:val="006E188B"/>
    <w:rsid w:val="006E2090"/>
    <w:rsid w:val="006E2886"/>
    <w:rsid w:val="006E2C85"/>
    <w:rsid w:val="006E3343"/>
    <w:rsid w:val="006E335F"/>
    <w:rsid w:val="006E3420"/>
    <w:rsid w:val="006E38F2"/>
    <w:rsid w:val="006E49AD"/>
    <w:rsid w:val="006E4CFC"/>
    <w:rsid w:val="006E4DEE"/>
    <w:rsid w:val="006E4FFA"/>
    <w:rsid w:val="006E5D47"/>
    <w:rsid w:val="006E5DC6"/>
    <w:rsid w:val="006E6DBF"/>
    <w:rsid w:val="006E734A"/>
    <w:rsid w:val="006E7EF9"/>
    <w:rsid w:val="006F02BA"/>
    <w:rsid w:val="006F02E8"/>
    <w:rsid w:val="006F0EA6"/>
    <w:rsid w:val="006F135A"/>
    <w:rsid w:val="006F1E44"/>
    <w:rsid w:val="006F28EA"/>
    <w:rsid w:val="006F49A8"/>
    <w:rsid w:val="006F53D9"/>
    <w:rsid w:val="006F691F"/>
    <w:rsid w:val="0070075A"/>
    <w:rsid w:val="00701525"/>
    <w:rsid w:val="0070177B"/>
    <w:rsid w:val="00702AA6"/>
    <w:rsid w:val="00702DBB"/>
    <w:rsid w:val="007031D7"/>
    <w:rsid w:val="007035A4"/>
    <w:rsid w:val="00703D1E"/>
    <w:rsid w:val="00704D33"/>
    <w:rsid w:val="00706A35"/>
    <w:rsid w:val="00707D5E"/>
    <w:rsid w:val="00710048"/>
    <w:rsid w:val="007106BA"/>
    <w:rsid w:val="00710A79"/>
    <w:rsid w:val="00710CAC"/>
    <w:rsid w:val="00711035"/>
    <w:rsid w:val="007111F9"/>
    <w:rsid w:val="007112CE"/>
    <w:rsid w:val="007119CB"/>
    <w:rsid w:val="00711B0C"/>
    <w:rsid w:val="00711DB1"/>
    <w:rsid w:val="00711E3E"/>
    <w:rsid w:val="00712171"/>
    <w:rsid w:val="007122E1"/>
    <w:rsid w:val="007125AB"/>
    <w:rsid w:val="00712F9D"/>
    <w:rsid w:val="007131B2"/>
    <w:rsid w:val="0071335A"/>
    <w:rsid w:val="007134D6"/>
    <w:rsid w:val="00713F2D"/>
    <w:rsid w:val="007149EB"/>
    <w:rsid w:val="00714A1C"/>
    <w:rsid w:val="00715461"/>
    <w:rsid w:val="00716B58"/>
    <w:rsid w:val="00716FF9"/>
    <w:rsid w:val="0071796B"/>
    <w:rsid w:val="00720927"/>
    <w:rsid w:val="00720D0B"/>
    <w:rsid w:val="00721242"/>
    <w:rsid w:val="00721512"/>
    <w:rsid w:val="00721A33"/>
    <w:rsid w:val="00721C63"/>
    <w:rsid w:val="00721CFE"/>
    <w:rsid w:val="007221D7"/>
    <w:rsid w:val="007224CB"/>
    <w:rsid w:val="0072398B"/>
    <w:rsid w:val="00724483"/>
    <w:rsid w:val="00724B14"/>
    <w:rsid w:val="00725818"/>
    <w:rsid w:val="00726322"/>
    <w:rsid w:val="007267DB"/>
    <w:rsid w:val="00726CBB"/>
    <w:rsid w:val="00726F14"/>
    <w:rsid w:val="00727083"/>
    <w:rsid w:val="007273B8"/>
    <w:rsid w:val="00730306"/>
    <w:rsid w:val="00730448"/>
    <w:rsid w:val="00730FC5"/>
    <w:rsid w:val="00731D9D"/>
    <w:rsid w:val="00731F9C"/>
    <w:rsid w:val="007321DA"/>
    <w:rsid w:val="00733466"/>
    <w:rsid w:val="00733766"/>
    <w:rsid w:val="00734125"/>
    <w:rsid w:val="00735443"/>
    <w:rsid w:val="00735993"/>
    <w:rsid w:val="00735D88"/>
    <w:rsid w:val="00736527"/>
    <w:rsid w:val="00736BEA"/>
    <w:rsid w:val="007374F6"/>
    <w:rsid w:val="0073792E"/>
    <w:rsid w:val="007413F1"/>
    <w:rsid w:val="007421B1"/>
    <w:rsid w:val="00742FB9"/>
    <w:rsid w:val="00743EC9"/>
    <w:rsid w:val="007443F1"/>
    <w:rsid w:val="007447CE"/>
    <w:rsid w:val="0074483A"/>
    <w:rsid w:val="00744970"/>
    <w:rsid w:val="007449C9"/>
    <w:rsid w:val="007449EF"/>
    <w:rsid w:val="00744FF8"/>
    <w:rsid w:val="00745C21"/>
    <w:rsid w:val="00746596"/>
    <w:rsid w:val="00747113"/>
    <w:rsid w:val="0074723D"/>
    <w:rsid w:val="007475B5"/>
    <w:rsid w:val="00747F82"/>
    <w:rsid w:val="007504B1"/>
    <w:rsid w:val="00750B20"/>
    <w:rsid w:val="00750C10"/>
    <w:rsid w:val="00750C5F"/>
    <w:rsid w:val="00751165"/>
    <w:rsid w:val="00751204"/>
    <w:rsid w:val="00751649"/>
    <w:rsid w:val="0075166B"/>
    <w:rsid w:val="00752137"/>
    <w:rsid w:val="00753342"/>
    <w:rsid w:val="00753919"/>
    <w:rsid w:val="00754864"/>
    <w:rsid w:val="00755238"/>
    <w:rsid w:val="0075562E"/>
    <w:rsid w:val="00755783"/>
    <w:rsid w:val="00755B29"/>
    <w:rsid w:val="007561D6"/>
    <w:rsid w:val="007567FE"/>
    <w:rsid w:val="0075718D"/>
    <w:rsid w:val="0075726A"/>
    <w:rsid w:val="007602C1"/>
    <w:rsid w:val="007604D6"/>
    <w:rsid w:val="00760909"/>
    <w:rsid w:val="007609E7"/>
    <w:rsid w:val="00760AD6"/>
    <w:rsid w:val="00760C5C"/>
    <w:rsid w:val="00761308"/>
    <w:rsid w:val="0076183D"/>
    <w:rsid w:val="00761B90"/>
    <w:rsid w:val="0076220D"/>
    <w:rsid w:val="007627CF"/>
    <w:rsid w:val="00762B75"/>
    <w:rsid w:val="00763949"/>
    <w:rsid w:val="007639BA"/>
    <w:rsid w:val="00764384"/>
    <w:rsid w:val="0076441A"/>
    <w:rsid w:val="00764A44"/>
    <w:rsid w:val="00764DA9"/>
    <w:rsid w:val="007668F6"/>
    <w:rsid w:val="007677FF"/>
    <w:rsid w:val="00767C59"/>
    <w:rsid w:val="0077001A"/>
    <w:rsid w:val="007705FB"/>
    <w:rsid w:val="0077090D"/>
    <w:rsid w:val="00770A63"/>
    <w:rsid w:val="00770BD8"/>
    <w:rsid w:val="007714BE"/>
    <w:rsid w:val="00771A2A"/>
    <w:rsid w:val="00771C67"/>
    <w:rsid w:val="00771F3B"/>
    <w:rsid w:val="007721ED"/>
    <w:rsid w:val="007723DC"/>
    <w:rsid w:val="00772B00"/>
    <w:rsid w:val="007731AD"/>
    <w:rsid w:val="0077386F"/>
    <w:rsid w:val="00774910"/>
    <w:rsid w:val="00774A15"/>
    <w:rsid w:val="00774A28"/>
    <w:rsid w:val="00774FA8"/>
    <w:rsid w:val="00775F8E"/>
    <w:rsid w:val="0077657D"/>
    <w:rsid w:val="0077663D"/>
    <w:rsid w:val="0077729B"/>
    <w:rsid w:val="00777840"/>
    <w:rsid w:val="00777EA3"/>
    <w:rsid w:val="0078046E"/>
    <w:rsid w:val="00780CAD"/>
    <w:rsid w:val="00781C95"/>
    <w:rsid w:val="00781ED4"/>
    <w:rsid w:val="007826B3"/>
    <w:rsid w:val="007827F3"/>
    <w:rsid w:val="0078281A"/>
    <w:rsid w:val="007832E2"/>
    <w:rsid w:val="007832FE"/>
    <w:rsid w:val="007834F2"/>
    <w:rsid w:val="007838EB"/>
    <w:rsid w:val="007840D4"/>
    <w:rsid w:val="00784221"/>
    <w:rsid w:val="00784DCD"/>
    <w:rsid w:val="00784E8A"/>
    <w:rsid w:val="00784FC1"/>
    <w:rsid w:val="00785ACA"/>
    <w:rsid w:val="00785B42"/>
    <w:rsid w:val="00785C36"/>
    <w:rsid w:val="00785C56"/>
    <w:rsid w:val="00785CD4"/>
    <w:rsid w:val="00785CDD"/>
    <w:rsid w:val="00787038"/>
    <w:rsid w:val="00787965"/>
    <w:rsid w:val="00787AC3"/>
    <w:rsid w:val="007911A1"/>
    <w:rsid w:val="00791540"/>
    <w:rsid w:val="00791A6A"/>
    <w:rsid w:val="00791F2B"/>
    <w:rsid w:val="00792162"/>
    <w:rsid w:val="007923BD"/>
    <w:rsid w:val="00792AAE"/>
    <w:rsid w:val="00792F0E"/>
    <w:rsid w:val="007930CD"/>
    <w:rsid w:val="0079331B"/>
    <w:rsid w:val="0079338D"/>
    <w:rsid w:val="00794065"/>
    <w:rsid w:val="007940D5"/>
    <w:rsid w:val="007942F6"/>
    <w:rsid w:val="0079471C"/>
    <w:rsid w:val="00794BD4"/>
    <w:rsid w:val="0079511D"/>
    <w:rsid w:val="0079520A"/>
    <w:rsid w:val="007953BB"/>
    <w:rsid w:val="007955DF"/>
    <w:rsid w:val="00796215"/>
    <w:rsid w:val="00796585"/>
    <w:rsid w:val="007975C5"/>
    <w:rsid w:val="007A1E07"/>
    <w:rsid w:val="007A2499"/>
    <w:rsid w:val="007A2A48"/>
    <w:rsid w:val="007A2B43"/>
    <w:rsid w:val="007A32B7"/>
    <w:rsid w:val="007A34CA"/>
    <w:rsid w:val="007A352D"/>
    <w:rsid w:val="007A394D"/>
    <w:rsid w:val="007A3A6B"/>
    <w:rsid w:val="007A3DE2"/>
    <w:rsid w:val="007A461D"/>
    <w:rsid w:val="007A4AE6"/>
    <w:rsid w:val="007A4D59"/>
    <w:rsid w:val="007A683B"/>
    <w:rsid w:val="007A7189"/>
    <w:rsid w:val="007A76AB"/>
    <w:rsid w:val="007B0140"/>
    <w:rsid w:val="007B0572"/>
    <w:rsid w:val="007B12AE"/>
    <w:rsid w:val="007B1C68"/>
    <w:rsid w:val="007B1C7F"/>
    <w:rsid w:val="007B1CCA"/>
    <w:rsid w:val="007B3178"/>
    <w:rsid w:val="007B34BE"/>
    <w:rsid w:val="007B3AD3"/>
    <w:rsid w:val="007B425B"/>
    <w:rsid w:val="007B44D8"/>
    <w:rsid w:val="007B4771"/>
    <w:rsid w:val="007B56F4"/>
    <w:rsid w:val="007B5C86"/>
    <w:rsid w:val="007B6FD6"/>
    <w:rsid w:val="007B7556"/>
    <w:rsid w:val="007B78D6"/>
    <w:rsid w:val="007B7B96"/>
    <w:rsid w:val="007B7F3D"/>
    <w:rsid w:val="007C0D6C"/>
    <w:rsid w:val="007C138C"/>
    <w:rsid w:val="007C155A"/>
    <w:rsid w:val="007C2007"/>
    <w:rsid w:val="007C2234"/>
    <w:rsid w:val="007C243E"/>
    <w:rsid w:val="007C2673"/>
    <w:rsid w:val="007C2B94"/>
    <w:rsid w:val="007C2C5B"/>
    <w:rsid w:val="007C2F04"/>
    <w:rsid w:val="007C331A"/>
    <w:rsid w:val="007C3904"/>
    <w:rsid w:val="007C3A67"/>
    <w:rsid w:val="007C3F91"/>
    <w:rsid w:val="007C42D7"/>
    <w:rsid w:val="007C4730"/>
    <w:rsid w:val="007C4ADD"/>
    <w:rsid w:val="007C5EE3"/>
    <w:rsid w:val="007C632D"/>
    <w:rsid w:val="007C72BB"/>
    <w:rsid w:val="007C7958"/>
    <w:rsid w:val="007D0EC4"/>
    <w:rsid w:val="007D129B"/>
    <w:rsid w:val="007D1881"/>
    <w:rsid w:val="007D19E3"/>
    <w:rsid w:val="007D29AB"/>
    <w:rsid w:val="007D39AE"/>
    <w:rsid w:val="007D3A61"/>
    <w:rsid w:val="007D3E3D"/>
    <w:rsid w:val="007D41E1"/>
    <w:rsid w:val="007D4B54"/>
    <w:rsid w:val="007D592C"/>
    <w:rsid w:val="007D5C38"/>
    <w:rsid w:val="007D678F"/>
    <w:rsid w:val="007D6B04"/>
    <w:rsid w:val="007D6F77"/>
    <w:rsid w:val="007D748C"/>
    <w:rsid w:val="007D778D"/>
    <w:rsid w:val="007D7D29"/>
    <w:rsid w:val="007D7EE1"/>
    <w:rsid w:val="007E07C2"/>
    <w:rsid w:val="007E0B1E"/>
    <w:rsid w:val="007E0C6D"/>
    <w:rsid w:val="007E1124"/>
    <w:rsid w:val="007E1125"/>
    <w:rsid w:val="007E1435"/>
    <w:rsid w:val="007E1446"/>
    <w:rsid w:val="007E2841"/>
    <w:rsid w:val="007E2FF8"/>
    <w:rsid w:val="007E35E9"/>
    <w:rsid w:val="007E44EE"/>
    <w:rsid w:val="007E4E1D"/>
    <w:rsid w:val="007E58A5"/>
    <w:rsid w:val="007E5C20"/>
    <w:rsid w:val="007E5FC9"/>
    <w:rsid w:val="007E6DC3"/>
    <w:rsid w:val="007E6FDE"/>
    <w:rsid w:val="007F0588"/>
    <w:rsid w:val="007F0F8B"/>
    <w:rsid w:val="007F153B"/>
    <w:rsid w:val="007F1929"/>
    <w:rsid w:val="007F1BAE"/>
    <w:rsid w:val="007F2A2F"/>
    <w:rsid w:val="007F3029"/>
    <w:rsid w:val="007F4940"/>
    <w:rsid w:val="007F4B8E"/>
    <w:rsid w:val="007F528F"/>
    <w:rsid w:val="007F54F6"/>
    <w:rsid w:val="007F5F24"/>
    <w:rsid w:val="007F6B0B"/>
    <w:rsid w:val="007F758A"/>
    <w:rsid w:val="007F7672"/>
    <w:rsid w:val="007F7A99"/>
    <w:rsid w:val="007F7E9B"/>
    <w:rsid w:val="00800B8B"/>
    <w:rsid w:val="00800CE9"/>
    <w:rsid w:val="00801507"/>
    <w:rsid w:val="00802AAE"/>
    <w:rsid w:val="00803285"/>
    <w:rsid w:val="00803DAC"/>
    <w:rsid w:val="0080423D"/>
    <w:rsid w:val="008043DF"/>
    <w:rsid w:val="00804667"/>
    <w:rsid w:val="0080496E"/>
    <w:rsid w:val="00804CAA"/>
    <w:rsid w:val="00805C85"/>
    <w:rsid w:val="00806608"/>
    <w:rsid w:val="00806FBB"/>
    <w:rsid w:val="00807475"/>
    <w:rsid w:val="008075AD"/>
    <w:rsid w:val="008077C0"/>
    <w:rsid w:val="00807D9E"/>
    <w:rsid w:val="0081033F"/>
    <w:rsid w:val="00810C9B"/>
    <w:rsid w:val="00810F00"/>
    <w:rsid w:val="0081141A"/>
    <w:rsid w:val="008116D7"/>
    <w:rsid w:val="00811982"/>
    <w:rsid w:val="00812659"/>
    <w:rsid w:val="008131FC"/>
    <w:rsid w:val="00813F59"/>
    <w:rsid w:val="00814151"/>
    <w:rsid w:val="008149BC"/>
    <w:rsid w:val="008150CA"/>
    <w:rsid w:val="00815564"/>
    <w:rsid w:val="00815692"/>
    <w:rsid w:val="00815B11"/>
    <w:rsid w:val="00815E46"/>
    <w:rsid w:val="00816ED3"/>
    <w:rsid w:val="008176FC"/>
    <w:rsid w:val="00817A1B"/>
    <w:rsid w:val="008206B2"/>
    <w:rsid w:val="00820A4C"/>
    <w:rsid w:val="008227ED"/>
    <w:rsid w:val="00823795"/>
    <w:rsid w:val="00824D5C"/>
    <w:rsid w:val="008260D5"/>
    <w:rsid w:val="00826481"/>
    <w:rsid w:val="0082662B"/>
    <w:rsid w:val="008267E4"/>
    <w:rsid w:val="008269E1"/>
    <w:rsid w:val="00826EAA"/>
    <w:rsid w:val="008272D5"/>
    <w:rsid w:val="00827564"/>
    <w:rsid w:val="0082774F"/>
    <w:rsid w:val="00827A82"/>
    <w:rsid w:val="00827AFA"/>
    <w:rsid w:val="00827B73"/>
    <w:rsid w:val="00827F78"/>
    <w:rsid w:val="00827FD5"/>
    <w:rsid w:val="0083081A"/>
    <w:rsid w:val="00830CD2"/>
    <w:rsid w:val="00830F66"/>
    <w:rsid w:val="00831CBE"/>
    <w:rsid w:val="008326E0"/>
    <w:rsid w:val="00832883"/>
    <w:rsid w:val="00833695"/>
    <w:rsid w:val="00833712"/>
    <w:rsid w:val="0083403C"/>
    <w:rsid w:val="00834181"/>
    <w:rsid w:val="00834799"/>
    <w:rsid w:val="008348A8"/>
    <w:rsid w:val="008352F1"/>
    <w:rsid w:val="00836DB3"/>
    <w:rsid w:val="00837308"/>
    <w:rsid w:val="008375A9"/>
    <w:rsid w:val="008376B4"/>
    <w:rsid w:val="00840801"/>
    <w:rsid w:val="00841010"/>
    <w:rsid w:val="0084117B"/>
    <w:rsid w:val="008413F4"/>
    <w:rsid w:val="00841434"/>
    <w:rsid w:val="00841810"/>
    <w:rsid w:val="008421A2"/>
    <w:rsid w:val="0084327F"/>
    <w:rsid w:val="0084336D"/>
    <w:rsid w:val="008439B2"/>
    <w:rsid w:val="00843C82"/>
    <w:rsid w:val="00843EEF"/>
    <w:rsid w:val="0084404B"/>
    <w:rsid w:val="00844966"/>
    <w:rsid w:val="008452A1"/>
    <w:rsid w:val="008454C1"/>
    <w:rsid w:val="0084557F"/>
    <w:rsid w:val="00845992"/>
    <w:rsid w:val="00845B26"/>
    <w:rsid w:val="00846CA2"/>
    <w:rsid w:val="00846DA9"/>
    <w:rsid w:val="00846E40"/>
    <w:rsid w:val="00846FF1"/>
    <w:rsid w:val="00847428"/>
    <w:rsid w:val="00847F8C"/>
    <w:rsid w:val="00850499"/>
    <w:rsid w:val="008507A1"/>
    <w:rsid w:val="00850B81"/>
    <w:rsid w:val="00850D30"/>
    <w:rsid w:val="00851E96"/>
    <w:rsid w:val="00852681"/>
    <w:rsid w:val="008542C3"/>
    <w:rsid w:val="00855676"/>
    <w:rsid w:val="00855E31"/>
    <w:rsid w:val="00856088"/>
    <w:rsid w:val="00856D6C"/>
    <w:rsid w:val="00857397"/>
    <w:rsid w:val="00857B43"/>
    <w:rsid w:val="00857C1A"/>
    <w:rsid w:val="00857D90"/>
    <w:rsid w:val="00860758"/>
    <w:rsid w:val="00861383"/>
    <w:rsid w:val="00863181"/>
    <w:rsid w:val="00864292"/>
    <w:rsid w:val="00865722"/>
    <w:rsid w:val="00866CC3"/>
    <w:rsid w:val="00866FF7"/>
    <w:rsid w:val="008706B4"/>
    <w:rsid w:val="0087083F"/>
    <w:rsid w:val="00870BFA"/>
    <w:rsid w:val="00870D2C"/>
    <w:rsid w:val="00870FDD"/>
    <w:rsid w:val="008718DF"/>
    <w:rsid w:val="00873F48"/>
    <w:rsid w:val="008741EE"/>
    <w:rsid w:val="00874651"/>
    <w:rsid w:val="00874C41"/>
    <w:rsid w:val="00874CFA"/>
    <w:rsid w:val="00876581"/>
    <w:rsid w:val="00876EE2"/>
    <w:rsid w:val="00876FED"/>
    <w:rsid w:val="0088035C"/>
    <w:rsid w:val="00880405"/>
    <w:rsid w:val="008806DE"/>
    <w:rsid w:val="00880788"/>
    <w:rsid w:val="00880CFB"/>
    <w:rsid w:val="00883083"/>
    <w:rsid w:val="0088390A"/>
    <w:rsid w:val="00883B48"/>
    <w:rsid w:val="00883C3F"/>
    <w:rsid w:val="0088426B"/>
    <w:rsid w:val="00884320"/>
    <w:rsid w:val="00884893"/>
    <w:rsid w:val="00884C31"/>
    <w:rsid w:val="00884F3E"/>
    <w:rsid w:val="00885082"/>
    <w:rsid w:val="0088534B"/>
    <w:rsid w:val="00885762"/>
    <w:rsid w:val="008860C6"/>
    <w:rsid w:val="008873A5"/>
    <w:rsid w:val="008873F1"/>
    <w:rsid w:val="00887DEC"/>
    <w:rsid w:val="008902F7"/>
    <w:rsid w:val="00891F9A"/>
    <w:rsid w:val="0089247F"/>
    <w:rsid w:val="008924B1"/>
    <w:rsid w:val="00892CF9"/>
    <w:rsid w:val="008931DD"/>
    <w:rsid w:val="0089341E"/>
    <w:rsid w:val="0089366F"/>
    <w:rsid w:val="00893ACC"/>
    <w:rsid w:val="00893D46"/>
    <w:rsid w:val="0089407B"/>
    <w:rsid w:val="00894406"/>
    <w:rsid w:val="00894FA4"/>
    <w:rsid w:val="00895172"/>
    <w:rsid w:val="00895781"/>
    <w:rsid w:val="00896195"/>
    <w:rsid w:val="008962D9"/>
    <w:rsid w:val="00896AC5"/>
    <w:rsid w:val="00897245"/>
    <w:rsid w:val="0089734E"/>
    <w:rsid w:val="008978D5"/>
    <w:rsid w:val="00897CDD"/>
    <w:rsid w:val="00897F02"/>
    <w:rsid w:val="00897F90"/>
    <w:rsid w:val="008A079B"/>
    <w:rsid w:val="008A1805"/>
    <w:rsid w:val="008A2195"/>
    <w:rsid w:val="008A2A02"/>
    <w:rsid w:val="008A331F"/>
    <w:rsid w:val="008A3DEF"/>
    <w:rsid w:val="008A4085"/>
    <w:rsid w:val="008A464E"/>
    <w:rsid w:val="008A4A23"/>
    <w:rsid w:val="008A4BE7"/>
    <w:rsid w:val="008A4FDF"/>
    <w:rsid w:val="008A507B"/>
    <w:rsid w:val="008A5450"/>
    <w:rsid w:val="008A560C"/>
    <w:rsid w:val="008A5773"/>
    <w:rsid w:val="008A5A96"/>
    <w:rsid w:val="008A63C6"/>
    <w:rsid w:val="008A66EE"/>
    <w:rsid w:val="008A6C48"/>
    <w:rsid w:val="008A708B"/>
    <w:rsid w:val="008B02DF"/>
    <w:rsid w:val="008B1221"/>
    <w:rsid w:val="008B1EAD"/>
    <w:rsid w:val="008B2C86"/>
    <w:rsid w:val="008B2E74"/>
    <w:rsid w:val="008B39EE"/>
    <w:rsid w:val="008B3D8D"/>
    <w:rsid w:val="008B4084"/>
    <w:rsid w:val="008B51BC"/>
    <w:rsid w:val="008B602F"/>
    <w:rsid w:val="008B6972"/>
    <w:rsid w:val="008B6F01"/>
    <w:rsid w:val="008B785F"/>
    <w:rsid w:val="008B791A"/>
    <w:rsid w:val="008B7F51"/>
    <w:rsid w:val="008C184B"/>
    <w:rsid w:val="008C1CAE"/>
    <w:rsid w:val="008C1D06"/>
    <w:rsid w:val="008C2274"/>
    <w:rsid w:val="008C24D0"/>
    <w:rsid w:val="008C282B"/>
    <w:rsid w:val="008C3C0F"/>
    <w:rsid w:val="008C3C14"/>
    <w:rsid w:val="008C3FF4"/>
    <w:rsid w:val="008C5917"/>
    <w:rsid w:val="008C59C0"/>
    <w:rsid w:val="008C6EA4"/>
    <w:rsid w:val="008C7807"/>
    <w:rsid w:val="008C7E39"/>
    <w:rsid w:val="008D092E"/>
    <w:rsid w:val="008D0CA0"/>
    <w:rsid w:val="008D1229"/>
    <w:rsid w:val="008D1C99"/>
    <w:rsid w:val="008D2BCB"/>
    <w:rsid w:val="008D3CA2"/>
    <w:rsid w:val="008D3D85"/>
    <w:rsid w:val="008D4DFA"/>
    <w:rsid w:val="008D5560"/>
    <w:rsid w:val="008D58A1"/>
    <w:rsid w:val="008D5C00"/>
    <w:rsid w:val="008D5C7C"/>
    <w:rsid w:val="008D5F12"/>
    <w:rsid w:val="008D65BD"/>
    <w:rsid w:val="008D673A"/>
    <w:rsid w:val="008D686B"/>
    <w:rsid w:val="008D686D"/>
    <w:rsid w:val="008D6F9A"/>
    <w:rsid w:val="008D7188"/>
    <w:rsid w:val="008D71B6"/>
    <w:rsid w:val="008D7338"/>
    <w:rsid w:val="008D73BD"/>
    <w:rsid w:val="008E06D0"/>
    <w:rsid w:val="008E1113"/>
    <w:rsid w:val="008E114E"/>
    <w:rsid w:val="008E11A0"/>
    <w:rsid w:val="008E1E89"/>
    <w:rsid w:val="008E31A7"/>
    <w:rsid w:val="008E36CD"/>
    <w:rsid w:val="008E39E5"/>
    <w:rsid w:val="008E4181"/>
    <w:rsid w:val="008E44B2"/>
    <w:rsid w:val="008E465A"/>
    <w:rsid w:val="008E4878"/>
    <w:rsid w:val="008E49CC"/>
    <w:rsid w:val="008E538C"/>
    <w:rsid w:val="008E5CDB"/>
    <w:rsid w:val="008E6240"/>
    <w:rsid w:val="008E6498"/>
    <w:rsid w:val="008E65F2"/>
    <w:rsid w:val="008E6A16"/>
    <w:rsid w:val="008E6A80"/>
    <w:rsid w:val="008E7C7B"/>
    <w:rsid w:val="008F0377"/>
    <w:rsid w:val="008F0683"/>
    <w:rsid w:val="008F1644"/>
    <w:rsid w:val="008F16E5"/>
    <w:rsid w:val="008F20DD"/>
    <w:rsid w:val="008F3DA2"/>
    <w:rsid w:val="008F4013"/>
    <w:rsid w:val="008F4498"/>
    <w:rsid w:val="008F6C0E"/>
    <w:rsid w:val="008F6FD3"/>
    <w:rsid w:val="008F721C"/>
    <w:rsid w:val="008F7683"/>
    <w:rsid w:val="008F7C16"/>
    <w:rsid w:val="009008EB"/>
    <w:rsid w:val="00900EB8"/>
    <w:rsid w:val="009012D6"/>
    <w:rsid w:val="00901E3B"/>
    <w:rsid w:val="00902440"/>
    <w:rsid w:val="009038BB"/>
    <w:rsid w:val="009049C2"/>
    <w:rsid w:val="00905FB3"/>
    <w:rsid w:val="009062C9"/>
    <w:rsid w:val="0090639D"/>
    <w:rsid w:val="00906EF3"/>
    <w:rsid w:val="009071E2"/>
    <w:rsid w:val="0090794F"/>
    <w:rsid w:val="00907FB9"/>
    <w:rsid w:val="009101D1"/>
    <w:rsid w:val="00910579"/>
    <w:rsid w:val="009109E0"/>
    <w:rsid w:val="009112C9"/>
    <w:rsid w:val="009115AB"/>
    <w:rsid w:val="00911C86"/>
    <w:rsid w:val="00912674"/>
    <w:rsid w:val="00912FAA"/>
    <w:rsid w:val="00913AA2"/>
    <w:rsid w:val="00914335"/>
    <w:rsid w:val="0091477C"/>
    <w:rsid w:val="0091488F"/>
    <w:rsid w:val="00914B4E"/>
    <w:rsid w:val="00915172"/>
    <w:rsid w:val="00915F71"/>
    <w:rsid w:val="00916DC1"/>
    <w:rsid w:val="009179D1"/>
    <w:rsid w:val="00920812"/>
    <w:rsid w:val="009216F0"/>
    <w:rsid w:val="00921B7A"/>
    <w:rsid w:val="00922F86"/>
    <w:rsid w:val="00923678"/>
    <w:rsid w:val="00923881"/>
    <w:rsid w:val="00924D2F"/>
    <w:rsid w:val="009257F0"/>
    <w:rsid w:val="00925AC9"/>
    <w:rsid w:val="00925C03"/>
    <w:rsid w:val="00925C1C"/>
    <w:rsid w:val="00925D34"/>
    <w:rsid w:val="00925D40"/>
    <w:rsid w:val="00925E0A"/>
    <w:rsid w:val="00925EC9"/>
    <w:rsid w:val="0092610C"/>
    <w:rsid w:val="00926178"/>
    <w:rsid w:val="009261BA"/>
    <w:rsid w:val="00926645"/>
    <w:rsid w:val="00926B99"/>
    <w:rsid w:val="00926BAD"/>
    <w:rsid w:val="00926C44"/>
    <w:rsid w:val="00927525"/>
    <w:rsid w:val="00930A25"/>
    <w:rsid w:val="00930EF7"/>
    <w:rsid w:val="00932308"/>
    <w:rsid w:val="009337CD"/>
    <w:rsid w:val="00933F22"/>
    <w:rsid w:val="00935155"/>
    <w:rsid w:val="00935361"/>
    <w:rsid w:val="009353FC"/>
    <w:rsid w:val="0093546B"/>
    <w:rsid w:val="0093682E"/>
    <w:rsid w:val="00936B52"/>
    <w:rsid w:val="009374D2"/>
    <w:rsid w:val="00937CC6"/>
    <w:rsid w:val="00941012"/>
    <w:rsid w:val="0094102C"/>
    <w:rsid w:val="0094117C"/>
    <w:rsid w:val="00941BEC"/>
    <w:rsid w:val="0094222B"/>
    <w:rsid w:val="00942747"/>
    <w:rsid w:val="009428B8"/>
    <w:rsid w:val="0094315F"/>
    <w:rsid w:val="0094334D"/>
    <w:rsid w:val="00943A49"/>
    <w:rsid w:val="00943C9F"/>
    <w:rsid w:val="00944D6D"/>
    <w:rsid w:val="009466EC"/>
    <w:rsid w:val="00946CD3"/>
    <w:rsid w:val="009471BD"/>
    <w:rsid w:val="009471EE"/>
    <w:rsid w:val="00950B68"/>
    <w:rsid w:val="00950F78"/>
    <w:rsid w:val="009510A7"/>
    <w:rsid w:val="009510BB"/>
    <w:rsid w:val="009511F1"/>
    <w:rsid w:val="0095227F"/>
    <w:rsid w:val="00952358"/>
    <w:rsid w:val="0095238F"/>
    <w:rsid w:val="009526D7"/>
    <w:rsid w:val="009527A5"/>
    <w:rsid w:val="00954073"/>
    <w:rsid w:val="00954180"/>
    <w:rsid w:val="0095423F"/>
    <w:rsid w:val="00954910"/>
    <w:rsid w:val="009550B0"/>
    <w:rsid w:val="00955419"/>
    <w:rsid w:val="00956268"/>
    <w:rsid w:val="009568D4"/>
    <w:rsid w:val="00956984"/>
    <w:rsid w:val="00956A4B"/>
    <w:rsid w:val="00956FF3"/>
    <w:rsid w:val="00957AE6"/>
    <w:rsid w:val="009602B7"/>
    <w:rsid w:val="00960A96"/>
    <w:rsid w:val="00960CBB"/>
    <w:rsid w:val="00961103"/>
    <w:rsid w:val="0096149A"/>
    <w:rsid w:val="00961878"/>
    <w:rsid w:val="00962712"/>
    <w:rsid w:val="0096278D"/>
    <w:rsid w:val="009628D1"/>
    <w:rsid w:val="009629F6"/>
    <w:rsid w:val="00962BEF"/>
    <w:rsid w:val="009642FC"/>
    <w:rsid w:val="00964771"/>
    <w:rsid w:val="0096479C"/>
    <w:rsid w:val="009651A1"/>
    <w:rsid w:val="009651A2"/>
    <w:rsid w:val="00965BDA"/>
    <w:rsid w:val="00965C9D"/>
    <w:rsid w:val="00966ECE"/>
    <w:rsid w:val="00967283"/>
    <w:rsid w:val="00967389"/>
    <w:rsid w:val="009677CC"/>
    <w:rsid w:val="00967921"/>
    <w:rsid w:val="00970264"/>
    <w:rsid w:val="009704E4"/>
    <w:rsid w:val="00970684"/>
    <w:rsid w:val="0097088B"/>
    <w:rsid w:val="00970CC1"/>
    <w:rsid w:val="00970D20"/>
    <w:rsid w:val="00970ECE"/>
    <w:rsid w:val="009714C0"/>
    <w:rsid w:val="00971BF3"/>
    <w:rsid w:val="00971C59"/>
    <w:rsid w:val="00971D7C"/>
    <w:rsid w:val="00972781"/>
    <w:rsid w:val="009733D2"/>
    <w:rsid w:val="009734BD"/>
    <w:rsid w:val="00973E1C"/>
    <w:rsid w:val="009743BC"/>
    <w:rsid w:val="00974E6E"/>
    <w:rsid w:val="009753E9"/>
    <w:rsid w:val="009756FC"/>
    <w:rsid w:val="009762C4"/>
    <w:rsid w:val="00976398"/>
    <w:rsid w:val="00976FBE"/>
    <w:rsid w:val="00982F78"/>
    <w:rsid w:val="009834E6"/>
    <w:rsid w:val="00984054"/>
    <w:rsid w:val="0098442B"/>
    <w:rsid w:val="00984E76"/>
    <w:rsid w:val="009857B8"/>
    <w:rsid w:val="00985A61"/>
    <w:rsid w:val="00985D53"/>
    <w:rsid w:val="009860FD"/>
    <w:rsid w:val="009865EA"/>
    <w:rsid w:val="00986A2B"/>
    <w:rsid w:val="00986C99"/>
    <w:rsid w:val="009872E9"/>
    <w:rsid w:val="00987A09"/>
    <w:rsid w:val="00987A6D"/>
    <w:rsid w:val="00987B89"/>
    <w:rsid w:val="009904EA"/>
    <w:rsid w:val="00990879"/>
    <w:rsid w:val="0099101F"/>
    <w:rsid w:val="0099121B"/>
    <w:rsid w:val="00991841"/>
    <w:rsid w:val="00992F78"/>
    <w:rsid w:val="00993301"/>
    <w:rsid w:val="009936AF"/>
    <w:rsid w:val="009938DD"/>
    <w:rsid w:val="00994A35"/>
    <w:rsid w:val="00994B5D"/>
    <w:rsid w:val="00995769"/>
    <w:rsid w:val="0099597C"/>
    <w:rsid w:val="00995C4D"/>
    <w:rsid w:val="00996741"/>
    <w:rsid w:val="00996B03"/>
    <w:rsid w:val="0099761E"/>
    <w:rsid w:val="00997914"/>
    <w:rsid w:val="009A0062"/>
    <w:rsid w:val="009A0BAA"/>
    <w:rsid w:val="009A1298"/>
    <w:rsid w:val="009A134A"/>
    <w:rsid w:val="009A17A5"/>
    <w:rsid w:val="009A2293"/>
    <w:rsid w:val="009A2319"/>
    <w:rsid w:val="009A2D06"/>
    <w:rsid w:val="009A2DA6"/>
    <w:rsid w:val="009A2E90"/>
    <w:rsid w:val="009A30CC"/>
    <w:rsid w:val="009A3102"/>
    <w:rsid w:val="009A3285"/>
    <w:rsid w:val="009A3F7E"/>
    <w:rsid w:val="009A4536"/>
    <w:rsid w:val="009A4704"/>
    <w:rsid w:val="009A4BD2"/>
    <w:rsid w:val="009A5160"/>
    <w:rsid w:val="009A583D"/>
    <w:rsid w:val="009A610D"/>
    <w:rsid w:val="009A6B21"/>
    <w:rsid w:val="009A6CDC"/>
    <w:rsid w:val="009A6D21"/>
    <w:rsid w:val="009A760E"/>
    <w:rsid w:val="009A7E1F"/>
    <w:rsid w:val="009B14D1"/>
    <w:rsid w:val="009B21D8"/>
    <w:rsid w:val="009B26EF"/>
    <w:rsid w:val="009B3E12"/>
    <w:rsid w:val="009B3EED"/>
    <w:rsid w:val="009B44F8"/>
    <w:rsid w:val="009B45A4"/>
    <w:rsid w:val="009B48F7"/>
    <w:rsid w:val="009B492A"/>
    <w:rsid w:val="009B4B71"/>
    <w:rsid w:val="009B4B75"/>
    <w:rsid w:val="009B5326"/>
    <w:rsid w:val="009B53FC"/>
    <w:rsid w:val="009B5485"/>
    <w:rsid w:val="009B5872"/>
    <w:rsid w:val="009B5AAC"/>
    <w:rsid w:val="009B626F"/>
    <w:rsid w:val="009B63BE"/>
    <w:rsid w:val="009B6DCD"/>
    <w:rsid w:val="009B78C0"/>
    <w:rsid w:val="009B7AF5"/>
    <w:rsid w:val="009B7B5D"/>
    <w:rsid w:val="009C02B2"/>
    <w:rsid w:val="009C0B98"/>
    <w:rsid w:val="009C0BE1"/>
    <w:rsid w:val="009C1F23"/>
    <w:rsid w:val="009C1FC1"/>
    <w:rsid w:val="009C202F"/>
    <w:rsid w:val="009C25BC"/>
    <w:rsid w:val="009C27D6"/>
    <w:rsid w:val="009C307C"/>
    <w:rsid w:val="009C3CD4"/>
    <w:rsid w:val="009C411C"/>
    <w:rsid w:val="009C42D3"/>
    <w:rsid w:val="009C507F"/>
    <w:rsid w:val="009C5543"/>
    <w:rsid w:val="009C5ACE"/>
    <w:rsid w:val="009C5B4B"/>
    <w:rsid w:val="009C5C67"/>
    <w:rsid w:val="009C5DE6"/>
    <w:rsid w:val="009C63B4"/>
    <w:rsid w:val="009C64E6"/>
    <w:rsid w:val="009C6C08"/>
    <w:rsid w:val="009C79CA"/>
    <w:rsid w:val="009C7B65"/>
    <w:rsid w:val="009C7B86"/>
    <w:rsid w:val="009D0129"/>
    <w:rsid w:val="009D0290"/>
    <w:rsid w:val="009D0355"/>
    <w:rsid w:val="009D048D"/>
    <w:rsid w:val="009D0515"/>
    <w:rsid w:val="009D0554"/>
    <w:rsid w:val="009D1167"/>
    <w:rsid w:val="009D1212"/>
    <w:rsid w:val="009D1C48"/>
    <w:rsid w:val="009D29BC"/>
    <w:rsid w:val="009D3797"/>
    <w:rsid w:val="009D3C09"/>
    <w:rsid w:val="009D3D4F"/>
    <w:rsid w:val="009D44D6"/>
    <w:rsid w:val="009D46BF"/>
    <w:rsid w:val="009D56EB"/>
    <w:rsid w:val="009D5A63"/>
    <w:rsid w:val="009D5CD3"/>
    <w:rsid w:val="009D5D9E"/>
    <w:rsid w:val="009D7275"/>
    <w:rsid w:val="009D7E9B"/>
    <w:rsid w:val="009E0292"/>
    <w:rsid w:val="009E0388"/>
    <w:rsid w:val="009E0456"/>
    <w:rsid w:val="009E15F8"/>
    <w:rsid w:val="009E176D"/>
    <w:rsid w:val="009E23D2"/>
    <w:rsid w:val="009E26A3"/>
    <w:rsid w:val="009E3AA1"/>
    <w:rsid w:val="009E3AFE"/>
    <w:rsid w:val="009E416C"/>
    <w:rsid w:val="009E4207"/>
    <w:rsid w:val="009E4378"/>
    <w:rsid w:val="009E456C"/>
    <w:rsid w:val="009E4C5E"/>
    <w:rsid w:val="009E4EFA"/>
    <w:rsid w:val="009E5D2C"/>
    <w:rsid w:val="009E5EA7"/>
    <w:rsid w:val="009E6DD4"/>
    <w:rsid w:val="009E7573"/>
    <w:rsid w:val="009F0540"/>
    <w:rsid w:val="009F0A9C"/>
    <w:rsid w:val="009F10E3"/>
    <w:rsid w:val="009F12BA"/>
    <w:rsid w:val="009F14EA"/>
    <w:rsid w:val="009F195B"/>
    <w:rsid w:val="009F3945"/>
    <w:rsid w:val="009F3B94"/>
    <w:rsid w:val="009F3B9B"/>
    <w:rsid w:val="009F49B7"/>
    <w:rsid w:val="009F4B52"/>
    <w:rsid w:val="009F4F5C"/>
    <w:rsid w:val="009F52F2"/>
    <w:rsid w:val="009F594A"/>
    <w:rsid w:val="009F5F99"/>
    <w:rsid w:val="009F6C09"/>
    <w:rsid w:val="009F74F5"/>
    <w:rsid w:val="009F782C"/>
    <w:rsid w:val="009F7C31"/>
    <w:rsid w:val="009F7D6E"/>
    <w:rsid w:val="00A00CAA"/>
    <w:rsid w:val="00A00DFF"/>
    <w:rsid w:val="00A00E73"/>
    <w:rsid w:val="00A01563"/>
    <w:rsid w:val="00A01564"/>
    <w:rsid w:val="00A0331B"/>
    <w:rsid w:val="00A03B8A"/>
    <w:rsid w:val="00A04975"/>
    <w:rsid w:val="00A04A6D"/>
    <w:rsid w:val="00A0579C"/>
    <w:rsid w:val="00A06EF5"/>
    <w:rsid w:val="00A06FDD"/>
    <w:rsid w:val="00A073AA"/>
    <w:rsid w:val="00A100E6"/>
    <w:rsid w:val="00A10C0C"/>
    <w:rsid w:val="00A10EBA"/>
    <w:rsid w:val="00A118DF"/>
    <w:rsid w:val="00A11B0C"/>
    <w:rsid w:val="00A11FC6"/>
    <w:rsid w:val="00A12067"/>
    <w:rsid w:val="00A1246A"/>
    <w:rsid w:val="00A12633"/>
    <w:rsid w:val="00A126B0"/>
    <w:rsid w:val="00A131B5"/>
    <w:rsid w:val="00A13531"/>
    <w:rsid w:val="00A138FF"/>
    <w:rsid w:val="00A1406D"/>
    <w:rsid w:val="00A1516E"/>
    <w:rsid w:val="00A155A3"/>
    <w:rsid w:val="00A15D5A"/>
    <w:rsid w:val="00A1756A"/>
    <w:rsid w:val="00A17BD7"/>
    <w:rsid w:val="00A17CE0"/>
    <w:rsid w:val="00A202EE"/>
    <w:rsid w:val="00A20C01"/>
    <w:rsid w:val="00A20D00"/>
    <w:rsid w:val="00A22F14"/>
    <w:rsid w:val="00A23609"/>
    <w:rsid w:val="00A2484C"/>
    <w:rsid w:val="00A24F54"/>
    <w:rsid w:val="00A25572"/>
    <w:rsid w:val="00A26BE9"/>
    <w:rsid w:val="00A307D1"/>
    <w:rsid w:val="00A31157"/>
    <w:rsid w:val="00A317E1"/>
    <w:rsid w:val="00A31BB0"/>
    <w:rsid w:val="00A32288"/>
    <w:rsid w:val="00A3246D"/>
    <w:rsid w:val="00A32570"/>
    <w:rsid w:val="00A326E4"/>
    <w:rsid w:val="00A329A3"/>
    <w:rsid w:val="00A32E7F"/>
    <w:rsid w:val="00A333B5"/>
    <w:rsid w:val="00A333C8"/>
    <w:rsid w:val="00A338EF"/>
    <w:rsid w:val="00A34530"/>
    <w:rsid w:val="00A34B88"/>
    <w:rsid w:val="00A35F34"/>
    <w:rsid w:val="00A35FDE"/>
    <w:rsid w:val="00A3618C"/>
    <w:rsid w:val="00A36CED"/>
    <w:rsid w:val="00A36E78"/>
    <w:rsid w:val="00A37D41"/>
    <w:rsid w:val="00A40133"/>
    <w:rsid w:val="00A40381"/>
    <w:rsid w:val="00A4056D"/>
    <w:rsid w:val="00A408E8"/>
    <w:rsid w:val="00A40B2A"/>
    <w:rsid w:val="00A40D0D"/>
    <w:rsid w:val="00A40DD4"/>
    <w:rsid w:val="00A40E1B"/>
    <w:rsid w:val="00A414A6"/>
    <w:rsid w:val="00A41E04"/>
    <w:rsid w:val="00A42008"/>
    <w:rsid w:val="00A430C2"/>
    <w:rsid w:val="00A432CE"/>
    <w:rsid w:val="00A43377"/>
    <w:rsid w:val="00A436CD"/>
    <w:rsid w:val="00A440A7"/>
    <w:rsid w:val="00A448FB"/>
    <w:rsid w:val="00A44A82"/>
    <w:rsid w:val="00A44C5D"/>
    <w:rsid w:val="00A44E53"/>
    <w:rsid w:val="00A45273"/>
    <w:rsid w:val="00A45524"/>
    <w:rsid w:val="00A464F8"/>
    <w:rsid w:val="00A46AD6"/>
    <w:rsid w:val="00A46E0C"/>
    <w:rsid w:val="00A47527"/>
    <w:rsid w:val="00A47AC6"/>
    <w:rsid w:val="00A47BA5"/>
    <w:rsid w:val="00A47E88"/>
    <w:rsid w:val="00A47EC0"/>
    <w:rsid w:val="00A505E8"/>
    <w:rsid w:val="00A50FB9"/>
    <w:rsid w:val="00A5112F"/>
    <w:rsid w:val="00A52441"/>
    <w:rsid w:val="00A5293D"/>
    <w:rsid w:val="00A52B2E"/>
    <w:rsid w:val="00A52C95"/>
    <w:rsid w:val="00A52CE3"/>
    <w:rsid w:val="00A53A88"/>
    <w:rsid w:val="00A54302"/>
    <w:rsid w:val="00A549C8"/>
    <w:rsid w:val="00A549E0"/>
    <w:rsid w:val="00A550AA"/>
    <w:rsid w:val="00A555CD"/>
    <w:rsid w:val="00A55735"/>
    <w:rsid w:val="00A563F4"/>
    <w:rsid w:val="00A56546"/>
    <w:rsid w:val="00A56E9F"/>
    <w:rsid w:val="00A5713B"/>
    <w:rsid w:val="00A577E7"/>
    <w:rsid w:val="00A579AE"/>
    <w:rsid w:val="00A60679"/>
    <w:rsid w:val="00A6211A"/>
    <w:rsid w:val="00A622C2"/>
    <w:rsid w:val="00A6255E"/>
    <w:rsid w:val="00A626AC"/>
    <w:rsid w:val="00A636A8"/>
    <w:rsid w:val="00A6409E"/>
    <w:rsid w:val="00A64556"/>
    <w:rsid w:val="00A64FA2"/>
    <w:rsid w:val="00A650AF"/>
    <w:rsid w:val="00A650B1"/>
    <w:rsid w:val="00A653E5"/>
    <w:rsid w:val="00A65EEE"/>
    <w:rsid w:val="00A670F6"/>
    <w:rsid w:val="00A67699"/>
    <w:rsid w:val="00A6796C"/>
    <w:rsid w:val="00A67BAB"/>
    <w:rsid w:val="00A70714"/>
    <w:rsid w:val="00A70DDF"/>
    <w:rsid w:val="00A72564"/>
    <w:rsid w:val="00A72FD0"/>
    <w:rsid w:val="00A735EC"/>
    <w:rsid w:val="00A73B77"/>
    <w:rsid w:val="00A74588"/>
    <w:rsid w:val="00A747A0"/>
    <w:rsid w:val="00A7517E"/>
    <w:rsid w:val="00A75C11"/>
    <w:rsid w:val="00A75E9F"/>
    <w:rsid w:val="00A76524"/>
    <w:rsid w:val="00A77243"/>
    <w:rsid w:val="00A77995"/>
    <w:rsid w:val="00A77EF5"/>
    <w:rsid w:val="00A80239"/>
    <w:rsid w:val="00A80344"/>
    <w:rsid w:val="00A80DAE"/>
    <w:rsid w:val="00A80DEF"/>
    <w:rsid w:val="00A81776"/>
    <w:rsid w:val="00A81C7A"/>
    <w:rsid w:val="00A821C3"/>
    <w:rsid w:val="00A82701"/>
    <w:rsid w:val="00A829AF"/>
    <w:rsid w:val="00A829E4"/>
    <w:rsid w:val="00A82EBB"/>
    <w:rsid w:val="00A83908"/>
    <w:rsid w:val="00A839E5"/>
    <w:rsid w:val="00A83C8A"/>
    <w:rsid w:val="00A844F5"/>
    <w:rsid w:val="00A850F4"/>
    <w:rsid w:val="00A8540B"/>
    <w:rsid w:val="00A8576B"/>
    <w:rsid w:val="00A86DAA"/>
    <w:rsid w:val="00A872C4"/>
    <w:rsid w:val="00A87432"/>
    <w:rsid w:val="00A87D33"/>
    <w:rsid w:val="00A903F2"/>
    <w:rsid w:val="00A90451"/>
    <w:rsid w:val="00A91544"/>
    <w:rsid w:val="00A91A3C"/>
    <w:rsid w:val="00A91B74"/>
    <w:rsid w:val="00A91FCC"/>
    <w:rsid w:val="00A924E8"/>
    <w:rsid w:val="00A9313C"/>
    <w:rsid w:val="00A93315"/>
    <w:rsid w:val="00A94CBC"/>
    <w:rsid w:val="00A959BD"/>
    <w:rsid w:val="00A96075"/>
    <w:rsid w:val="00A96C02"/>
    <w:rsid w:val="00A97786"/>
    <w:rsid w:val="00A97C4D"/>
    <w:rsid w:val="00A97D7E"/>
    <w:rsid w:val="00AA011F"/>
    <w:rsid w:val="00AA06C5"/>
    <w:rsid w:val="00AA0C41"/>
    <w:rsid w:val="00AA18F4"/>
    <w:rsid w:val="00AA20DD"/>
    <w:rsid w:val="00AA2627"/>
    <w:rsid w:val="00AA2A54"/>
    <w:rsid w:val="00AA30E6"/>
    <w:rsid w:val="00AA3DD0"/>
    <w:rsid w:val="00AA6518"/>
    <w:rsid w:val="00AA6ADF"/>
    <w:rsid w:val="00AA6CE4"/>
    <w:rsid w:val="00AA7618"/>
    <w:rsid w:val="00AA7C5F"/>
    <w:rsid w:val="00AA7CD8"/>
    <w:rsid w:val="00AB027E"/>
    <w:rsid w:val="00AB0ABC"/>
    <w:rsid w:val="00AB1E8B"/>
    <w:rsid w:val="00AB20B3"/>
    <w:rsid w:val="00AB2646"/>
    <w:rsid w:val="00AB315F"/>
    <w:rsid w:val="00AB33A9"/>
    <w:rsid w:val="00AB34F6"/>
    <w:rsid w:val="00AB4068"/>
    <w:rsid w:val="00AB5C22"/>
    <w:rsid w:val="00AB6166"/>
    <w:rsid w:val="00AB6C3F"/>
    <w:rsid w:val="00AB75FD"/>
    <w:rsid w:val="00AC0029"/>
    <w:rsid w:val="00AC1142"/>
    <w:rsid w:val="00AC234A"/>
    <w:rsid w:val="00AC3145"/>
    <w:rsid w:val="00AC3516"/>
    <w:rsid w:val="00AC3665"/>
    <w:rsid w:val="00AC3708"/>
    <w:rsid w:val="00AC3E28"/>
    <w:rsid w:val="00AC4197"/>
    <w:rsid w:val="00AC4C95"/>
    <w:rsid w:val="00AC4E98"/>
    <w:rsid w:val="00AC507D"/>
    <w:rsid w:val="00AC50D9"/>
    <w:rsid w:val="00AC57AB"/>
    <w:rsid w:val="00AC5D51"/>
    <w:rsid w:val="00AC6297"/>
    <w:rsid w:val="00AC6526"/>
    <w:rsid w:val="00AC6A43"/>
    <w:rsid w:val="00AC6AAD"/>
    <w:rsid w:val="00AC6BB3"/>
    <w:rsid w:val="00AC7E42"/>
    <w:rsid w:val="00AD0655"/>
    <w:rsid w:val="00AD067D"/>
    <w:rsid w:val="00AD0818"/>
    <w:rsid w:val="00AD0B9C"/>
    <w:rsid w:val="00AD13CD"/>
    <w:rsid w:val="00AD1BF3"/>
    <w:rsid w:val="00AD1C46"/>
    <w:rsid w:val="00AD1EB7"/>
    <w:rsid w:val="00AD225C"/>
    <w:rsid w:val="00AD24BA"/>
    <w:rsid w:val="00AD2F10"/>
    <w:rsid w:val="00AD486C"/>
    <w:rsid w:val="00AD4F6B"/>
    <w:rsid w:val="00AD5F8A"/>
    <w:rsid w:val="00AD6D39"/>
    <w:rsid w:val="00AD6DCA"/>
    <w:rsid w:val="00AD7252"/>
    <w:rsid w:val="00AD785D"/>
    <w:rsid w:val="00AD7C58"/>
    <w:rsid w:val="00AE015C"/>
    <w:rsid w:val="00AE0182"/>
    <w:rsid w:val="00AE03ED"/>
    <w:rsid w:val="00AE0794"/>
    <w:rsid w:val="00AE19DF"/>
    <w:rsid w:val="00AE1FC3"/>
    <w:rsid w:val="00AE226C"/>
    <w:rsid w:val="00AE2474"/>
    <w:rsid w:val="00AE2C74"/>
    <w:rsid w:val="00AE2E37"/>
    <w:rsid w:val="00AE2FBF"/>
    <w:rsid w:val="00AE4002"/>
    <w:rsid w:val="00AE42DD"/>
    <w:rsid w:val="00AE44A4"/>
    <w:rsid w:val="00AE49C6"/>
    <w:rsid w:val="00AE4A36"/>
    <w:rsid w:val="00AE4FAA"/>
    <w:rsid w:val="00AE5714"/>
    <w:rsid w:val="00AE5906"/>
    <w:rsid w:val="00AE5A30"/>
    <w:rsid w:val="00AE629C"/>
    <w:rsid w:val="00AE62DA"/>
    <w:rsid w:val="00AE64AC"/>
    <w:rsid w:val="00AE6557"/>
    <w:rsid w:val="00AE6743"/>
    <w:rsid w:val="00AE6923"/>
    <w:rsid w:val="00AE6EA3"/>
    <w:rsid w:val="00AE75F1"/>
    <w:rsid w:val="00AF0192"/>
    <w:rsid w:val="00AF07FF"/>
    <w:rsid w:val="00AF0B4D"/>
    <w:rsid w:val="00AF0D18"/>
    <w:rsid w:val="00AF14F6"/>
    <w:rsid w:val="00AF16CE"/>
    <w:rsid w:val="00AF2947"/>
    <w:rsid w:val="00AF2C34"/>
    <w:rsid w:val="00AF3188"/>
    <w:rsid w:val="00AF3421"/>
    <w:rsid w:val="00AF440C"/>
    <w:rsid w:val="00AF465A"/>
    <w:rsid w:val="00AF4A33"/>
    <w:rsid w:val="00AF4B4D"/>
    <w:rsid w:val="00AF4DA6"/>
    <w:rsid w:val="00AF52DC"/>
    <w:rsid w:val="00AF54D1"/>
    <w:rsid w:val="00AF57F1"/>
    <w:rsid w:val="00AF5944"/>
    <w:rsid w:val="00AF5D0D"/>
    <w:rsid w:val="00AF66E9"/>
    <w:rsid w:val="00AF7578"/>
    <w:rsid w:val="00AF7852"/>
    <w:rsid w:val="00B01B91"/>
    <w:rsid w:val="00B01D26"/>
    <w:rsid w:val="00B0217C"/>
    <w:rsid w:val="00B02238"/>
    <w:rsid w:val="00B02B1D"/>
    <w:rsid w:val="00B02BFD"/>
    <w:rsid w:val="00B02C29"/>
    <w:rsid w:val="00B03C8F"/>
    <w:rsid w:val="00B05D7F"/>
    <w:rsid w:val="00B05FAC"/>
    <w:rsid w:val="00B0638A"/>
    <w:rsid w:val="00B06982"/>
    <w:rsid w:val="00B07083"/>
    <w:rsid w:val="00B077B4"/>
    <w:rsid w:val="00B07D5A"/>
    <w:rsid w:val="00B10BD3"/>
    <w:rsid w:val="00B10BEC"/>
    <w:rsid w:val="00B11B7F"/>
    <w:rsid w:val="00B1235A"/>
    <w:rsid w:val="00B127B6"/>
    <w:rsid w:val="00B129C1"/>
    <w:rsid w:val="00B1345F"/>
    <w:rsid w:val="00B1396B"/>
    <w:rsid w:val="00B139D6"/>
    <w:rsid w:val="00B13B0E"/>
    <w:rsid w:val="00B13C0D"/>
    <w:rsid w:val="00B13E07"/>
    <w:rsid w:val="00B15EB0"/>
    <w:rsid w:val="00B1617D"/>
    <w:rsid w:val="00B169B6"/>
    <w:rsid w:val="00B16B8F"/>
    <w:rsid w:val="00B16D10"/>
    <w:rsid w:val="00B16E94"/>
    <w:rsid w:val="00B1722B"/>
    <w:rsid w:val="00B172B0"/>
    <w:rsid w:val="00B172D2"/>
    <w:rsid w:val="00B17763"/>
    <w:rsid w:val="00B20628"/>
    <w:rsid w:val="00B207BE"/>
    <w:rsid w:val="00B207F0"/>
    <w:rsid w:val="00B20AD5"/>
    <w:rsid w:val="00B2108D"/>
    <w:rsid w:val="00B215EE"/>
    <w:rsid w:val="00B22014"/>
    <w:rsid w:val="00B22653"/>
    <w:rsid w:val="00B23061"/>
    <w:rsid w:val="00B2406E"/>
    <w:rsid w:val="00B240AD"/>
    <w:rsid w:val="00B24DE2"/>
    <w:rsid w:val="00B251F2"/>
    <w:rsid w:val="00B25610"/>
    <w:rsid w:val="00B258F8"/>
    <w:rsid w:val="00B25955"/>
    <w:rsid w:val="00B25BFD"/>
    <w:rsid w:val="00B26A11"/>
    <w:rsid w:val="00B26B56"/>
    <w:rsid w:val="00B27918"/>
    <w:rsid w:val="00B27A24"/>
    <w:rsid w:val="00B27DEF"/>
    <w:rsid w:val="00B3058A"/>
    <w:rsid w:val="00B30F0A"/>
    <w:rsid w:val="00B30FFD"/>
    <w:rsid w:val="00B31CB0"/>
    <w:rsid w:val="00B32203"/>
    <w:rsid w:val="00B32541"/>
    <w:rsid w:val="00B328CD"/>
    <w:rsid w:val="00B3294C"/>
    <w:rsid w:val="00B32CB3"/>
    <w:rsid w:val="00B334C5"/>
    <w:rsid w:val="00B33C82"/>
    <w:rsid w:val="00B34011"/>
    <w:rsid w:val="00B340D0"/>
    <w:rsid w:val="00B34EAA"/>
    <w:rsid w:val="00B357B8"/>
    <w:rsid w:val="00B35E43"/>
    <w:rsid w:val="00B36680"/>
    <w:rsid w:val="00B36CF5"/>
    <w:rsid w:val="00B36D21"/>
    <w:rsid w:val="00B37CE8"/>
    <w:rsid w:val="00B4012B"/>
    <w:rsid w:val="00B408C5"/>
    <w:rsid w:val="00B4095B"/>
    <w:rsid w:val="00B40AEA"/>
    <w:rsid w:val="00B4106A"/>
    <w:rsid w:val="00B4129A"/>
    <w:rsid w:val="00B413A3"/>
    <w:rsid w:val="00B41F9A"/>
    <w:rsid w:val="00B43442"/>
    <w:rsid w:val="00B43707"/>
    <w:rsid w:val="00B43874"/>
    <w:rsid w:val="00B44A80"/>
    <w:rsid w:val="00B45515"/>
    <w:rsid w:val="00B457E5"/>
    <w:rsid w:val="00B45DFB"/>
    <w:rsid w:val="00B45EAE"/>
    <w:rsid w:val="00B4690C"/>
    <w:rsid w:val="00B46AEC"/>
    <w:rsid w:val="00B47C9B"/>
    <w:rsid w:val="00B50109"/>
    <w:rsid w:val="00B51207"/>
    <w:rsid w:val="00B512D9"/>
    <w:rsid w:val="00B51B3D"/>
    <w:rsid w:val="00B5243A"/>
    <w:rsid w:val="00B5247E"/>
    <w:rsid w:val="00B52683"/>
    <w:rsid w:val="00B5272D"/>
    <w:rsid w:val="00B53502"/>
    <w:rsid w:val="00B5413A"/>
    <w:rsid w:val="00B54289"/>
    <w:rsid w:val="00B543EB"/>
    <w:rsid w:val="00B544B7"/>
    <w:rsid w:val="00B54893"/>
    <w:rsid w:val="00B54AE7"/>
    <w:rsid w:val="00B54FBC"/>
    <w:rsid w:val="00B55131"/>
    <w:rsid w:val="00B552A2"/>
    <w:rsid w:val="00B5579C"/>
    <w:rsid w:val="00B56771"/>
    <w:rsid w:val="00B56BD4"/>
    <w:rsid w:val="00B56C63"/>
    <w:rsid w:val="00B573F7"/>
    <w:rsid w:val="00B57678"/>
    <w:rsid w:val="00B57835"/>
    <w:rsid w:val="00B57D9B"/>
    <w:rsid w:val="00B60423"/>
    <w:rsid w:val="00B60CD5"/>
    <w:rsid w:val="00B60F4C"/>
    <w:rsid w:val="00B611A3"/>
    <w:rsid w:val="00B62171"/>
    <w:rsid w:val="00B6224C"/>
    <w:rsid w:val="00B62578"/>
    <w:rsid w:val="00B62A8E"/>
    <w:rsid w:val="00B62D6C"/>
    <w:rsid w:val="00B6306C"/>
    <w:rsid w:val="00B63229"/>
    <w:rsid w:val="00B6363C"/>
    <w:rsid w:val="00B63B07"/>
    <w:rsid w:val="00B63D35"/>
    <w:rsid w:val="00B640F5"/>
    <w:rsid w:val="00B6433A"/>
    <w:rsid w:val="00B649C9"/>
    <w:rsid w:val="00B65558"/>
    <w:rsid w:val="00B656CD"/>
    <w:rsid w:val="00B657F7"/>
    <w:rsid w:val="00B65DC6"/>
    <w:rsid w:val="00B66B10"/>
    <w:rsid w:val="00B676A0"/>
    <w:rsid w:val="00B67B10"/>
    <w:rsid w:val="00B703CC"/>
    <w:rsid w:val="00B705B3"/>
    <w:rsid w:val="00B70FEF"/>
    <w:rsid w:val="00B73CED"/>
    <w:rsid w:val="00B74189"/>
    <w:rsid w:val="00B7547F"/>
    <w:rsid w:val="00B757EF"/>
    <w:rsid w:val="00B75EAC"/>
    <w:rsid w:val="00B762F0"/>
    <w:rsid w:val="00B773EE"/>
    <w:rsid w:val="00B77704"/>
    <w:rsid w:val="00B809E8"/>
    <w:rsid w:val="00B80D24"/>
    <w:rsid w:val="00B8181B"/>
    <w:rsid w:val="00B824D8"/>
    <w:rsid w:val="00B82E11"/>
    <w:rsid w:val="00B832E7"/>
    <w:rsid w:val="00B83A69"/>
    <w:rsid w:val="00B83AD8"/>
    <w:rsid w:val="00B83E50"/>
    <w:rsid w:val="00B84B85"/>
    <w:rsid w:val="00B85154"/>
    <w:rsid w:val="00B8577A"/>
    <w:rsid w:val="00B8594A"/>
    <w:rsid w:val="00B86236"/>
    <w:rsid w:val="00B86B97"/>
    <w:rsid w:val="00B87454"/>
    <w:rsid w:val="00B87739"/>
    <w:rsid w:val="00B87FC6"/>
    <w:rsid w:val="00B9001D"/>
    <w:rsid w:val="00B9028F"/>
    <w:rsid w:val="00B90290"/>
    <w:rsid w:val="00B90D03"/>
    <w:rsid w:val="00B91511"/>
    <w:rsid w:val="00B91890"/>
    <w:rsid w:val="00B9199C"/>
    <w:rsid w:val="00B91FBB"/>
    <w:rsid w:val="00B93162"/>
    <w:rsid w:val="00B94F0D"/>
    <w:rsid w:val="00B95340"/>
    <w:rsid w:val="00B95C70"/>
    <w:rsid w:val="00B95DC7"/>
    <w:rsid w:val="00B96B46"/>
    <w:rsid w:val="00B97DA0"/>
    <w:rsid w:val="00BA0082"/>
    <w:rsid w:val="00BA07C1"/>
    <w:rsid w:val="00BA1B0B"/>
    <w:rsid w:val="00BA26FB"/>
    <w:rsid w:val="00BA4229"/>
    <w:rsid w:val="00BA4E8A"/>
    <w:rsid w:val="00BA6304"/>
    <w:rsid w:val="00BA6401"/>
    <w:rsid w:val="00BA6444"/>
    <w:rsid w:val="00BA6824"/>
    <w:rsid w:val="00BA69F8"/>
    <w:rsid w:val="00BA718B"/>
    <w:rsid w:val="00BA7478"/>
    <w:rsid w:val="00BA78FA"/>
    <w:rsid w:val="00BB0805"/>
    <w:rsid w:val="00BB0966"/>
    <w:rsid w:val="00BB1473"/>
    <w:rsid w:val="00BB14D9"/>
    <w:rsid w:val="00BB25DD"/>
    <w:rsid w:val="00BB265B"/>
    <w:rsid w:val="00BB2F4D"/>
    <w:rsid w:val="00BB3AC2"/>
    <w:rsid w:val="00BB5ABF"/>
    <w:rsid w:val="00BB5D4B"/>
    <w:rsid w:val="00BB6AD4"/>
    <w:rsid w:val="00BB6D66"/>
    <w:rsid w:val="00BB75E9"/>
    <w:rsid w:val="00BC044B"/>
    <w:rsid w:val="00BC07B8"/>
    <w:rsid w:val="00BC20A8"/>
    <w:rsid w:val="00BC266D"/>
    <w:rsid w:val="00BC2B10"/>
    <w:rsid w:val="00BC2EF9"/>
    <w:rsid w:val="00BC3553"/>
    <w:rsid w:val="00BC3619"/>
    <w:rsid w:val="00BC3F33"/>
    <w:rsid w:val="00BC551E"/>
    <w:rsid w:val="00BC56A5"/>
    <w:rsid w:val="00BC6138"/>
    <w:rsid w:val="00BC61F1"/>
    <w:rsid w:val="00BC668D"/>
    <w:rsid w:val="00BC6B0A"/>
    <w:rsid w:val="00BC7416"/>
    <w:rsid w:val="00BC76F2"/>
    <w:rsid w:val="00BC79EE"/>
    <w:rsid w:val="00BD0770"/>
    <w:rsid w:val="00BD12A2"/>
    <w:rsid w:val="00BD155B"/>
    <w:rsid w:val="00BD1898"/>
    <w:rsid w:val="00BD191B"/>
    <w:rsid w:val="00BD1E13"/>
    <w:rsid w:val="00BD2567"/>
    <w:rsid w:val="00BD3990"/>
    <w:rsid w:val="00BD3A55"/>
    <w:rsid w:val="00BD3EB7"/>
    <w:rsid w:val="00BD43D5"/>
    <w:rsid w:val="00BD4AB6"/>
    <w:rsid w:val="00BD4F9D"/>
    <w:rsid w:val="00BE00FF"/>
    <w:rsid w:val="00BE1220"/>
    <w:rsid w:val="00BE1898"/>
    <w:rsid w:val="00BE20A0"/>
    <w:rsid w:val="00BE28D9"/>
    <w:rsid w:val="00BE300C"/>
    <w:rsid w:val="00BE372D"/>
    <w:rsid w:val="00BE40E5"/>
    <w:rsid w:val="00BE426B"/>
    <w:rsid w:val="00BE4303"/>
    <w:rsid w:val="00BE46B0"/>
    <w:rsid w:val="00BE4755"/>
    <w:rsid w:val="00BE51C6"/>
    <w:rsid w:val="00BE54EA"/>
    <w:rsid w:val="00BE557B"/>
    <w:rsid w:val="00BE5700"/>
    <w:rsid w:val="00BE58AF"/>
    <w:rsid w:val="00BE5C2D"/>
    <w:rsid w:val="00BE5EE1"/>
    <w:rsid w:val="00BE6438"/>
    <w:rsid w:val="00BE6591"/>
    <w:rsid w:val="00BE6CF4"/>
    <w:rsid w:val="00BE6D4C"/>
    <w:rsid w:val="00BE70F7"/>
    <w:rsid w:val="00BF02F0"/>
    <w:rsid w:val="00BF1A57"/>
    <w:rsid w:val="00BF29C9"/>
    <w:rsid w:val="00BF30BB"/>
    <w:rsid w:val="00BF3636"/>
    <w:rsid w:val="00BF37C6"/>
    <w:rsid w:val="00BF43EA"/>
    <w:rsid w:val="00BF4524"/>
    <w:rsid w:val="00BF4639"/>
    <w:rsid w:val="00BF47D5"/>
    <w:rsid w:val="00BF559D"/>
    <w:rsid w:val="00BF5D9F"/>
    <w:rsid w:val="00BF66CB"/>
    <w:rsid w:val="00BF693D"/>
    <w:rsid w:val="00BF70F5"/>
    <w:rsid w:val="00BF71FA"/>
    <w:rsid w:val="00BF76BD"/>
    <w:rsid w:val="00BF798D"/>
    <w:rsid w:val="00BF7A96"/>
    <w:rsid w:val="00C00B8F"/>
    <w:rsid w:val="00C014DA"/>
    <w:rsid w:val="00C01636"/>
    <w:rsid w:val="00C028B2"/>
    <w:rsid w:val="00C02A7D"/>
    <w:rsid w:val="00C02AAA"/>
    <w:rsid w:val="00C039FF"/>
    <w:rsid w:val="00C03DBE"/>
    <w:rsid w:val="00C042F3"/>
    <w:rsid w:val="00C0487F"/>
    <w:rsid w:val="00C049EB"/>
    <w:rsid w:val="00C04DB2"/>
    <w:rsid w:val="00C04F3C"/>
    <w:rsid w:val="00C04F73"/>
    <w:rsid w:val="00C0525D"/>
    <w:rsid w:val="00C055DD"/>
    <w:rsid w:val="00C055FE"/>
    <w:rsid w:val="00C0566F"/>
    <w:rsid w:val="00C05C8F"/>
    <w:rsid w:val="00C05C96"/>
    <w:rsid w:val="00C05DE0"/>
    <w:rsid w:val="00C064E7"/>
    <w:rsid w:val="00C07314"/>
    <w:rsid w:val="00C0798F"/>
    <w:rsid w:val="00C07FD5"/>
    <w:rsid w:val="00C10A96"/>
    <w:rsid w:val="00C11080"/>
    <w:rsid w:val="00C11093"/>
    <w:rsid w:val="00C114C8"/>
    <w:rsid w:val="00C11C8A"/>
    <w:rsid w:val="00C11CBB"/>
    <w:rsid w:val="00C122E4"/>
    <w:rsid w:val="00C12779"/>
    <w:rsid w:val="00C12F6B"/>
    <w:rsid w:val="00C133D3"/>
    <w:rsid w:val="00C1352F"/>
    <w:rsid w:val="00C145AA"/>
    <w:rsid w:val="00C145AC"/>
    <w:rsid w:val="00C15463"/>
    <w:rsid w:val="00C1610B"/>
    <w:rsid w:val="00C1680A"/>
    <w:rsid w:val="00C1746E"/>
    <w:rsid w:val="00C17974"/>
    <w:rsid w:val="00C20302"/>
    <w:rsid w:val="00C21E15"/>
    <w:rsid w:val="00C224A6"/>
    <w:rsid w:val="00C23EF3"/>
    <w:rsid w:val="00C244A5"/>
    <w:rsid w:val="00C24888"/>
    <w:rsid w:val="00C24AFC"/>
    <w:rsid w:val="00C255BB"/>
    <w:rsid w:val="00C26842"/>
    <w:rsid w:val="00C26AC2"/>
    <w:rsid w:val="00C27CDE"/>
    <w:rsid w:val="00C3018F"/>
    <w:rsid w:val="00C30AA7"/>
    <w:rsid w:val="00C30BC6"/>
    <w:rsid w:val="00C30EBA"/>
    <w:rsid w:val="00C3105E"/>
    <w:rsid w:val="00C315E8"/>
    <w:rsid w:val="00C316AA"/>
    <w:rsid w:val="00C317F5"/>
    <w:rsid w:val="00C318B4"/>
    <w:rsid w:val="00C32F19"/>
    <w:rsid w:val="00C3318B"/>
    <w:rsid w:val="00C340C3"/>
    <w:rsid w:val="00C34C18"/>
    <w:rsid w:val="00C356FC"/>
    <w:rsid w:val="00C361E9"/>
    <w:rsid w:val="00C36D0E"/>
    <w:rsid w:val="00C36FA8"/>
    <w:rsid w:val="00C3727C"/>
    <w:rsid w:val="00C3785F"/>
    <w:rsid w:val="00C37C8A"/>
    <w:rsid w:val="00C37CA8"/>
    <w:rsid w:val="00C37DD0"/>
    <w:rsid w:val="00C4025A"/>
    <w:rsid w:val="00C40301"/>
    <w:rsid w:val="00C41B2A"/>
    <w:rsid w:val="00C41C93"/>
    <w:rsid w:val="00C41D28"/>
    <w:rsid w:val="00C431AB"/>
    <w:rsid w:val="00C4336C"/>
    <w:rsid w:val="00C43A29"/>
    <w:rsid w:val="00C43A6E"/>
    <w:rsid w:val="00C447D3"/>
    <w:rsid w:val="00C44A4C"/>
    <w:rsid w:val="00C4668C"/>
    <w:rsid w:val="00C46CE4"/>
    <w:rsid w:val="00C4746B"/>
    <w:rsid w:val="00C47A7E"/>
    <w:rsid w:val="00C47F42"/>
    <w:rsid w:val="00C50A55"/>
    <w:rsid w:val="00C5113C"/>
    <w:rsid w:val="00C5115C"/>
    <w:rsid w:val="00C5153F"/>
    <w:rsid w:val="00C51A3C"/>
    <w:rsid w:val="00C51BA8"/>
    <w:rsid w:val="00C52472"/>
    <w:rsid w:val="00C525F1"/>
    <w:rsid w:val="00C52E0C"/>
    <w:rsid w:val="00C53922"/>
    <w:rsid w:val="00C53A63"/>
    <w:rsid w:val="00C541C5"/>
    <w:rsid w:val="00C552B6"/>
    <w:rsid w:val="00C55335"/>
    <w:rsid w:val="00C55BFB"/>
    <w:rsid w:val="00C57ED6"/>
    <w:rsid w:val="00C60926"/>
    <w:rsid w:val="00C61858"/>
    <w:rsid w:val="00C62304"/>
    <w:rsid w:val="00C62326"/>
    <w:rsid w:val="00C62C03"/>
    <w:rsid w:val="00C63560"/>
    <w:rsid w:val="00C635C5"/>
    <w:rsid w:val="00C640ED"/>
    <w:rsid w:val="00C648F2"/>
    <w:rsid w:val="00C64DD4"/>
    <w:rsid w:val="00C64E30"/>
    <w:rsid w:val="00C6521F"/>
    <w:rsid w:val="00C65F31"/>
    <w:rsid w:val="00C65F47"/>
    <w:rsid w:val="00C66071"/>
    <w:rsid w:val="00C66338"/>
    <w:rsid w:val="00C667B7"/>
    <w:rsid w:val="00C704F1"/>
    <w:rsid w:val="00C70986"/>
    <w:rsid w:val="00C70C11"/>
    <w:rsid w:val="00C71492"/>
    <w:rsid w:val="00C71975"/>
    <w:rsid w:val="00C72257"/>
    <w:rsid w:val="00C723CA"/>
    <w:rsid w:val="00C72BDB"/>
    <w:rsid w:val="00C72D46"/>
    <w:rsid w:val="00C72DE7"/>
    <w:rsid w:val="00C74CF4"/>
    <w:rsid w:val="00C7506B"/>
    <w:rsid w:val="00C750E7"/>
    <w:rsid w:val="00C755B2"/>
    <w:rsid w:val="00C758A0"/>
    <w:rsid w:val="00C760C5"/>
    <w:rsid w:val="00C77573"/>
    <w:rsid w:val="00C77942"/>
    <w:rsid w:val="00C77A84"/>
    <w:rsid w:val="00C77B82"/>
    <w:rsid w:val="00C8073C"/>
    <w:rsid w:val="00C80781"/>
    <w:rsid w:val="00C80C28"/>
    <w:rsid w:val="00C80C85"/>
    <w:rsid w:val="00C81172"/>
    <w:rsid w:val="00C81BEC"/>
    <w:rsid w:val="00C8303D"/>
    <w:rsid w:val="00C83099"/>
    <w:rsid w:val="00C834BB"/>
    <w:rsid w:val="00C83606"/>
    <w:rsid w:val="00C836AE"/>
    <w:rsid w:val="00C8416F"/>
    <w:rsid w:val="00C845B8"/>
    <w:rsid w:val="00C8503D"/>
    <w:rsid w:val="00C85F37"/>
    <w:rsid w:val="00C861CC"/>
    <w:rsid w:val="00C86C7E"/>
    <w:rsid w:val="00C86C9A"/>
    <w:rsid w:val="00C87ECB"/>
    <w:rsid w:val="00C87F38"/>
    <w:rsid w:val="00C90C3A"/>
    <w:rsid w:val="00C91345"/>
    <w:rsid w:val="00C9143A"/>
    <w:rsid w:val="00C91A55"/>
    <w:rsid w:val="00C91A7F"/>
    <w:rsid w:val="00C921AC"/>
    <w:rsid w:val="00C9244E"/>
    <w:rsid w:val="00C92CD3"/>
    <w:rsid w:val="00C92E6D"/>
    <w:rsid w:val="00C93186"/>
    <w:rsid w:val="00C941F2"/>
    <w:rsid w:val="00C9474E"/>
    <w:rsid w:val="00C94929"/>
    <w:rsid w:val="00C955D0"/>
    <w:rsid w:val="00C95871"/>
    <w:rsid w:val="00C9607C"/>
    <w:rsid w:val="00C96510"/>
    <w:rsid w:val="00C967B6"/>
    <w:rsid w:val="00C9692F"/>
    <w:rsid w:val="00C97020"/>
    <w:rsid w:val="00C97C28"/>
    <w:rsid w:val="00CA0530"/>
    <w:rsid w:val="00CA0564"/>
    <w:rsid w:val="00CA0E2A"/>
    <w:rsid w:val="00CA103C"/>
    <w:rsid w:val="00CA1505"/>
    <w:rsid w:val="00CA1AAE"/>
    <w:rsid w:val="00CA239C"/>
    <w:rsid w:val="00CA2683"/>
    <w:rsid w:val="00CA2E7D"/>
    <w:rsid w:val="00CA30E3"/>
    <w:rsid w:val="00CA3672"/>
    <w:rsid w:val="00CA39BE"/>
    <w:rsid w:val="00CA3A60"/>
    <w:rsid w:val="00CA3F8F"/>
    <w:rsid w:val="00CA4661"/>
    <w:rsid w:val="00CA4DCD"/>
    <w:rsid w:val="00CA543C"/>
    <w:rsid w:val="00CA5791"/>
    <w:rsid w:val="00CA5847"/>
    <w:rsid w:val="00CA740D"/>
    <w:rsid w:val="00CB1560"/>
    <w:rsid w:val="00CB20AC"/>
    <w:rsid w:val="00CB2350"/>
    <w:rsid w:val="00CB3C05"/>
    <w:rsid w:val="00CB4277"/>
    <w:rsid w:val="00CB4CD2"/>
    <w:rsid w:val="00CB4E1D"/>
    <w:rsid w:val="00CB5517"/>
    <w:rsid w:val="00CB6121"/>
    <w:rsid w:val="00CB7E2A"/>
    <w:rsid w:val="00CC0185"/>
    <w:rsid w:val="00CC0FFA"/>
    <w:rsid w:val="00CC157F"/>
    <w:rsid w:val="00CC198F"/>
    <w:rsid w:val="00CC25C7"/>
    <w:rsid w:val="00CC2648"/>
    <w:rsid w:val="00CC2AA0"/>
    <w:rsid w:val="00CC3BA3"/>
    <w:rsid w:val="00CC4150"/>
    <w:rsid w:val="00CC5310"/>
    <w:rsid w:val="00CC6211"/>
    <w:rsid w:val="00CC641D"/>
    <w:rsid w:val="00CC70FA"/>
    <w:rsid w:val="00CC748A"/>
    <w:rsid w:val="00CC79FC"/>
    <w:rsid w:val="00CC7AB1"/>
    <w:rsid w:val="00CD08AC"/>
    <w:rsid w:val="00CD0FBA"/>
    <w:rsid w:val="00CD1EB9"/>
    <w:rsid w:val="00CD1F38"/>
    <w:rsid w:val="00CD26CB"/>
    <w:rsid w:val="00CD2881"/>
    <w:rsid w:val="00CD2890"/>
    <w:rsid w:val="00CD44D2"/>
    <w:rsid w:val="00CD5CA8"/>
    <w:rsid w:val="00CD5D2A"/>
    <w:rsid w:val="00CD6C9F"/>
    <w:rsid w:val="00CD6CC4"/>
    <w:rsid w:val="00CD6E7F"/>
    <w:rsid w:val="00CD7F19"/>
    <w:rsid w:val="00CE0114"/>
    <w:rsid w:val="00CE04BE"/>
    <w:rsid w:val="00CE0500"/>
    <w:rsid w:val="00CE0673"/>
    <w:rsid w:val="00CE0C6B"/>
    <w:rsid w:val="00CE215A"/>
    <w:rsid w:val="00CE2656"/>
    <w:rsid w:val="00CE34C9"/>
    <w:rsid w:val="00CE3885"/>
    <w:rsid w:val="00CE50B6"/>
    <w:rsid w:val="00CE528A"/>
    <w:rsid w:val="00CE5311"/>
    <w:rsid w:val="00CE5A82"/>
    <w:rsid w:val="00CE6C1A"/>
    <w:rsid w:val="00CE7012"/>
    <w:rsid w:val="00CE772F"/>
    <w:rsid w:val="00CE78E6"/>
    <w:rsid w:val="00CF0413"/>
    <w:rsid w:val="00CF1499"/>
    <w:rsid w:val="00CF2B0C"/>
    <w:rsid w:val="00CF3836"/>
    <w:rsid w:val="00CF3F76"/>
    <w:rsid w:val="00CF4051"/>
    <w:rsid w:val="00CF4231"/>
    <w:rsid w:val="00CF4C6B"/>
    <w:rsid w:val="00CF4EBA"/>
    <w:rsid w:val="00CF5470"/>
    <w:rsid w:val="00CF5552"/>
    <w:rsid w:val="00CF61EB"/>
    <w:rsid w:val="00CF6A0D"/>
    <w:rsid w:val="00CF6B5F"/>
    <w:rsid w:val="00CF782D"/>
    <w:rsid w:val="00D00CE7"/>
    <w:rsid w:val="00D010DC"/>
    <w:rsid w:val="00D01E17"/>
    <w:rsid w:val="00D022AB"/>
    <w:rsid w:val="00D02507"/>
    <w:rsid w:val="00D02B03"/>
    <w:rsid w:val="00D02BB0"/>
    <w:rsid w:val="00D039BE"/>
    <w:rsid w:val="00D0412D"/>
    <w:rsid w:val="00D04510"/>
    <w:rsid w:val="00D04E15"/>
    <w:rsid w:val="00D052E1"/>
    <w:rsid w:val="00D05663"/>
    <w:rsid w:val="00D0566C"/>
    <w:rsid w:val="00D05FD0"/>
    <w:rsid w:val="00D06636"/>
    <w:rsid w:val="00D10432"/>
    <w:rsid w:val="00D10DB5"/>
    <w:rsid w:val="00D11133"/>
    <w:rsid w:val="00D12690"/>
    <w:rsid w:val="00D128E6"/>
    <w:rsid w:val="00D131CD"/>
    <w:rsid w:val="00D139A8"/>
    <w:rsid w:val="00D13B90"/>
    <w:rsid w:val="00D14F47"/>
    <w:rsid w:val="00D150C3"/>
    <w:rsid w:val="00D151E2"/>
    <w:rsid w:val="00D1582E"/>
    <w:rsid w:val="00D15B21"/>
    <w:rsid w:val="00D16707"/>
    <w:rsid w:val="00D16A12"/>
    <w:rsid w:val="00D17057"/>
    <w:rsid w:val="00D172CB"/>
    <w:rsid w:val="00D17D85"/>
    <w:rsid w:val="00D17EB9"/>
    <w:rsid w:val="00D20234"/>
    <w:rsid w:val="00D20CAA"/>
    <w:rsid w:val="00D21377"/>
    <w:rsid w:val="00D2167E"/>
    <w:rsid w:val="00D21A1C"/>
    <w:rsid w:val="00D21EF0"/>
    <w:rsid w:val="00D2248C"/>
    <w:rsid w:val="00D22541"/>
    <w:rsid w:val="00D2265B"/>
    <w:rsid w:val="00D23255"/>
    <w:rsid w:val="00D236B2"/>
    <w:rsid w:val="00D23BE5"/>
    <w:rsid w:val="00D24325"/>
    <w:rsid w:val="00D24AC7"/>
    <w:rsid w:val="00D256A8"/>
    <w:rsid w:val="00D25FB7"/>
    <w:rsid w:val="00D26BF1"/>
    <w:rsid w:val="00D26C03"/>
    <w:rsid w:val="00D26CE9"/>
    <w:rsid w:val="00D273AF"/>
    <w:rsid w:val="00D275ED"/>
    <w:rsid w:val="00D3083C"/>
    <w:rsid w:val="00D30911"/>
    <w:rsid w:val="00D32772"/>
    <w:rsid w:val="00D33148"/>
    <w:rsid w:val="00D33556"/>
    <w:rsid w:val="00D33D99"/>
    <w:rsid w:val="00D33ECC"/>
    <w:rsid w:val="00D347F8"/>
    <w:rsid w:val="00D34F93"/>
    <w:rsid w:val="00D35B2C"/>
    <w:rsid w:val="00D35D9C"/>
    <w:rsid w:val="00D360A9"/>
    <w:rsid w:val="00D363D9"/>
    <w:rsid w:val="00D36960"/>
    <w:rsid w:val="00D3796A"/>
    <w:rsid w:val="00D402B4"/>
    <w:rsid w:val="00D4042D"/>
    <w:rsid w:val="00D40BEA"/>
    <w:rsid w:val="00D41090"/>
    <w:rsid w:val="00D41EC0"/>
    <w:rsid w:val="00D42687"/>
    <w:rsid w:val="00D43609"/>
    <w:rsid w:val="00D43624"/>
    <w:rsid w:val="00D43C57"/>
    <w:rsid w:val="00D443DD"/>
    <w:rsid w:val="00D4476B"/>
    <w:rsid w:val="00D449EE"/>
    <w:rsid w:val="00D44C1B"/>
    <w:rsid w:val="00D4504F"/>
    <w:rsid w:val="00D45AD4"/>
    <w:rsid w:val="00D4699A"/>
    <w:rsid w:val="00D46AA8"/>
    <w:rsid w:val="00D46E95"/>
    <w:rsid w:val="00D472AC"/>
    <w:rsid w:val="00D47962"/>
    <w:rsid w:val="00D47C8B"/>
    <w:rsid w:val="00D50992"/>
    <w:rsid w:val="00D51EB8"/>
    <w:rsid w:val="00D51EDE"/>
    <w:rsid w:val="00D525AF"/>
    <w:rsid w:val="00D52670"/>
    <w:rsid w:val="00D52897"/>
    <w:rsid w:val="00D536C3"/>
    <w:rsid w:val="00D53A58"/>
    <w:rsid w:val="00D53D49"/>
    <w:rsid w:val="00D54F89"/>
    <w:rsid w:val="00D550B7"/>
    <w:rsid w:val="00D558F8"/>
    <w:rsid w:val="00D55F84"/>
    <w:rsid w:val="00D5672D"/>
    <w:rsid w:val="00D57D46"/>
    <w:rsid w:val="00D60DB3"/>
    <w:rsid w:val="00D60F63"/>
    <w:rsid w:val="00D60F72"/>
    <w:rsid w:val="00D6174F"/>
    <w:rsid w:val="00D61AE8"/>
    <w:rsid w:val="00D61D20"/>
    <w:rsid w:val="00D620E9"/>
    <w:rsid w:val="00D62AD6"/>
    <w:rsid w:val="00D63047"/>
    <w:rsid w:val="00D63EDE"/>
    <w:rsid w:val="00D64561"/>
    <w:rsid w:val="00D645E3"/>
    <w:rsid w:val="00D64A61"/>
    <w:rsid w:val="00D65679"/>
    <w:rsid w:val="00D65709"/>
    <w:rsid w:val="00D661AD"/>
    <w:rsid w:val="00D66279"/>
    <w:rsid w:val="00D665BD"/>
    <w:rsid w:val="00D669C5"/>
    <w:rsid w:val="00D674D2"/>
    <w:rsid w:val="00D67868"/>
    <w:rsid w:val="00D67AC6"/>
    <w:rsid w:val="00D70057"/>
    <w:rsid w:val="00D701CA"/>
    <w:rsid w:val="00D70354"/>
    <w:rsid w:val="00D70F56"/>
    <w:rsid w:val="00D712B1"/>
    <w:rsid w:val="00D7178A"/>
    <w:rsid w:val="00D719CA"/>
    <w:rsid w:val="00D719CF"/>
    <w:rsid w:val="00D71B71"/>
    <w:rsid w:val="00D71B8A"/>
    <w:rsid w:val="00D72039"/>
    <w:rsid w:val="00D72450"/>
    <w:rsid w:val="00D72D95"/>
    <w:rsid w:val="00D72DF5"/>
    <w:rsid w:val="00D73A34"/>
    <w:rsid w:val="00D74175"/>
    <w:rsid w:val="00D758C7"/>
    <w:rsid w:val="00D75BE9"/>
    <w:rsid w:val="00D760AB"/>
    <w:rsid w:val="00D76161"/>
    <w:rsid w:val="00D763BE"/>
    <w:rsid w:val="00D763EA"/>
    <w:rsid w:val="00D77047"/>
    <w:rsid w:val="00D77700"/>
    <w:rsid w:val="00D8063F"/>
    <w:rsid w:val="00D80E6D"/>
    <w:rsid w:val="00D81FEF"/>
    <w:rsid w:val="00D8240F"/>
    <w:rsid w:val="00D82DC2"/>
    <w:rsid w:val="00D8387A"/>
    <w:rsid w:val="00D838F0"/>
    <w:rsid w:val="00D83AFF"/>
    <w:rsid w:val="00D83F72"/>
    <w:rsid w:val="00D84E7F"/>
    <w:rsid w:val="00D859EF"/>
    <w:rsid w:val="00D85CE5"/>
    <w:rsid w:val="00D85EF3"/>
    <w:rsid w:val="00D86431"/>
    <w:rsid w:val="00D87882"/>
    <w:rsid w:val="00D87B6F"/>
    <w:rsid w:val="00D87E04"/>
    <w:rsid w:val="00D9028E"/>
    <w:rsid w:val="00D91A30"/>
    <w:rsid w:val="00D928A7"/>
    <w:rsid w:val="00D92B60"/>
    <w:rsid w:val="00D92D1F"/>
    <w:rsid w:val="00D930FB"/>
    <w:rsid w:val="00D93626"/>
    <w:rsid w:val="00D94C68"/>
    <w:rsid w:val="00D94E90"/>
    <w:rsid w:val="00D94EB3"/>
    <w:rsid w:val="00D952F0"/>
    <w:rsid w:val="00D95837"/>
    <w:rsid w:val="00D95899"/>
    <w:rsid w:val="00D96597"/>
    <w:rsid w:val="00D9696D"/>
    <w:rsid w:val="00D969DA"/>
    <w:rsid w:val="00D96B6D"/>
    <w:rsid w:val="00D96E1F"/>
    <w:rsid w:val="00D96E7C"/>
    <w:rsid w:val="00D96EBE"/>
    <w:rsid w:val="00DA0350"/>
    <w:rsid w:val="00DA0ADC"/>
    <w:rsid w:val="00DA139C"/>
    <w:rsid w:val="00DA13BC"/>
    <w:rsid w:val="00DA1A63"/>
    <w:rsid w:val="00DA1C03"/>
    <w:rsid w:val="00DA22C4"/>
    <w:rsid w:val="00DA23E2"/>
    <w:rsid w:val="00DA2655"/>
    <w:rsid w:val="00DA41C0"/>
    <w:rsid w:val="00DA48E1"/>
    <w:rsid w:val="00DA4A73"/>
    <w:rsid w:val="00DA4C02"/>
    <w:rsid w:val="00DA4C13"/>
    <w:rsid w:val="00DA4C15"/>
    <w:rsid w:val="00DA570E"/>
    <w:rsid w:val="00DA595D"/>
    <w:rsid w:val="00DA5B82"/>
    <w:rsid w:val="00DA5E93"/>
    <w:rsid w:val="00DA6062"/>
    <w:rsid w:val="00DA70A2"/>
    <w:rsid w:val="00DA7164"/>
    <w:rsid w:val="00DA7845"/>
    <w:rsid w:val="00DA7CD3"/>
    <w:rsid w:val="00DB0EF1"/>
    <w:rsid w:val="00DB1BD9"/>
    <w:rsid w:val="00DB1CF6"/>
    <w:rsid w:val="00DB24F1"/>
    <w:rsid w:val="00DB2794"/>
    <w:rsid w:val="00DB3389"/>
    <w:rsid w:val="00DB34E7"/>
    <w:rsid w:val="00DB35B8"/>
    <w:rsid w:val="00DB3A3C"/>
    <w:rsid w:val="00DB441C"/>
    <w:rsid w:val="00DB4C55"/>
    <w:rsid w:val="00DB5381"/>
    <w:rsid w:val="00DB5551"/>
    <w:rsid w:val="00DB56A5"/>
    <w:rsid w:val="00DB5DC0"/>
    <w:rsid w:val="00DB6BEA"/>
    <w:rsid w:val="00DB7CFD"/>
    <w:rsid w:val="00DC04B5"/>
    <w:rsid w:val="00DC0BF9"/>
    <w:rsid w:val="00DC0D30"/>
    <w:rsid w:val="00DC1580"/>
    <w:rsid w:val="00DC2313"/>
    <w:rsid w:val="00DC241D"/>
    <w:rsid w:val="00DC2652"/>
    <w:rsid w:val="00DC2732"/>
    <w:rsid w:val="00DC27C6"/>
    <w:rsid w:val="00DC2821"/>
    <w:rsid w:val="00DC2EE3"/>
    <w:rsid w:val="00DC352A"/>
    <w:rsid w:val="00DC390F"/>
    <w:rsid w:val="00DC3AFB"/>
    <w:rsid w:val="00DC3C7A"/>
    <w:rsid w:val="00DC3EFB"/>
    <w:rsid w:val="00DC40D7"/>
    <w:rsid w:val="00DC4903"/>
    <w:rsid w:val="00DC4933"/>
    <w:rsid w:val="00DC4A23"/>
    <w:rsid w:val="00DC517F"/>
    <w:rsid w:val="00DC6007"/>
    <w:rsid w:val="00DC694B"/>
    <w:rsid w:val="00DC6B8F"/>
    <w:rsid w:val="00DC7345"/>
    <w:rsid w:val="00DC79F6"/>
    <w:rsid w:val="00DC7F9D"/>
    <w:rsid w:val="00DC7FDD"/>
    <w:rsid w:val="00DD02FE"/>
    <w:rsid w:val="00DD0643"/>
    <w:rsid w:val="00DD10D6"/>
    <w:rsid w:val="00DD12E1"/>
    <w:rsid w:val="00DD1B19"/>
    <w:rsid w:val="00DD1F2C"/>
    <w:rsid w:val="00DD1FDC"/>
    <w:rsid w:val="00DD26E9"/>
    <w:rsid w:val="00DD2D46"/>
    <w:rsid w:val="00DD2FFD"/>
    <w:rsid w:val="00DD3313"/>
    <w:rsid w:val="00DD33A8"/>
    <w:rsid w:val="00DD47AE"/>
    <w:rsid w:val="00DD4C67"/>
    <w:rsid w:val="00DD545B"/>
    <w:rsid w:val="00DD54F7"/>
    <w:rsid w:val="00DD5F8D"/>
    <w:rsid w:val="00DD61BA"/>
    <w:rsid w:val="00DD6374"/>
    <w:rsid w:val="00DD64C5"/>
    <w:rsid w:val="00DD679C"/>
    <w:rsid w:val="00DD698A"/>
    <w:rsid w:val="00DD6C96"/>
    <w:rsid w:val="00DD754A"/>
    <w:rsid w:val="00DD7818"/>
    <w:rsid w:val="00DD7854"/>
    <w:rsid w:val="00DD78EF"/>
    <w:rsid w:val="00DE048C"/>
    <w:rsid w:val="00DE25CF"/>
    <w:rsid w:val="00DE2A5E"/>
    <w:rsid w:val="00DE3029"/>
    <w:rsid w:val="00DE368F"/>
    <w:rsid w:val="00DE3F9D"/>
    <w:rsid w:val="00DE45D5"/>
    <w:rsid w:val="00DE5C5B"/>
    <w:rsid w:val="00DE6047"/>
    <w:rsid w:val="00DE60BA"/>
    <w:rsid w:val="00DE67A1"/>
    <w:rsid w:val="00DE6930"/>
    <w:rsid w:val="00DE6D82"/>
    <w:rsid w:val="00DE6E8B"/>
    <w:rsid w:val="00DE6F6C"/>
    <w:rsid w:val="00DE6F7D"/>
    <w:rsid w:val="00DE71C3"/>
    <w:rsid w:val="00DE7473"/>
    <w:rsid w:val="00DE77CE"/>
    <w:rsid w:val="00DE7B40"/>
    <w:rsid w:val="00DF079D"/>
    <w:rsid w:val="00DF0832"/>
    <w:rsid w:val="00DF0B92"/>
    <w:rsid w:val="00DF110B"/>
    <w:rsid w:val="00DF143F"/>
    <w:rsid w:val="00DF1AD7"/>
    <w:rsid w:val="00DF22B3"/>
    <w:rsid w:val="00DF23A3"/>
    <w:rsid w:val="00DF291B"/>
    <w:rsid w:val="00DF33B5"/>
    <w:rsid w:val="00DF363A"/>
    <w:rsid w:val="00DF38DB"/>
    <w:rsid w:val="00DF40FD"/>
    <w:rsid w:val="00DF48F4"/>
    <w:rsid w:val="00DF5D8D"/>
    <w:rsid w:val="00DF7BD5"/>
    <w:rsid w:val="00E00356"/>
    <w:rsid w:val="00E00635"/>
    <w:rsid w:val="00E00AED"/>
    <w:rsid w:val="00E01E92"/>
    <w:rsid w:val="00E01EFA"/>
    <w:rsid w:val="00E01F05"/>
    <w:rsid w:val="00E01FF9"/>
    <w:rsid w:val="00E03674"/>
    <w:rsid w:val="00E0386B"/>
    <w:rsid w:val="00E0388B"/>
    <w:rsid w:val="00E03F15"/>
    <w:rsid w:val="00E046D5"/>
    <w:rsid w:val="00E04D56"/>
    <w:rsid w:val="00E05085"/>
    <w:rsid w:val="00E050C7"/>
    <w:rsid w:val="00E05482"/>
    <w:rsid w:val="00E06601"/>
    <w:rsid w:val="00E07011"/>
    <w:rsid w:val="00E07207"/>
    <w:rsid w:val="00E07592"/>
    <w:rsid w:val="00E075F9"/>
    <w:rsid w:val="00E076F7"/>
    <w:rsid w:val="00E10081"/>
    <w:rsid w:val="00E102C3"/>
    <w:rsid w:val="00E105F5"/>
    <w:rsid w:val="00E1115D"/>
    <w:rsid w:val="00E1126E"/>
    <w:rsid w:val="00E11298"/>
    <w:rsid w:val="00E1153D"/>
    <w:rsid w:val="00E11D0F"/>
    <w:rsid w:val="00E11F02"/>
    <w:rsid w:val="00E123F6"/>
    <w:rsid w:val="00E128FD"/>
    <w:rsid w:val="00E143A6"/>
    <w:rsid w:val="00E1496F"/>
    <w:rsid w:val="00E15BEC"/>
    <w:rsid w:val="00E15F54"/>
    <w:rsid w:val="00E1627B"/>
    <w:rsid w:val="00E171AA"/>
    <w:rsid w:val="00E21161"/>
    <w:rsid w:val="00E21B1F"/>
    <w:rsid w:val="00E22B45"/>
    <w:rsid w:val="00E23053"/>
    <w:rsid w:val="00E23B8A"/>
    <w:rsid w:val="00E23E36"/>
    <w:rsid w:val="00E24085"/>
    <w:rsid w:val="00E24669"/>
    <w:rsid w:val="00E24CC2"/>
    <w:rsid w:val="00E24D57"/>
    <w:rsid w:val="00E25543"/>
    <w:rsid w:val="00E25978"/>
    <w:rsid w:val="00E27390"/>
    <w:rsid w:val="00E310DC"/>
    <w:rsid w:val="00E31AF6"/>
    <w:rsid w:val="00E31B23"/>
    <w:rsid w:val="00E31C72"/>
    <w:rsid w:val="00E31D5A"/>
    <w:rsid w:val="00E31DEE"/>
    <w:rsid w:val="00E31F5C"/>
    <w:rsid w:val="00E33347"/>
    <w:rsid w:val="00E33DAB"/>
    <w:rsid w:val="00E33DFD"/>
    <w:rsid w:val="00E34050"/>
    <w:rsid w:val="00E34217"/>
    <w:rsid w:val="00E3441B"/>
    <w:rsid w:val="00E344CC"/>
    <w:rsid w:val="00E345E8"/>
    <w:rsid w:val="00E34A28"/>
    <w:rsid w:val="00E34EB6"/>
    <w:rsid w:val="00E354EB"/>
    <w:rsid w:val="00E35ABD"/>
    <w:rsid w:val="00E35E9F"/>
    <w:rsid w:val="00E362EA"/>
    <w:rsid w:val="00E368BE"/>
    <w:rsid w:val="00E36AFB"/>
    <w:rsid w:val="00E37397"/>
    <w:rsid w:val="00E37469"/>
    <w:rsid w:val="00E37DEA"/>
    <w:rsid w:val="00E37F6E"/>
    <w:rsid w:val="00E403B1"/>
    <w:rsid w:val="00E40715"/>
    <w:rsid w:val="00E4109A"/>
    <w:rsid w:val="00E41A29"/>
    <w:rsid w:val="00E421D3"/>
    <w:rsid w:val="00E42344"/>
    <w:rsid w:val="00E42A92"/>
    <w:rsid w:val="00E42C6F"/>
    <w:rsid w:val="00E43352"/>
    <w:rsid w:val="00E43409"/>
    <w:rsid w:val="00E43C1A"/>
    <w:rsid w:val="00E4455C"/>
    <w:rsid w:val="00E4538A"/>
    <w:rsid w:val="00E45B6D"/>
    <w:rsid w:val="00E46461"/>
    <w:rsid w:val="00E47A87"/>
    <w:rsid w:val="00E47F5C"/>
    <w:rsid w:val="00E508FA"/>
    <w:rsid w:val="00E50905"/>
    <w:rsid w:val="00E527FA"/>
    <w:rsid w:val="00E534A3"/>
    <w:rsid w:val="00E54BB2"/>
    <w:rsid w:val="00E54DC7"/>
    <w:rsid w:val="00E557D1"/>
    <w:rsid w:val="00E55AF9"/>
    <w:rsid w:val="00E571FD"/>
    <w:rsid w:val="00E57A85"/>
    <w:rsid w:val="00E60137"/>
    <w:rsid w:val="00E60DDF"/>
    <w:rsid w:val="00E60E53"/>
    <w:rsid w:val="00E610BF"/>
    <w:rsid w:val="00E61698"/>
    <w:rsid w:val="00E618CE"/>
    <w:rsid w:val="00E621A2"/>
    <w:rsid w:val="00E6236A"/>
    <w:rsid w:val="00E63272"/>
    <w:rsid w:val="00E650FB"/>
    <w:rsid w:val="00E654A5"/>
    <w:rsid w:val="00E66853"/>
    <w:rsid w:val="00E66ED6"/>
    <w:rsid w:val="00E70069"/>
    <w:rsid w:val="00E704B6"/>
    <w:rsid w:val="00E71551"/>
    <w:rsid w:val="00E717BF"/>
    <w:rsid w:val="00E719D2"/>
    <w:rsid w:val="00E71BFD"/>
    <w:rsid w:val="00E7209D"/>
    <w:rsid w:val="00E72855"/>
    <w:rsid w:val="00E73B36"/>
    <w:rsid w:val="00E73B8C"/>
    <w:rsid w:val="00E73E7B"/>
    <w:rsid w:val="00E73F87"/>
    <w:rsid w:val="00E740C3"/>
    <w:rsid w:val="00E740EC"/>
    <w:rsid w:val="00E74C6F"/>
    <w:rsid w:val="00E74D32"/>
    <w:rsid w:val="00E75E9D"/>
    <w:rsid w:val="00E76BAA"/>
    <w:rsid w:val="00E775C2"/>
    <w:rsid w:val="00E77651"/>
    <w:rsid w:val="00E778C9"/>
    <w:rsid w:val="00E80059"/>
    <w:rsid w:val="00E80542"/>
    <w:rsid w:val="00E8057B"/>
    <w:rsid w:val="00E81AEC"/>
    <w:rsid w:val="00E828C3"/>
    <w:rsid w:val="00E8342F"/>
    <w:rsid w:val="00E837D1"/>
    <w:rsid w:val="00E84729"/>
    <w:rsid w:val="00E852B5"/>
    <w:rsid w:val="00E860CB"/>
    <w:rsid w:val="00E86417"/>
    <w:rsid w:val="00E867BA"/>
    <w:rsid w:val="00E87077"/>
    <w:rsid w:val="00E87183"/>
    <w:rsid w:val="00E87F63"/>
    <w:rsid w:val="00E90716"/>
    <w:rsid w:val="00E91377"/>
    <w:rsid w:val="00E91841"/>
    <w:rsid w:val="00E91951"/>
    <w:rsid w:val="00E92235"/>
    <w:rsid w:val="00E92691"/>
    <w:rsid w:val="00E927A8"/>
    <w:rsid w:val="00E92E66"/>
    <w:rsid w:val="00E930EE"/>
    <w:rsid w:val="00E930F3"/>
    <w:rsid w:val="00E93733"/>
    <w:rsid w:val="00E938A4"/>
    <w:rsid w:val="00E93A5E"/>
    <w:rsid w:val="00E94622"/>
    <w:rsid w:val="00E94754"/>
    <w:rsid w:val="00E95836"/>
    <w:rsid w:val="00E961CA"/>
    <w:rsid w:val="00E963BF"/>
    <w:rsid w:val="00E96A8A"/>
    <w:rsid w:val="00E977EF"/>
    <w:rsid w:val="00E97A1D"/>
    <w:rsid w:val="00EA00EB"/>
    <w:rsid w:val="00EA0161"/>
    <w:rsid w:val="00EA026A"/>
    <w:rsid w:val="00EA03D4"/>
    <w:rsid w:val="00EA0AE4"/>
    <w:rsid w:val="00EA0CA7"/>
    <w:rsid w:val="00EA10D0"/>
    <w:rsid w:val="00EA1639"/>
    <w:rsid w:val="00EA2359"/>
    <w:rsid w:val="00EA2482"/>
    <w:rsid w:val="00EA39A9"/>
    <w:rsid w:val="00EA3E3B"/>
    <w:rsid w:val="00EA403C"/>
    <w:rsid w:val="00EA46AC"/>
    <w:rsid w:val="00EA498F"/>
    <w:rsid w:val="00EA4FCD"/>
    <w:rsid w:val="00EA57FB"/>
    <w:rsid w:val="00EA7180"/>
    <w:rsid w:val="00EA71B4"/>
    <w:rsid w:val="00EA75C2"/>
    <w:rsid w:val="00EA7674"/>
    <w:rsid w:val="00EA78B2"/>
    <w:rsid w:val="00EA7D57"/>
    <w:rsid w:val="00EA7D9E"/>
    <w:rsid w:val="00EB0691"/>
    <w:rsid w:val="00EB124B"/>
    <w:rsid w:val="00EB1268"/>
    <w:rsid w:val="00EB151E"/>
    <w:rsid w:val="00EB27DC"/>
    <w:rsid w:val="00EB3993"/>
    <w:rsid w:val="00EB3A1C"/>
    <w:rsid w:val="00EB4628"/>
    <w:rsid w:val="00EB48AB"/>
    <w:rsid w:val="00EB551B"/>
    <w:rsid w:val="00EB63EB"/>
    <w:rsid w:val="00EB67BF"/>
    <w:rsid w:val="00EB67EE"/>
    <w:rsid w:val="00EB6D28"/>
    <w:rsid w:val="00EB7058"/>
    <w:rsid w:val="00EB718B"/>
    <w:rsid w:val="00EB7441"/>
    <w:rsid w:val="00EB7667"/>
    <w:rsid w:val="00EB7A75"/>
    <w:rsid w:val="00EC0839"/>
    <w:rsid w:val="00EC0A7F"/>
    <w:rsid w:val="00EC0C61"/>
    <w:rsid w:val="00EC16F4"/>
    <w:rsid w:val="00EC18A0"/>
    <w:rsid w:val="00EC2585"/>
    <w:rsid w:val="00EC2BE8"/>
    <w:rsid w:val="00EC35C0"/>
    <w:rsid w:val="00EC40D4"/>
    <w:rsid w:val="00EC4F35"/>
    <w:rsid w:val="00EC6CA6"/>
    <w:rsid w:val="00EC6D76"/>
    <w:rsid w:val="00EC7548"/>
    <w:rsid w:val="00EC7B0D"/>
    <w:rsid w:val="00EC7D66"/>
    <w:rsid w:val="00ED030F"/>
    <w:rsid w:val="00ED06D3"/>
    <w:rsid w:val="00ED1208"/>
    <w:rsid w:val="00ED17AE"/>
    <w:rsid w:val="00ED1952"/>
    <w:rsid w:val="00ED2A29"/>
    <w:rsid w:val="00ED2CA2"/>
    <w:rsid w:val="00ED323F"/>
    <w:rsid w:val="00ED3532"/>
    <w:rsid w:val="00ED39D0"/>
    <w:rsid w:val="00ED3B12"/>
    <w:rsid w:val="00ED4396"/>
    <w:rsid w:val="00ED448C"/>
    <w:rsid w:val="00ED4FB8"/>
    <w:rsid w:val="00ED500F"/>
    <w:rsid w:val="00ED526C"/>
    <w:rsid w:val="00ED73F3"/>
    <w:rsid w:val="00ED7B46"/>
    <w:rsid w:val="00ED7BCC"/>
    <w:rsid w:val="00ED7FAD"/>
    <w:rsid w:val="00EE01EB"/>
    <w:rsid w:val="00EE0321"/>
    <w:rsid w:val="00EE0736"/>
    <w:rsid w:val="00EE0F10"/>
    <w:rsid w:val="00EE1349"/>
    <w:rsid w:val="00EE18DD"/>
    <w:rsid w:val="00EE2E4F"/>
    <w:rsid w:val="00EE399F"/>
    <w:rsid w:val="00EE49A0"/>
    <w:rsid w:val="00EE4D45"/>
    <w:rsid w:val="00EE4F7A"/>
    <w:rsid w:val="00EE5556"/>
    <w:rsid w:val="00EE5E45"/>
    <w:rsid w:val="00EE6013"/>
    <w:rsid w:val="00EE64C3"/>
    <w:rsid w:val="00EE7E3E"/>
    <w:rsid w:val="00EF035B"/>
    <w:rsid w:val="00EF046B"/>
    <w:rsid w:val="00EF06A2"/>
    <w:rsid w:val="00EF0714"/>
    <w:rsid w:val="00EF1397"/>
    <w:rsid w:val="00EF14FF"/>
    <w:rsid w:val="00EF1FCE"/>
    <w:rsid w:val="00EF22D3"/>
    <w:rsid w:val="00EF29C7"/>
    <w:rsid w:val="00EF49A9"/>
    <w:rsid w:val="00EF4CF0"/>
    <w:rsid w:val="00EF5034"/>
    <w:rsid w:val="00EF5206"/>
    <w:rsid w:val="00EF6DAD"/>
    <w:rsid w:val="00EF7100"/>
    <w:rsid w:val="00EF7A50"/>
    <w:rsid w:val="00EF7C02"/>
    <w:rsid w:val="00F00690"/>
    <w:rsid w:val="00F009DE"/>
    <w:rsid w:val="00F009FB"/>
    <w:rsid w:val="00F00A53"/>
    <w:rsid w:val="00F00ED3"/>
    <w:rsid w:val="00F017F5"/>
    <w:rsid w:val="00F0182E"/>
    <w:rsid w:val="00F0251A"/>
    <w:rsid w:val="00F027C5"/>
    <w:rsid w:val="00F03BFF"/>
    <w:rsid w:val="00F04039"/>
    <w:rsid w:val="00F0556C"/>
    <w:rsid w:val="00F058F1"/>
    <w:rsid w:val="00F0594E"/>
    <w:rsid w:val="00F059E9"/>
    <w:rsid w:val="00F05EB6"/>
    <w:rsid w:val="00F072ED"/>
    <w:rsid w:val="00F0747C"/>
    <w:rsid w:val="00F07B9D"/>
    <w:rsid w:val="00F10B95"/>
    <w:rsid w:val="00F1184E"/>
    <w:rsid w:val="00F11AC8"/>
    <w:rsid w:val="00F1212E"/>
    <w:rsid w:val="00F128B2"/>
    <w:rsid w:val="00F1394A"/>
    <w:rsid w:val="00F13D88"/>
    <w:rsid w:val="00F1410E"/>
    <w:rsid w:val="00F1580A"/>
    <w:rsid w:val="00F15984"/>
    <w:rsid w:val="00F15FB8"/>
    <w:rsid w:val="00F170FF"/>
    <w:rsid w:val="00F177FC"/>
    <w:rsid w:val="00F17C1A"/>
    <w:rsid w:val="00F17C6D"/>
    <w:rsid w:val="00F20089"/>
    <w:rsid w:val="00F202F7"/>
    <w:rsid w:val="00F208D9"/>
    <w:rsid w:val="00F20A7F"/>
    <w:rsid w:val="00F21389"/>
    <w:rsid w:val="00F2180F"/>
    <w:rsid w:val="00F220A3"/>
    <w:rsid w:val="00F225BD"/>
    <w:rsid w:val="00F2279A"/>
    <w:rsid w:val="00F229B0"/>
    <w:rsid w:val="00F22DFA"/>
    <w:rsid w:val="00F233CD"/>
    <w:rsid w:val="00F239C7"/>
    <w:rsid w:val="00F23AD1"/>
    <w:rsid w:val="00F2412B"/>
    <w:rsid w:val="00F24E35"/>
    <w:rsid w:val="00F2569D"/>
    <w:rsid w:val="00F25A6D"/>
    <w:rsid w:val="00F25DA0"/>
    <w:rsid w:val="00F264FD"/>
    <w:rsid w:val="00F2759D"/>
    <w:rsid w:val="00F275E8"/>
    <w:rsid w:val="00F27754"/>
    <w:rsid w:val="00F27BCB"/>
    <w:rsid w:val="00F27F5B"/>
    <w:rsid w:val="00F3075B"/>
    <w:rsid w:val="00F307FE"/>
    <w:rsid w:val="00F30C37"/>
    <w:rsid w:val="00F30E56"/>
    <w:rsid w:val="00F30F0B"/>
    <w:rsid w:val="00F3104E"/>
    <w:rsid w:val="00F31365"/>
    <w:rsid w:val="00F3154C"/>
    <w:rsid w:val="00F315B1"/>
    <w:rsid w:val="00F31935"/>
    <w:rsid w:val="00F31EF3"/>
    <w:rsid w:val="00F329DE"/>
    <w:rsid w:val="00F33627"/>
    <w:rsid w:val="00F33E30"/>
    <w:rsid w:val="00F34434"/>
    <w:rsid w:val="00F35682"/>
    <w:rsid w:val="00F36655"/>
    <w:rsid w:val="00F36F25"/>
    <w:rsid w:val="00F37145"/>
    <w:rsid w:val="00F37419"/>
    <w:rsid w:val="00F37BCA"/>
    <w:rsid w:val="00F37BD1"/>
    <w:rsid w:val="00F37F0A"/>
    <w:rsid w:val="00F40380"/>
    <w:rsid w:val="00F40AF0"/>
    <w:rsid w:val="00F4134F"/>
    <w:rsid w:val="00F419FC"/>
    <w:rsid w:val="00F42303"/>
    <w:rsid w:val="00F42F31"/>
    <w:rsid w:val="00F43781"/>
    <w:rsid w:val="00F43E29"/>
    <w:rsid w:val="00F44BFA"/>
    <w:rsid w:val="00F44E03"/>
    <w:rsid w:val="00F44F01"/>
    <w:rsid w:val="00F44FEC"/>
    <w:rsid w:val="00F4535E"/>
    <w:rsid w:val="00F4587C"/>
    <w:rsid w:val="00F46616"/>
    <w:rsid w:val="00F46EDF"/>
    <w:rsid w:val="00F4726C"/>
    <w:rsid w:val="00F475BD"/>
    <w:rsid w:val="00F478BF"/>
    <w:rsid w:val="00F47A3E"/>
    <w:rsid w:val="00F507C5"/>
    <w:rsid w:val="00F51942"/>
    <w:rsid w:val="00F519BF"/>
    <w:rsid w:val="00F51CA4"/>
    <w:rsid w:val="00F52341"/>
    <w:rsid w:val="00F52348"/>
    <w:rsid w:val="00F52885"/>
    <w:rsid w:val="00F52A89"/>
    <w:rsid w:val="00F53101"/>
    <w:rsid w:val="00F5334C"/>
    <w:rsid w:val="00F53845"/>
    <w:rsid w:val="00F53B99"/>
    <w:rsid w:val="00F54243"/>
    <w:rsid w:val="00F5525B"/>
    <w:rsid w:val="00F56015"/>
    <w:rsid w:val="00F57A42"/>
    <w:rsid w:val="00F6018D"/>
    <w:rsid w:val="00F602B8"/>
    <w:rsid w:val="00F60C94"/>
    <w:rsid w:val="00F60CED"/>
    <w:rsid w:val="00F60E74"/>
    <w:rsid w:val="00F61558"/>
    <w:rsid w:val="00F61ABC"/>
    <w:rsid w:val="00F61AE9"/>
    <w:rsid w:val="00F6216D"/>
    <w:rsid w:val="00F62B01"/>
    <w:rsid w:val="00F6305A"/>
    <w:rsid w:val="00F63BA4"/>
    <w:rsid w:val="00F64506"/>
    <w:rsid w:val="00F647CD"/>
    <w:rsid w:val="00F64E3D"/>
    <w:rsid w:val="00F65159"/>
    <w:rsid w:val="00F653E8"/>
    <w:rsid w:val="00F659FD"/>
    <w:rsid w:val="00F65A04"/>
    <w:rsid w:val="00F65B13"/>
    <w:rsid w:val="00F66F32"/>
    <w:rsid w:val="00F67325"/>
    <w:rsid w:val="00F67832"/>
    <w:rsid w:val="00F67BC3"/>
    <w:rsid w:val="00F70152"/>
    <w:rsid w:val="00F70D12"/>
    <w:rsid w:val="00F71D8E"/>
    <w:rsid w:val="00F723E5"/>
    <w:rsid w:val="00F72C2B"/>
    <w:rsid w:val="00F73E46"/>
    <w:rsid w:val="00F74173"/>
    <w:rsid w:val="00F74A2B"/>
    <w:rsid w:val="00F75248"/>
    <w:rsid w:val="00F76A4C"/>
    <w:rsid w:val="00F76DA7"/>
    <w:rsid w:val="00F770FF"/>
    <w:rsid w:val="00F77246"/>
    <w:rsid w:val="00F773C7"/>
    <w:rsid w:val="00F7771A"/>
    <w:rsid w:val="00F77AA2"/>
    <w:rsid w:val="00F77F71"/>
    <w:rsid w:val="00F800EF"/>
    <w:rsid w:val="00F811D5"/>
    <w:rsid w:val="00F81DB3"/>
    <w:rsid w:val="00F828EC"/>
    <w:rsid w:val="00F82F53"/>
    <w:rsid w:val="00F82F70"/>
    <w:rsid w:val="00F834FC"/>
    <w:rsid w:val="00F83A25"/>
    <w:rsid w:val="00F83C54"/>
    <w:rsid w:val="00F83DB1"/>
    <w:rsid w:val="00F85CA6"/>
    <w:rsid w:val="00F860D0"/>
    <w:rsid w:val="00F864CF"/>
    <w:rsid w:val="00F86862"/>
    <w:rsid w:val="00F86CDB"/>
    <w:rsid w:val="00F86D6A"/>
    <w:rsid w:val="00F87839"/>
    <w:rsid w:val="00F90181"/>
    <w:rsid w:val="00F90E4E"/>
    <w:rsid w:val="00F910CF"/>
    <w:rsid w:val="00F9124A"/>
    <w:rsid w:val="00F91A13"/>
    <w:rsid w:val="00F934E5"/>
    <w:rsid w:val="00F94CB7"/>
    <w:rsid w:val="00F94DFA"/>
    <w:rsid w:val="00F95500"/>
    <w:rsid w:val="00F95539"/>
    <w:rsid w:val="00F956C2"/>
    <w:rsid w:val="00F95717"/>
    <w:rsid w:val="00F95AFA"/>
    <w:rsid w:val="00F96A84"/>
    <w:rsid w:val="00F96D0C"/>
    <w:rsid w:val="00F96ED7"/>
    <w:rsid w:val="00F979E4"/>
    <w:rsid w:val="00F97A58"/>
    <w:rsid w:val="00F97AE7"/>
    <w:rsid w:val="00FA0502"/>
    <w:rsid w:val="00FA08EF"/>
    <w:rsid w:val="00FA09F0"/>
    <w:rsid w:val="00FA0B24"/>
    <w:rsid w:val="00FA0BA1"/>
    <w:rsid w:val="00FA16AC"/>
    <w:rsid w:val="00FA1DC4"/>
    <w:rsid w:val="00FA2031"/>
    <w:rsid w:val="00FA35A2"/>
    <w:rsid w:val="00FA37AA"/>
    <w:rsid w:val="00FA4377"/>
    <w:rsid w:val="00FA456A"/>
    <w:rsid w:val="00FA4705"/>
    <w:rsid w:val="00FA4D57"/>
    <w:rsid w:val="00FA5132"/>
    <w:rsid w:val="00FA5807"/>
    <w:rsid w:val="00FA5EDA"/>
    <w:rsid w:val="00FA6007"/>
    <w:rsid w:val="00FA70B3"/>
    <w:rsid w:val="00FA7266"/>
    <w:rsid w:val="00FA7DFC"/>
    <w:rsid w:val="00FB01CA"/>
    <w:rsid w:val="00FB076B"/>
    <w:rsid w:val="00FB0BA1"/>
    <w:rsid w:val="00FB3679"/>
    <w:rsid w:val="00FB393F"/>
    <w:rsid w:val="00FB463E"/>
    <w:rsid w:val="00FB499F"/>
    <w:rsid w:val="00FB4D56"/>
    <w:rsid w:val="00FB521B"/>
    <w:rsid w:val="00FB530A"/>
    <w:rsid w:val="00FB538E"/>
    <w:rsid w:val="00FB54EF"/>
    <w:rsid w:val="00FB5A2D"/>
    <w:rsid w:val="00FB7145"/>
    <w:rsid w:val="00FB77E4"/>
    <w:rsid w:val="00FB7EE3"/>
    <w:rsid w:val="00FC01C8"/>
    <w:rsid w:val="00FC0631"/>
    <w:rsid w:val="00FC0718"/>
    <w:rsid w:val="00FC1520"/>
    <w:rsid w:val="00FC1DFB"/>
    <w:rsid w:val="00FC1E42"/>
    <w:rsid w:val="00FC3361"/>
    <w:rsid w:val="00FC4083"/>
    <w:rsid w:val="00FC4899"/>
    <w:rsid w:val="00FC4CD0"/>
    <w:rsid w:val="00FC5780"/>
    <w:rsid w:val="00FC5DB4"/>
    <w:rsid w:val="00FC5F06"/>
    <w:rsid w:val="00FC6039"/>
    <w:rsid w:val="00FC63C1"/>
    <w:rsid w:val="00FC6AA3"/>
    <w:rsid w:val="00FC6C64"/>
    <w:rsid w:val="00FD02DF"/>
    <w:rsid w:val="00FD0896"/>
    <w:rsid w:val="00FD0928"/>
    <w:rsid w:val="00FD125C"/>
    <w:rsid w:val="00FD1FB6"/>
    <w:rsid w:val="00FD2A3D"/>
    <w:rsid w:val="00FD30F7"/>
    <w:rsid w:val="00FD3E61"/>
    <w:rsid w:val="00FD4519"/>
    <w:rsid w:val="00FD4665"/>
    <w:rsid w:val="00FD48B2"/>
    <w:rsid w:val="00FD4C5B"/>
    <w:rsid w:val="00FD5B31"/>
    <w:rsid w:val="00FD6384"/>
    <w:rsid w:val="00FD6798"/>
    <w:rsid w:val="00FD7071"/>
    <w:rsid w:val="00FD738F"/>
    <w:rsid w:val="00FD75FA"/>
    <w:rsid w:val="00FE0154"/>
    <w:rsid w:val="00FE0282"/>
    <w:rsid w:val="00FE08BB"/>
    <w:rsid w:val="00FE0F91"/>
    <w:rsid w:val="00FE1403"/>
    <w:rsid w:val="00FE144E"/>
    <w:rsid w:val="00FE183E"/>
    <w:rsid w:val="00FE1E02"/>
    <w:rsid w:val="00FE1EAB"/>
    <w:rsid w:val="00FE2C76"/>
    <w:rsid w:val="00FE343D"/>
    <w:rsid w:val="00FE3B68"/>
    <w:rsid w:val="00FE4988"/>
    <w:rsid w:val="00FE56B1"/>
    <w:rsid w:val="00FE61EA"/>
    <w:rsid w:val="00FE6291"/>
    <w:rsid w:val="00FE7265"/>
    <w:rsid w:val="00FE7AD2"/>
    <w:rsid w:val="00FE7B77"/>
    <w:rsid w:val="00FF0017"/>
    <w:rsid w:val="00FF1137"/>
    <w:rsid w:val="00FF1274"/>
    <w:rsid w:val="00FF1388"/>
    <w:rsid w:val="00FF17BD"/>
    <w:rsid w:val="00FF1885"/>
    <w:rsid w:val="00FF1B41"/>
    <w:rsid w:val="00FF1BBA"/>
    <w:rsid w:val="00FF2E0F"/>
    <w:rsid w:val="00FF38A9"/>
    <w:rsid w:val="00FF3D4E"/>
    <w:rsid w:val="00FF3D59"/>
    <w:rsid w:val="00FF45B1"/>
    <w:rsid w:val="00FF487F"/>
    <w:rsid w:val="00FF6590"/>
    <w:rsid w:val="00FF6894"/>
    <w:rsid w:val="00FF6D4B"/>
    <w:rsid w:val="00FF6E3D"/>
    <w:rsid w:val="00FF7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98E5"/>
  <w15:docId w15:val="{2177EBD1-3CAC-4B39-98E4-0C7930F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9F"/>
    <w:rPr>
      <w:lang w:val="en-US"/>
    </w:rPr>
  </w:style>
  <w:style w:type="paragraph" w:styleId="Heading2">
    <w:name w:val="heading 2"/>
    <w:basedOn w:val="Normal"/>
    <w:link w:val="Heading2Char"/>
    <w:uiPriority w:val="9"/>
    <w:qFormat/>
    <w:rsid w:val="005C47F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EB"/>
    <w:rPr>
      <w:rFonts w:ascii="Tahoma" w:hAnsi="Tahoma" w:cs="Tahoma"/>
      <w:sz w:val="16"/>
      <w:szCs w:val="16"/>
      <w:lang w:val="en-US"/>
    </w:rPr>
  </w:style>
  <w:style w:type="paragraph" w:styleId="Header">
    <w:name w:val="header"/>
    <w:basedOn w:val="Normal"/>
    <w:link w:val="HeaderChar"/>
    <w:uiPriority w:val="99"/>
    <w:unhideWhenUsed/>
    <w:rsid w:val="00E354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354EB"/>
    <w:rPr>
      <w:lang w:val="en-US"/>
    </w:rPr>
  </w:style>
  <w:style w:type="paragraph" w:styleId="Footer">
    <w:name w:val="footer"/>
    <w:basedOn w:val="Normal"/>
    <w:link w:val="FooterChar"/>
    <w:uiPriority w:val="99"/>
    <w:unhideWhenUsed/>
    <w:rsid w:val="00E354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354EB"/>
    <w:rPr>
      <w:lang w:val="en-US"/>
    </w:rPr>
  </w:style>
  <w:style w:type="character" w:styleId="CommentReference">
    <w:name w:val="annotation reference"/>
    <w:basedOn w:val="DefaultParagraphFont"/>
    <w:uiPriority w:val="99"/>
    <w:semiHidden/>
    <w:unhideWhenUsed/>
    <w:rsid w:val="00E354EB"/>
    <w:rPr>
      <w:sz w:val="16"/>
      <w:szCs w:val="16"/>
    </w:rPr>
  </w:style>
  <w:style w:type="paragraph" w:styleId="CommentText">
    <w:name w:val="annotation text"/>
    <w:basedOn w:val="Normal"/>
    <w:link w:val="CommentTextChar"/>
    <w:uiPriority w:val="99"/>
    <w:semiHidden/>
    <w:unhideWhenUsed/>
    <w:rsid w:val="00E354EB"/>
    <w:pPr>
      <w:spacing w:line="240" w:lineRule="auto"/>
    </w:pPr>
    <w:rPr>
      <w:sz w:val="20"/>
      <w:szCs w:val="20"/>
    </w:rPr>
  </w:style>
  <w:style w:type="character" w:customStyle="1" w:styleId="CommentTextChar">
    <w:name w:val="Comment Text Char"/>
    <w:basedOn w:val="DefaultParagraphFont"/>
    <w:link w:val="CommentText"/>
    <w:uiPriority w:val="99"/>
    <w:semiHidden/>
    <w:rsid w:val="00E354EB"/>
    <w:rPr>
      <w:sz w:val="20"/>
      <w:szCs w:val="20"/>
      <w:lang w:val="en-US"/>
    </w:rPr>
  </w:style>
  <w:style w:type="paragraph" w:styleId="CommentSubject">
    <w:name w:val="annotation subject"/>
    <w:basedOn w:val="CommentText"/>
    <w:next w:val="CommentText"/>
    <w:link w:val="CommentSubjectChar"/>
    <w:uiPriority w:val="99"/>
    <w:semiHidden/>
    <w:unhideWhenUsed/>
    <w:rsid w:val="00E354EB"/>
    <w:rPr>
      <w:b/>
      <w:bCs/>
    </w:rPr>
  </w:style>
  <w:style w:type="character" w:customStyle="1" w:styleId="CommentSubjectChar">
    <w:name w:val="Comment Subject Char"/>
    <w:basedOn w:val="CommentTextChar"/>
    <w:link w:val="CommentSubject"/>
    <w:uiPriority w:val="99"/>
    <w:semiHidden/>
    <w:rsid w:val="00E354EB"/>
    <w:rPr>
      <w:b/>
      <w:bCs/>
      <w:sz w:val="20"/>
      <w:szCs w:val="20"/>
      <w:lang w:val="en-US"/>
    </w:rPr>
  </w:style>
  <w:style w:type="paragraph" w:styleId="ListParagraph">
    <w:name w:val="List Paragraph"/>
    <w:basedOn w:val="Normal"/>
    <w:uiPriority w:val="34"/>
    <w:qFormat/>
    <w:rsid w:val="00E354EB"/>
    <w:pPr>
      <w:ind w:left="720"/>
      <w:contextualSpacing/>
    </w:pPr>
  </w:style>
  <w:style w:type="paragraph" w:customStyle="1" w:styleId="Default">
    <w:name w:val="Default"/>
    <w:rsid w:val="00E354EB"/>
    <w:pPr>
      <w:widowControl w:val="0"/>
      <w:autoSpaceDE w:val="0"/>
      <w:autoSpaceDN w:val="0"/>
      <w:adjustRightInd w:val="0"/>
      <w:spacing w:after="0" w:line="240" w:lineRule="auto"/>
    </w:pPr>
    <w:rPr>
      <w:rFonts w:ascii="Calibri" w:eastAsiaTheme="minorEastAsia" w:hAnsi="Calibri" w:cs="Calibri"/>
      <w:color w:val="000000"/>
      <w:sz w:val="24"/>
      <w:szCs w:val="24"/>
      <w:lang w:val="en-US" w:eastAsia="ja-JP"/>
    </w:rPr>
  </w:style>
  <w:style w:type="table" w:styleId="TableGrid">
    <w:name w:val="Table Grid"/>
    <w:basedOn w:val="TableNormal"/>
    <w:uiPriority w:val="39"/>
    <w:rsid w:val="00E354EB"/>
    <w:pPr>
      <w:spacing w:after="0" w:line="240" w:lineRule="auto"/>
    </w:pPr>
    <w:rPr>
      <w:rFonts w:ascii="Times New Roman" w:hAnsi="Times New Roman" w:cs="Times New Roman"/>
      <w:sz w:val="18"/>
      <w:szCs w:val="1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E354EB"/>
    <w:pPr>
      <w:spacing w:after="0" w:line="240" w:lineRule="auto"/>
    </w:pPr>
    <w:rPr>
      <w:sz w:val="20"/>
      <w:szCs w:val="20"/>
    </w:rPr>
  </w:style>
  <w:style w:type="character" w:customStyle="1" w:styleId="FootnoteTextChar">
    <w:name w:val="Footnote Text Char"/>
    <w:basedOn w:val="DefaultParagraphFont"/>
    <w:link w:val="FootnoteText"/>
    <w:uiPriority w:val="99"/>
    <w:rsid w:val="00E354EB"/>
    <w:rPr>
      <w:sz w:val="20"/>
      <w:szCs w:val="20"/>
      <w:lang w:val="en-US"/>
    </w:rPr>
  </w:style>
  <w:style w:type="character" w:styleId="FootnoteReference">
    <w:name w:val="footnote reference"/>
    <w:basedOn w:val="DefaultParagraphFont"/>
    <w:uiPriority w:val="99"/>
    <w:semiHidden/>
    <w:unhideWhenUsed/>
    <w:rsid w:val="00E354EB"/>
    <w:rPr>
      <w:vertAlign w:val="superscript"/>
    </w:rPr>
  </w:style>
  <w:style w:type="paragraph" w:styleId="Revision">
    <w:name w:val="Revision"/>
    <w:hidden/>
    <w:uiPriority w:val="99"/>
    <w:semiHidden/>
    <w:rsid w:val="00E354EB"/>
    <w:pPr>
      <w:spacing w:after="0" w:line="240" w:lineRule="auto"/>
    </w:pPr>
    <w:rPr>
      <w:lang w:val="fr-FR"/>
    </w:rPr>
  </w:style>
  <w:style w:type="paragraph" w:styleId="Bibliography">
    <w:name w:val="Bibliography"/>
    <w:basedOn w:val="Normal"/>
    <w:next w:val="Normal"/>
    <w:uiPriority w:val="37"/>
    <w:unhideWhenUsed/>
    <w:rsid w:val="00E354EB"/>
  </w:style>
  <w:style w:type="paragraph" w:styleId="PlainText">
    <w:name w:val="Plain Text"/>
    <w:basedOn w:val="Normal"/>
    <w:link w:val="PlainTextChar"/>
    <w:uiPriority w:val="99"/>
    <w:unhideWhenUsed/>
    <w:rsid w:val="00E354E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E354EB"/>
    <w:rPr>
      <w:rFonts w:ascii="Calibri" w:hAnsi="Calibri"/>
      <w:szCs w:val="21"/>
    </w:rPr>
  </w:style>
  <w:style w:type="character" w:styleId="PlaceholderText">
    <w:name w:val="Placeholder Text"/>
    <w:basedOn w:val="DefaultParagraphFont"/>
    <w:uiPriority w:val="99"/>
    <w:semiHidden/>
    <w:rsid w:val="00E354EB"/>
    <w:rPr>
      <w:color w:val="808080"/>
    </w:rPr>
  </w:style>
  <w:style w:type="paragraph" w:styleId="HTMLPreformatted">
    <w:name w:val="HTML Preformatted"/>
    <w:basedOn w:val="Normal"/>
    <w:link w:val="HTMLPreformattedChar"/>
    <w:uiPriority w:val="99"/>
    <w:semiHidden/>
    <w:unhideWhenUsed/>
    <w:rsid w:val="00E3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E354EB"/>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E354EB"/>
    <w:rPr>
      <w:color w:val="0000FF"/>
      <w:u w:val="single"/>
    </w:rPr>
  </w:style>
  <w:style w:type="character" w:customStyle="1" w:styleId="journaltitle">
    <w:name w:val="journaltitle"/>
    <w:basedOn w:val="DefaultParagraphFont"/>
    <w:rsid w:val="00E354EB"/>
  </w:style>
  <w:style w:type="character" w:customStyle="1" w:styleId="srcinfo">
    <w:name w:val="srcinfo"/>
    <w:basedOn w:val="DefaultParagraphFont"/>
    <w:rsid w:val="00E354EB"/>
  </w:style>
  <w:style w:type="character" w:customStyle="1" w:styleId="slug-vol">
    <w:name w:val="slug-vol"/>
    <w:basedOn w:val="DefaultParagraphFont"/>
    <w:rsid w:val="00BC2B10"/>
  </w:style>
  <w:style w:type="character" w:customStyle="1" w:styleId="apple-converted-space">
    <w:name w:val="apple-converted-space"/>
    <w:basedOn w:val="DefaultParagraphFont"/>
    <w:rsid w:val="00BC2B10"/>
  </w:style>
  <w:style w:type="character" w:customStyle="1" w:styleId="slug-issue">
    <w:name w:val="slug-issue"/>
    <w:basedOn w:val="DefaultParagraphFont"/>
    <w:rsid w:val="00BC2B10"/>
  </w:style>
  <w:style w:type="character" w:customStyle="1" w:styleId="slug-pages">
    <w:name w:val="slug-pages"/>
    <w:basedOn w:val="DefaultParagraphFont"/>
    <w:rsid w:val="00BC2B10"/>
  </w:style>
  <w:style w:type="paragraph" w:styleId="NormalWeb">
    <w:name w:val="Normal (Web)"/>
    <w:basedOn w:val="Normal"/>
    <w:uiPriority w:val="99"/>
    <w:semiHidden/>
    <w:unhideWhenUsed/>
    <w:rsid w:val="00F770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2Char">
    <w:name w:val="Heading 2 Char"/>
    <w:basedOn w:val="DefaultParagraphFont"/>
    <w:link w:val="Heading2"/>
    <w:uiPriority w:val="9"/>
    <w:rsid w:val="005C47F1"/>
    <w:rPr>
      <w:rFonts w:ascii="Times New Roman" w:eastAsia="Times New Roman" w:hAnsi="Times New Roman" w:cs="Times New Roman"/>
      <w:b/>
      <w:bCs/>
      <w:sz w:val="36"/>
      <w:szCs w:val="36"/>
      <w:lang w:val="fr-FR" w:eastAsia="fr-FR"/>
    </w:rPr>
  </w:style>
  <w:style w:type="paragraph" w:styleId="EndnoteText">
    <w:name w:val="endnote text"/>
    <w:basedOn w:val="Normal"/>
    <w:link w:val="EndnoteTextChar"/>
    <w:uiPriority w:val="99"/>
    <w:semiHidden/>
    <w:unhideWhenUsed/>
    <w:rsid w:val="001924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44C"/>
    <w:rPr>
      <w:sz w:val="20"/>
      <w:szCs w:val="20"/>
      <w:lang w:val="en-US"/>
    </w:rPr>
  </w:style>
  <w:style w:type="character" w:styleId="EndnoteReference">
    <w:name w:val="endnote reference"/>
    <w:basedOn w:val="DefaultParagraphFont"/>
    <w:uiPriority w:val="99"/>
    <w:semiHidden/>
    <w:unhideWhenUsed/>
    <w:rsid w:val="001924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9638">
      <w:bodyDiv w:val="1"/>
      <w:marLeft w:val="0"/>
      <w:marRight w:val="0"/>
      <w:marTop w:val="0"/>
      <w:marBottom w:val="0"/>
      <w:divBdr>
        <w:top w:val="none" w:sz="0" w:space="0" w:color="auto"/>
        <w:left w:val="none" w:sz="0" w:space="0" w:color="auto"/>
        <w:bottom w:val="none" w:sz="0" w:space="0" w:color="auto"/>
        <w:right w:val="none" w:sz="0" w:space="0" w:color="auto"/>
      </w:divBdr>
    </w:div>
    <w:div w:id="225071073">
      <w:bodyDiv w:val="1"/>
      <w:marLeft w:val="0"/>
      <w:marRight w:val="0"/>
      <w:marTop w:val="0"/>
      <w:marBottom w:val="0"/>
      <w:divBdr>
        <w:top w:val="none" w:sz="0" w:space="0" w:color="auto"/>
        <w:left w:val="none" w:sz="0" w:space="0" w:color="auto"/>
        <w:bottom w:val="none" w:sz="0" w:space="0" w:color="auto"/>
        <w:right w:val="none" w:sz="0" w:space="0" w:color="auto"/>
      </w:divBdr>
    </w:div>
    <w:div w:id="255946415">
      <w:bodyDiv w:val="1"/>
      <w:marLeft w:val="0"/>
      <w:marRight w:val="0"/>
      <w:marTop w:val="0"/>
      <w:marBottom w:val="0"/>
      <w:divBdr>
        <w:top w:val="none" w:sz="0" w:space="0" w:color="auto"/>
        <w:left w:val="none" w:sz="0" w:space="0" w:color="auto"/>
        <w:bottom w:val="none" w:sz="0" w:space="0" w:color="auto"/>
        <w:right w:val="none" w:sz="0" w:space="0" w:color="auto"/>
      </w:divBdr>
    </w:div>
    <w:div w:id="272322125">
      <w:bodyDiv w:val="1"/>
      <w:marLeft w:val="0"/>
      <w:marRight w:val="0"/>
      <w:marTop w:val="0"/>
      <w:marBottom w:val="0"/>
      <w:divBdr>
        <w:top w:val="none" w:sz="0" w:space="0" w:color="auto"/>
        <w:left w:val="none" w:sz="0" w:space="0" w:color="auto"/>
        <w:bottom w:val="none" w:sz="0" w:space="0" w:color="auto"/>
        <w:right w:val="none" w:sz="0" w:space="0" w:color="auto"/>
      </w:divBdr>
    </w:div>
    <w:div w:id="283587677">
      <w:bodyDiv w:val="1"/>
      <w:marLeft w:val="0"/>
      <w:marRight w:val="0"/>
      <w:marTop w:val="0"/>
      <w:marBottom w:val="0"/>
      <w:divBdr>
        <w:top w:val="none" w:sz="0" w:space="0" w:color="auto"/>
        <w:left w:val="none" w:sz="0" w:space="0" w:color="auto"/>
        <w:bottom w:val="none" w:sz="0" w:space="0" w:color="auto"/>
        <w:right w:val="none" w:sz="0" w:space="0" w:color="auto"/>
      </w:divBdr>
    </w:div>
    <w:div w:id="345526890">
      <w:bodyDiv w:val="1"/>
      <w:marLeft w:val="0"/>
      <w:marRight w:val="0"/>
      <w:marTop w:val="0"/>
      <w:marBottom w:val="0"/>
      <w:divBdr>
        <w:top w:val="none" w:sz="0" w:space="0" w:color="auto"/>
        <w:left w:val="none" w:sz="0" w:space="0" w:color="auto"/>
        <w:bottom w:val="none" w:sz="0" w:space="0" w:color="auto"/>
        <w:right w:val="none" w:sz="0" w:space="0" w:color="auto"/>
      </w:divBdr>
    </w:div>
    <w:div w:id="393090219">
      <w:bodyDiv w:val="1"/>
      <w:marLeft w:val="0"/>
      <w:marRight w:val="0"/>
      <w:marTop w:val="0"/>
      <w:marBottom w:val="0"/>
      <w:divBdr>
        <w:top w:val="none" w:sz="0" w:space="0" w:color="auto"/>
        <w:left w:val="none" w:sz="0" w:space="0" w:color="auto"/>
        <w:bottom w:val="none" w:sz="0" w:space="0" w:color="auto"/>
        <w:right w:val="none" w:sz="0" w:space="0" w:color="auto"/>
      </w:divBdr>
    </w:div>
    <w:div w:id="40784365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55638143">
      <w:bodyDiv w:val="1"/>
      <w:marLeft w:val="0"/>
      <w:marRight w:val="0"/>
      <w:marTop w:val="0"/>
      <w:marBottom w:val="0"/>
      <w:divBdr>
        <w:top w:val="none" w:sz="0" w:space="0" w:color="auto"/>
        <w:left w:val="none" w:sz="0" w:space="0" w:color="auto"/>
        <w:bottom w:val="none" w:sz="0" w:space="0" w:color="auto"/>
        <w:right w:val="none" w:sz="0" w:space="0" w:color="auto"/>
      </w:divBdr>
    </w:div>
    <w:div w:id="546841563">
      <w:bodyDiv w:val="1"/>
      <w:marLeft w:val="0"/>
      <w:marRight w:val="0"/>
      <w:marTop w:val="0"/>
      <w:marBottom w:val="0"/>
      <w:divBdr>
        <w:top w:val="none" w:sz="0" w:space="0" w:color="auto"/>
        <w:left w:val="none" w:sz="0" w:space="0" w:color="auto"/>
        <w:bottom w:val="none" w:sz="0" w:space="0" w:color="auto"/>
        <w:right w:val="none" w:sz="0" w:space="0" w:color="auto"/>
      </w:divBdr>
    </w:div>
    <w:div w:id="589630881">
      <w:bodyDiv w:val="1"/>
      <w:marLeft w:val="0"/>
      <w:marRight w:val="0"/>
      <w:marTop w:val="0"/>
      <w:marBottom w:val="0"/>
      <w:divBdr>
        <w:top w:val="none" w:sz="0" w:space="0" w:color="auto"/>
        <w:left w:val="none" w:sz="0" w:space="0" w:color="auto"/>
        <w:bottom w:val="none" w:sz="0" w:space="0" w:color="auto"/>
        <w:right w:val="none" w:sz="0" w:space="0" w:color="auto"/>
      </w:divBdr>
    </w:div>
    <w:div w:id="602416406">
      <w:bodyDiv w:val="1"/>
      <w:marLeft w:val="0"/>
      <w:marRight w:val="0"/>
      <w:marTop w:val="0"/>
      <w:marBottom w:val="0"/>
      <w:divBdr>
        <w:top w:val="none" w:sz="0" w:space="0" w:color="auto"/>
        <w:left w:val="none" w:sz="0" w:space="0" w:color="auto"/>
        <w:bottom w:val="none" w:sz="0" w:space="0" w:color="auto"/>
        <w:right w:val="none" w:sz="0" w:space="0" w:color="auto"/>
      </w:divBdr>
    </w:div>
    <w:div w:id="630980910">
      <w:bodyDiv w:val="1"/>
      <w:marLeft w:val="0"/>
      <w:marRight w:val="0"/>
      <w:marTop w:val="0"/>
      <w:marBottom w:val="0"/>
      <w:divBdr>
        <w:top w:val="none" w:sz="0" w:space="0" w:color="auto"/>
        <w:left w:val="none" w:sz="0" w:space="0" w:color="auto"/>
        <w:bottom w:val="none" w:sz="0" w:space="0" w:color="auto"/>
        <w:right w:val="none" w:sz="0" w:space="0" w:color="auto"/>
      </w:divBdr>
    </w:div>
    <w:div w:id="648092656">
      <w:bodyDiv w:val="1"/>
      <w:marLeft w:val="0"/>
      <w:marRight w:val="0"/>
      <w:marTop w:val="0"/>
      <w:marBottom w:val="0"/>
      <w:divBdr>
        <w:top w:val="none" w:sz="0" w:space="0" w:color="auto"/>
        <w:left w:val="none" w:sz="0" w:space="0" w:color="auto"/>
        <w:bottom w:val="none" w:sz="0" w:space="0" w:color="auto"/>
        <w:right w:val="none" w:sz="0" w:space="0" w:color="auto"/>
      </w:divBdr>
    </w:div>
    <w:div w:id="756440026">
      <w:bodyDiv w:val="1"/>
      <w:marLeft w:val="0"/>
      <w:marRight w:val="0"/>
      <w:marTop w:val="0"/>
      <w:marBottom w:val="0"/>
      <w:divBdr>
        <w:top w:val="none" w:sz="0" w:space="0" w:color="auto"/>
        <w:left w:val="none" w:sz="0" w:space="0" w:color="auto"/>
        <w:bottom w:val="none" w:sz="0" w:space="0" w:color="auto"/>
        <w:right w:val="none" w:sz="0" w:space="0" w:color="auto"/>
      </w:divBdr>
    </w:div>
    <w:div w:id="778378038">
      <w:bodyDiv w:val="1"/>
      <w:marLeft w:val="0"/>
      <w:marRight w:val="0"/>
      <w:marTop w:val="0"/>
      <w:marBottom w:val="0"/>
      <w:divBdr>
        <w:top w:val="none" w:sz="0" w:space="0" w:color="auto"/>
        <w:left w:val="none" w:sz="0" w:space="0" w:color="auto"/>
        <w:bottom w:val="none" w:sz="0" w:space="0" w:color="auto"/>
        <w:right w:val="none" w:sz="0" w:space="0" w:color="auto"/>
      </w:divBdr>
    </w:div>
    <w:div w:id="805392409">
      <w:bodyDiv w:val="1"/>
      <w:marLeft w:val="0"/>
      <w:marRight w:val="0"/>
      <w:marTop w:val="0"/>
      <w:marBottom w:val="0"/>
      <w:divBdr>
        <w:top w:val="none" w:sz="0" w:space="0" w:color="auto"/>
        <w:left w:val="none" w:sz="0" w:space="0" w:color="auto"/>
        <w:bottom w:val="none" w:sz="0" w:space="0" w:color="auto"/>
        <w:right w:val="none" w:sz="0" w:space="0" w:color="auto"/>
      </w:divBdr>
    </w:div>
    <w:div w:id="813571911">
      <w:bodyDiv w:val="1"/>
      <w:marLeft w:val="0"/>
      <w:marRight w:val="0"/>
      <w:marTop w:val="0"/>
      <w:marBottom w:val="0"/>
      <w:divBdr>
        <w:top w:val="none" w:sz="0" w:space="0" w:color="auto"/>
        <w:left w:val="none" w:sz="0" w:space="0" w:color="auto"/>
        <w:bottom w:val="none" w:sz="0" w:space="0" w:color="auto"/>
        <w:right w:val="none" w:sz="0" w:space="0" w:color="auto"/>
      </w:divBdr>
    </w:div>
    <w:div w:id="838931350">
      <w:bodyDiv w:val="1"/>
      <w:marLeft w:val="0"/>
      <w:marRight w:val="0"/>
      <w:marTop w:val="0"/>
      <w:marBottom w:val="0"/>
      <w:divBdr>
        <w:top w:val="none" w:sz="0" w:space="0" w:color="auto"/>
        <w:left w:val="none" w:sz="0" w:space="0" w:color="auto"/>
        <w:bottom w:val="none" w:sz="0" w:space="0" w:color="auto"/>
        <w:right w:val="none" w:sz="0" w:space="0" w:color="auto"/>
      </w:divBdr>
    </w:div>
    <w:div w:id="854877575">
      <w:bodyDiv w:val="1"/>
      <w:marLeft w:val="0"/>
      <w:marRight w:val="0"/>
      <w:marTop w:val="0"/>
      <w:marBottom w:val="0"/>
      <w:divBdr>
        <w:top w:val="none" w:sz="0" w:space="0" w:color="auto"/>
        <w:left w:val="none" w:sz="0" w:space="0" w:color="auto"/>
        <w:bottom w:val="none" w:sz="0" w:space="0" w:color="auto"/>
        <w:right w:val="none" w:sz="0" w:space="0" w:color="auto"/>
      </w:divBdr>
    </w:div>
    <w:div w:id="867179513">
      <w:bodyDiv w:val="1"/>
      <w:marLeft w:val="0"/>
      <w:marRight w:val="0"/>
      <w:marTop w:val="0"/>
      <w:marBottom w:val="0"/>
      <w:divBdr>
        <w:top w:val="none" w:sz="0" w:space="0" w:color="auto"/>
        <w:left w:val="none" w:sz="0" w:space="0" w:color="auto"/>
        <w:bottom w:val="none" w:sz="0" w:space="0" w:color="auto"/>
        <w:right w:val="none" w:sz="0" w:space="0" w:color="auto"/>
      </w:divBdr>
    </w:div>
    <w:div w:id="868496358">
      <w:bodyDiv w:val="1"/>
      <w:marLeft w:val="0"/>
      <w:marRight w:val="0"/>
      <w:marTop w:val="0"/>
      <w:marBottom w:val="0"/>
      <w:divBdr>
        <w:top w:val="none" w:sz="0" w:space="0" w:color="auto"/>
        <w:left w:val="none" w:sz="0" w:space="0" w:color="auto"/>
        <w:bottom w:val="none" w:sz="0" w:space="0" w:color="auto"/>
        <w:right w:val="none" w:sz="0" w:space="0" w:color="auto"/>
      </w:divBdr>
    </w:div>
    <w:div w:id="879896764">
      <w:bodyDiv w:val="1"/>
      <w:marLeft w:val="0"/>
      <w:marRight w:val="0"/>
      <w:marTop w:val="0"/>
      <w:marBottom w:val="0"/>
      <w:divBdr>
        <w:top w:val="none" w:sz="0" w:space="0" w:color="auto"/>
        <w:left w:val="none" w:sz="0" w:space="0" w:color="auto"/>
        <w:bottom w:val="none" w:sz="0" w:space="0" w:color="auto"/>
        <w:right w:val="none" w:sz="0" w:space="0" w:color="auto"/>
      </w:divBdr>
    </w:div>
    <w:div w:id="893851315">
      <w:bodyDiv w:val="1"/>
      <w:marLeft w:val="0"/>
      <w:marRight w:val="0"/>
      <w:marTop w:val="0"/>
      <w:marBottom w:val="0"/>
      <w:divBdr>
        <w:top w:val="none" w:sz="0" w:space="0" w:color="auto"/>
        <w:left w:val="none" w:sz="0" w:space="0" w:color="auto"/>
        <w:bottom w:val="none" w:sz="0" w:space="0" w:color="auto"/>
        <w:right w:val="none" w:sz="0" w:space="0" w:color="auto"/>
      </w:divBdr>
    </w:div>
    <w:div w:id="926503240">
      <w:bodyDiv w:val="1"/>
      <w:marLeft w:val="0"/>
      <w:marRight w:val="0"/>
      <w:marTop w:val="0"/>
      <w:marBottom w:val="0"/>
      <w:divBdr>
        <w:top w:val="none" w:sz="0" w:space="0" w:color="auto"/>
        <w:left w:val="none" w:sz="0" w:space="0" w:color="auto"/>
        <w:bottom w:val="none" w:sz="0" w:space="0" w:color="auto"/>
        <w:right w:val="none" w:sz="0" w:space="0" w:color="auto"/>
      </w:divBdr>
    </w:div>
    <w:div w:id="968171693">
      <w:bodyDiv w:val="1"/>
      <w:marLeft w:val="0"/>
      <w:marRight w:val="0"/>
      <w:marTop w:val="0"/>
      <w:marBottom w:val="0"/>
      <w:divBdr>
        <w:top w:val="none" w:sz="0" w:space="0" w:color="auto"/>
        <w:left w:val="none" w:sz="0" w:space="0" w:color="auto"/>
        <w:bottom w:val="none" w:sz="0" w:space="0" w:color="auto"/>
        <w:right w:val="none" w:sz="0" w:space="0" w:color="auto"/>
      </w:divBdr>
    </w:div>
    <w:div w:id="981078637">
      <w:bodyDiv w:val="1"/>
      <w:marLeft w:val="0"/>
      <w:marRight w:val="0"/>
      <w:marTop w:val="0"/>
      <w:marBottom w:val="0"/>
      <w:divBdr>
        <w:top w:val="none" w:sz="0" w:space="0" w:color="auto"/>
        <w:left w:val="none" w:sz="0" w:space="0" w:color="auto"/>
        <w:bottom w:val="none" w:sz="0" w:space="0" w:color="auto"/>
        <w:right w:val="none" w:sz="0" w:space="0" w:color="auto"/>
      </w:divBdr>
    </w:div>
    <w:div w:id="981468662">
      <w:bodyDiv w:val="1"/>
      <w:marLeft w:val="0"/>
      <w:marRight w:val="0"/>
      <w:marTop w:val="0"/>
      <w:marBottom w:val="0"/>
      <w:divBdr>
        <w:top w:val="none" w:sz="0" w:space="0" w:color="auto"/>
        <w:left w:val="none" w:sz="0" w:space="0" w:color="auto"/>
        <w:bottom w:val="none" w:sz="0" w:space="0" w:color="auto"/>
        <w:right w:val="none" w:sz="0" w:space="0" w:color="auto"/>
      </w:divBdr>
    </w:div>
    <w:div w:id="992950699">
      <w:bodyDiv w:val="1"/>
      <w:marLeft w:val="0"/>
      <w:marRight w:val="0"/>
      <w:marTop w:val="0"/>
      <w:marBottom w:val="0"/>
      <w:divBdr>
        <w:top w:val="none" w:sz="0" w:space="0" w:color="auto"/>
        <w:left w:val="none" w:sz="0" w:space="0" w:color="auto"/>
        <w:bottom w:val="none" w:sz="0" w:space="0" w:color="auto"/>
        <w:right w:val="none" w:sz="0" w:space="0" w:color="auto"/>
      </w:divBdr>
    </w:div>
    <w:div w:id="1017778950">
      <w:bodyDiv w:val="1"/>
      <w:marLeft w:val="0"/>
      <w:marRight w:val="0"/>
      <w:marTop w:val="0"/>
      <w:marBottom w:val="0"/>
      <w:divBdr>
        <w:top w:val="none" w:sz="0" w:space="0" w:color="auto"/>
        <w:left w:val="none" w:sz="0" w:space="0" w:color="auto"/>
        <w:bottom w:val="none" w:sz="0" w:space="0" w:color="auto"/>
        <w:right w:val="none" w:sz="0" w:space="0" w:color="auto"/>
      </w:divBdr>
    </w:div>
    <w:div w:id="1034967144">
      <w:bodyDiv w:val="1"/>
      <w:marLeft w:val="0"/>
      <w:marRight w:val="0"/>
      <w:marTop w:val="0"/>
      <w:marBottom w:val="0"/>
      <w:divBdr>
        <w:top w:val="none" w:sz="0" w:space="0" w:color="auto"/>
        <w:left w:val="none" w:sz="0" w:space="0" w:color="auto"/>
        <w:bottom w:val="none" w:sz="0" w:space="0" w:color="auto"/>
        <w:right w:val="none" w:sz="0" w:space="0" w:color="auto"/>
      </w:divBdr>
    </w:div>
    <w:div w:id="1069693336">
      <w:bodyDiv w:val="1"/>
      <w:marLeft w:val="0"/>
      <w:marRight w:val="0"/>
      <w:marTop w:val="0"/>
      <w:marBottom w:val="0"/>
      <w:divBdr>
        <w:top w:val="none" w:sz="0" w:space="0" w:color="auto"/>
        <w:left w:val="none" w:sz="0" w:space="0" w:color="auto"/>
        <w:bottom w:val="none" w:sz="0" w:space="0" w:color="auto"/>
        <w:right w:val="none" w:sz="0" w:space="0" w:color="auto"/>
      </w:divBdr>
    </w:div>
    <w:div w:id="1075712106">
      <w:bodyDiv w:val="1"/>
      <w:marLeft w:val="0"/>
      <w:marRight w:val="0"/>
      <w:marTop w:val="0"/>
      <w:marBottom w:val="0"/>
      <w:divBdr>
        <w:top w:val="none" w:sz="0" w:space="0" w:color="auto"/>
        <w:left w:val="none" w:sz="0" w:space="0" w:color="auto"/>
        <w:bottom w:val="none" w:sz="0" w:space="0" w:color="auto"/>
        <w:right w:val="none" w:sz="0" w:space="0" w:color="auto"/>
      </w:divBdr>
    </w:div>
    <w:div w:id="1102264676">
      <w:bodyDiv w:val="1"/>
      <w:marLeft w:val="0"/>
      <w:marRight w:val="0"/>
      <w:marTop w:val="0"/>
      <w:marBottom w:val="0"/>
      <w:divBdr>
        <w:top w:val="none" w:sz="0" w:space="0" w:color="auto"/>
        <w:left w:val="none" w:sz="0" w:space="0" w:color="auto"/>
        <w:bottom w:val="none" w:sz="0" w:space="0" w:color="auto"/>
        <w:right w:val="none" w:sz="0" w:space="0" w:color="auto"/>
      </w:divBdr>
    </w:div>
    <w:div w:id="1180123824">
      <w:bodyDiv w:val="1"/>
      <w:marLeft w:val="0"/>
      <w:marRight w:val="0"/>
      <w:marTop w:val="0"/>
      <w:marBottom w:val="0"/>
      <w:divBdr>
        <w:top w:val="none" w:sz="0" w:space="0" w:color="auto"/>
        <w:left w:val="none" w:sz="0" w:space="0" w:color="auto"/>
        <w:bottom w:val="none" w:sz="0" w:space="0" w:color="auto"/>
        <w:right w:val="none" w:sz="0" w:space="0" w:color="auto"/>
      </w:divBdr>
    </w:div>
    <w:div w:id="1201430871">
      <w:bodyDiv w:val="1"/>
      <w:marLeft w:val="0"/>
      <w:marRight w:val="0"/>
      <w:marTop w:val="0"/>
      <w:marBottom w:val="0"/>
      <w:divBdr>
        <w:top w:val="none" w:sz="0" w:space="0" w:color="auto"/>
        <w:left w:val="none" w:sz="0" w:space="0" w:color="auto"/>
        <w:bottom w:val="none" w:sz="0" w:space="0" w:color="auto"/>
        <w:right w:val="none" w:sz="0" w:space="0" w:color="auto"/>
      </w:divBdr>
    </w:div>
    <w:div w:id="1210411304">
      <w:bodyDiv w:val="1"/>
      <w:marLeft w:val="0"/>
      <w:marRight w:val="0"/>
      <w:marTop w:val="0"/>
      <w:marBottom w:val="0"/>
      <w:divBdr>
        <w:top w:val="none" w:sz="0" w:space="0" w:color="auto"/>
        <w:left w:val="none" w:sz="0" w:space="0" w:color="auto"/>
        <w:bottom w:val="none" w:sz="0" w:space="0" w:color="auto"/>
        <w:right w:val="none" w:sz="0" w:space="0" w:color="auto"/>
      </w:divBdr>
    </w:div>
    <w:div w:id="1236402472">
      <w:bodyDiv w:val="1"/>
      <w:marLeft w:val="0"/>
      <w:marRight w:val="0"/>
      <w:marTop w:val="0"/>
      <w:marBottom w:val="0"/>
      <w:divBdr>
        <w:top w:val="none" w:sz="0" w:space="0" w:color="auto"/>
        <w:left w:val="none" w:sz="0" w:space="0" w:color="auto"/>
        <w:bottom w:val="none" w:sz="0" w:space="0" w:color="auto"/>
        <w:right w:val="none" w:sz="0" w:space="0" w:color="auto"/>
      </w:divBdr>
    </w:div>
    <w:div w:id="125339329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59157127">
      <w:bodyDiv w:val="1"/>
      <w:marLeft w:val="0"/>
      <w:marRight w:val="0"/>
      <w:marTop w:val="0"/>
      <w:marBottom w:val="0"/>
      <w:divBdr>
        <w:top w:val="none" w:sz="0" w:space="0" w:color="auto"/>
        <w:left w:val="none" w:sz="0" w:space="0" w:color="auto"/>
        <w:bottom w:val="none" w:sz="0" w:space="0" w:color="auto"/>
        <w:right w:val="none" w:sz="0" w:space="0" w:color="auto"/>
      </w:divBdr>
    </w:div>
    <w:div w:id="1470393420">
      <w:bodyDiv w:val="1"/>
      <w:marLeft w:val="0"/>
      <w:marRight w:val="0"/>
      <w:marTop w:val="0"/>
      <w:marBottom w:val="0"/>
      <w:divBdr>
        <w:top w:val="none" w:sz="0" w:space="0" w:color="auto"/>
        <w:left w:val="none" w:sz="0" w:space="0" w:color="auto"/>
        <w:bottom w:val="none" w:sz="0" w:space="0" w:color="auto"/>
        <w:right w:val="none" w:sz="0" w:space="0" w:color="auto"/>
      </w:divBdr>
    </w:div>
    <w:div w:id="1475291813">
      <w:bodyDiv w:val="1"/>
      <w:marLeft w:val="0"/>
      <w:marRight w:val="0"/>
      <w:marTop w:val="0"/>
      <w:marBottom w:val="0"/>
      <w:divBdr>
        <w:top w:val="none" w:sz="0" w:space="0" w:color="auto"/>
        <w:left w:val="none" w:sz="0" w:space="0" w:color="auto"/>
        <w:bottom w:val="none" w:sz="0" w:space="0" w:color="auto"/>
        <w:right w:val="none" w:sz="0" w:space="0" w:color="auto"/>
      </w:divBdr>
    </w:div>
    <w:div w:id="1504396152">
      <w:bodyDiv w:val="1"/>
      <w:marLeft w:val="0"/>
      <w:marRight w:val="0"/>
      <w:marTop w:val="0"/>
      <w:marBottom w:val="0"/>
      <w:divBdr>
        <w:top w:val="none" w:sz="0" w:space="0" w:color="auto"/>
        <w:left w:val="none" w:sz="0" w:space="0" w:color="auto"/>
        <w:bottom w:val="none" w:sz="0" w:space="0" w:color="auto"/>
        <w:right w:val="none" w:sz="0" w:space="0" w:color="auto"/>
      </w:divBdr>
    </w:div>
    <w:div w:id="1532954662">
      <w:bodyDiv w:val="1"/>
      <w:marLeft w:val="0"/>
      <w:marRight w:val="0"/>
      <w:marTop w:val="0"/>
      <w:marBottom w:val="0"/>
      <w:divBdr>
        <w:top w:val="none" w:sz="0" w:space="0" w:color="auto"/>
        <w:left w:val="none" w:sz="0" w:space="0" w:color="auto"/>
        <w:bottom w:val="none" w:sz="0" w:space="0" w:color="auto"/>
        <w:right w:val="none" w:sz="0" w:space="0" w:color="auto"/>
      </w:divBdr>
    </w:div>
    <w:div w:id="1584604213">
      <w:bodyDiv w:val="1"/>
      <w:marLeft w:val="0"/>
      <w:marRight w:val="0"/>
      <w:marTop w:val="0"/>
      <w:marBottom w:val="0"/>
      <w:divBdr>
        <w:top w:val="none" w:sz="0" w:space="0" w:color="auto"/>
        <w:left w:val="none" w:sz="0" w:space="0" w:color="auto"/>
        <w:bottom w:val="none" w:sz="0" w:space="0" w:color="auto"/>
        <w:right w:val="none" w:sz="0" w:space="0" w:color="auto"/>
      </w:divBdr>
    </w:div>
    <w:div w:id="1631983495">
      <w:bodyDiv w:val="1"/>
      <w:marLeft w:val="0"/>
      <w:marRight w:val="0"/>
      <w:marTop w:val="0"/>
      <w:marBottom w:val="0"/>
      <w:divBdr>
        <w:top w:val="none" w:sz="0" w:space="0" w:color="auto"/>
        <w:left w:val="none" w:sz="0" w:space="0" w:color="auto"/>
        <w:bottom w:val="none" w:sz="0" w:space="0" w:color="auto"/>
        <w:right w:val="none" w:sz="0" w:space="0" w:color="auto"/>
      </w:divBdr>
    </w:div>
    <w:div w:id="1646083633">
      <w:bodyDiv w:val="1"/>
      <w:marLeft w:val="0"/>
      <w:marRight w:val="0"/>
      <w:marTop w:val="0"/>
      <w:marBottom w:val="0"/>
      <w:divBdr>
        <w:top w:val="none" w:sz="0" w:space="0" w:color="auto"/>
        <w:left w:val="none" w:sz="0" w:space="0" w:color="auto"/>
        <w:bottom w:val="none" w:sz="0" w:space="0" w:color="auto"/>
        <w:right w:val="none" w:sz="0" w:space="0" w:color="auto"/>
      </w:divBdr>
    </w:div>
    <w:div w:id="1651861178">
      <w:bodyDiv w:val="1"/>
      <w:marLeft w:val="0"/>
      <w:marRight w:val="0"/>
      <w:marTop w:val="0"/>
      <w:marBottom w:val="0"/>
      <w:divBdr>
        <w:top w:val="none" w:sz="0" w:space="0" w:color="auto"/>
        <w:left w:val="none" w:sz="0" w:space="0" w:color="auto"/>
        <w:bottom w:val="none" w:sz="0" w:space="0" w:color="auto"/>
        <w:right w:val="none" w:sz="0" w:space="0" w:color="auto"/>
      </w:divBdr>
    </w:div>
    <w:div w:id="1694845231">
      <w:bodyDiv w:val="1"/>
      <w:marLeft w:val="0"/>
      <w:marRight w:val="0"/>
      <w:marTop w:val="0"/>
      <w:marBottom w:val="0"/>
      <w:divBdr>
        <w:top w:val="none" w:sz="0" w:space="0" w:color="auto"/>
        <w:left w:val="none" w:sz="0" w:space="0" w:color="auto"/>
        <w:bottom w:val="none" w:sz="0" w:space="0" w:color="auto"/>
        <w:right w:val="none" w:sz="0" w:space="0" w:color="auto"/>
      </w:divBdr>
    </w:div>
    <w:div w:id="1722090618">
      <w:bodyDiv w:val="1"/>
      <w:marLeft w:val="0"/>
      <w:marRight w:val="0"/>
      <w:marTop w:val="0"/>
      <w:marBottom w:val="0"/>
      <w:divBdr>
        <w:top w:val="none" w:sz="0" w:space="0" w:color="auto"/>
        <w:left w:val="none" w:sz="0" w:space="0" w:color="auto"/>
        <w:bottom w:val="none" w:sz="0" w:space="0" w:color="auto"/>
        <w:right w:val="none" w:sz="0" w:space="0" w:color="auto"/>
      </w:divBdr>
    </w:div>
    <w:div w:id="1745758621">
      <w:bodyDiv w:val="1"/>
      <w:marLeft w:val="0"/>
      <w:marRight w:val="0"/>
      <w:marTop w:val="0"/>
      <w:marBottom w:val="0"/>
      <w:divBdr>
        <w:top w:val="none" w:sz="0" w:space="0" w:color="auto"/>
        <w:left w:val="none" w:sz="0" w:space="0" w:color="auto"/>
        <w:bottom w:val="none" w:sz="0" w:space="0" w:color="auto"/>
        <w:right w:val="none" w:sz="0" w:space="0" w:color="auto"/>
      </w:divBdr>
    </w:div>
    <w:div w:id="1772628148">
      <w:bodyDiv w:val="1"/>
      <w:marLeft w:val="0"/>
      <w:marRight w:val="0"/>
      <w:marTop w:val="0"/>
      <w:marBottom w:val="0"/>
      <w:divBdr>
        <w:top w:val="none" w:sz="0" w:space="0" w:color="auto"/>
        <w:left w:val="none" w:sz="0" w:space="0" w:color="auto"/>
        <w:bottom w:val="none" w:sz="0" w:space="0" w:color="auto"/>
        <w:right w:val="none" w:sz="0" w:space="0" w:color="auto"/>
      </w:divBdr>
      <w:divsChild>
        <w:div w:id="986326234">
          <w:marLeft w:val="0"/>
          <w:marRight w:val="0"/>
          <w:marTop w:val="0"/>
          <w:marBottom w:val="0"/>
          <w:divBdr>
            <w:top w:val="none" w:sz="0" w:space="0" w:color="auto"/>
            <w:left w:val="none" w:sz="0" w:space="0" w:color="auto"/>
            <w:bottom w:val="none" w:sz="0" w:space="0" w:color="auto"/>
            <w:right w:val="none" w:sz="0" w:space="0" w:color="auto"/>
          </w:divBdr>
        </w:div>
      </w:divsChild>
    </w:div>
    <w:div w:id="1795363494">
      <w:bodyDiv w:val="1"/>
      <w:marLeft w:val="0"/>
      <w:marRight w:val="0"/>
      <w:marTop w:val="0"/>
      <w:marBottom w:val="0"/>
      <w:divBdr>
        <w:top w:val="none" w:sz="0" w:space="0" w:color="auto"/>
        <w:left w:val="none" w:sz="0" w:space="0" w:color="auto"/>
        <w:bottom w:val="none" w:sz="0" w:space="0" w:color="auto"/>
        <w:right w:val="none" w:sz="0" w:space="0" w:color="auto"/>
      </w:divBdr>
    </w:div>
    <w:div w:id="1814834096">
      <w:bodyDiv w:val="1"/>
      <w:marLeft w:val="0"/>
      <w:marRight w:val="0"/>
      <w:marTop w:val="0"/>
      <w:marBottom w:val="0"/>
      <w:divBdr>
        <w:top w:val="none" w:sz="0" w:space="0" w:color="auto"/>
        <w:left w:val="none" w:sz="0" w:space="0" w:color="auto"/>
        <w:bottom w:val="none" w:sz="0" w:space="0" w:color="auto"/>
        <w:right w:val="none" w:sz="0" w:space="0" w:color="auto"/>
      </w:divBdr>
    </w:div>
    <w:div w:id="1820533828">
      <w:bodyDiv w:val="1"/>
      <w:marLeft w:val="0"/>
      <w:marRight w:val="0"/>
      <w:marTop w:val="0"/>
      <w:marBottom w:val="0"/>
      <w:divBdr>
        <w:top w:val="none" w:sz="0" w:space="0" w:color="auto"/>
        <w:left w:val="none" w:sz="0" w:space="0" w:color="auto"/>
        <w:bottom w:val="none" w:sz="0" w:space="0" w:color="auto"/>
        <w:right w:val="none" w:sz="0" w:space="0" w:color="auto"/>
      </w:divBdr>
    </w:div>
    <w:div w:id="1872066773">
      <w:bodyDiv w:val="1"/>
      <w:marLeft w:val="0"/>
      <w:marRight w:val="0"/>
      <w:marTop w:val="0"/>
      <w:marBottom w:val="0"/>
      <w:divBdr>
        <w:top w:val="none" w:sz="0" w:space="0" w:color="auto"/>
        <w:left w:val="none" w:sz="0" w:space="0" w:color="auto"/>
        <w:bottom w:val="none" w:sz="0" w:space="0" w:color="auto"/>
        <w:right w:val="none" w:sz="0" w:space="0" w:color="auto"/>
      </w:divBdr>
    </w:div>
    <w:div w:id="1875578164">
      <w:bodyDiv w:val="1"/>
      <w:marLeft w:val="0"/>
      <w:marRight w:val="0"/>
      <w:marTop w:val="0"/>
      <w:marBottom w:val="0"/>
      <w:divBdr>
        <w:top w:val="none" w:sz="0" w:space="0" w:color="auto"/>
        <w:left w:val="none" w:sz="0" w:space="0" w:color="auto"/>
        <w:bottom w:val="none" w:sz="0" w:space="0" w:color="auto"/>
        <w:right w:val="none" w:sz="0" w:space="0" w:color="auto"/>
      </w:divBdr>
    </w:div>
    <w:div w:id="1919509897">
      <w:bodyDiv w:val="1"/>
      <w:marLeft w:val="0"/>
      <w:marRight w:val="0"/>
      <w:marTop w:val="0"/>
      <w:marBottom w:val="0"/>
      <w:divBdr>
        <w:top w:val="none" w:sz="0" w:space="0" w:color="auto"/>
        <w:left w:val="none" w:sz="0" w:space="0" w:color="auto"/>
        <w:bottom w:val="none" w:sz="0" w:space="0" w:color="auto"/>
        <w:right w:val="none" w:sz="0" w:space="0" w:color="auto"/>
      </w:divBdr>
    </w:div>
    <w:div w:id="2022973736">
      <w:bodyDiv w:val="1"/>
      <w:marLeft w:val="0"/>
      <w:marRight w:val="0"/>
      <w:marTop w:val="0"/>
      <w:marBottom w:val="0"/>
      <w:divBdr>
        <w:top w:val="none" w:sz="0" w:space="0" w:color="auto"/>
        <w:left w:val="none" w:sz="0" w:space="0" w:color="auto"/>
        <w:bottom w:val="none" w:sz="0" w:space="0" w:color="auto"/>
        <w:right w:val="none" w:sz="0" w:space="0" w:color="auto"/>
      </w:divBdr>
    </w:div>
    <w:div w:id="2056275056">
      <w:bodyDiv w:val="1"/>
      <w:marLeft w:val="0"/>
      <w:marRight w:val="0"/>
      <w:marTop w:val="0"/>
      <w:marBottom w:val="0"/>
      <w:divBdr>
        <w:top w:val="none" w:sz="0" w:space="0" w:color="auto"/>
        <w:left w:val="none" w:sz="0" w:space="0" w:color="auto"/>
        <w:bottom w:val="none" w:sz="0" w:space="0" w:color="auto"/>
        <w:right w:val="none" w:sz="0" w:space="0" w:color="auto"/>
      </w:divBdr>
    </w:div>
    <w:div w:id="2065524177">
      <w:bodyDiv w:val="1"/>
      <w:marLeft w:val="0"/>
      <w:marRight w:val="0"/>
      <w:marTop w:val="0"/>
      <w:marBottom w:val="0"/>
      <w:divBdr>
        <w:top w:val="none" w:sz="0" w:space="0" w:color="auto"/>
        <w:left w:val="none" w:sz="0" w:space="0" w:color="auto"/>
        <w:bottom w:val="none" w:sz="0" w:space="0" w:color="auto"/>
        <w:right w:val="none" w:sz="0" w:space="0" w:color="auto"/>
      </w:divBdr>
    </w:div>
    <w:div w:id="2073117753">
      <w:bodyDiv w:val="1"/>
      <w:marLeft w:val="0"/>
      <w:marRight w:val="0"/>
      <w:marTop w:val="0"/>
      <w:marBottom w:val="0"/>
      <w:divBdr>
        <w:top w:val="none" w:sz="0" w:space="0" w:color="auto"/>
        <w:left w:val="none" w:sz="0" w:space="0" w:color="auto"/>
        <w:bottom w:val="none" w:sz="0" w:space="0" w:color="auto"/>
        <w:right w:val="none" w:sz="0" w:space="0" w:color="auto"/>
      </w:divBdr>
      <w:divsChild>
        <w:div w:id="555508236">
          <w:marLeft w:val="0"/>
          <w:marRight w:val="0"/>
          <w:marTop w:val="0"/>
          <w:marBottom w:val="0"/>
          <w:divBdr>
            <w:top w:val="none" w:sz="0" w:space="0" w:color="auto"/>
            <w:left w:val="none" w:sz="0" w:space="0" w:color="auto"/>
            <w:bottom w:val="none" w:sz="0" w:space="0" w:color="auto"/>
            <w:right w:val="none" w:sz="0" w:space="0" w:color="auto"/>
          </w:divBdr>
        </w:div>
        <w:div w:id="1845431321">
          <w:marLeft w:val="0"/>
          <w:marRight w:val="0"/>
          <w:marTop w:val="0"/>
          <w:marBottom w:val="0"/>
          <w:divBdr>
            <w:top w:val="none" w:sz="0" w:space="0" w:color="auto"/>
            <w:left w:val="none" w:sz="0" w:space="0" w:color="auto"/>
            <w:bottom w:val="none" w:sz="0" w:space="0" w:color="auto"/>
            <w:right w:val="none" w:sz="0" w:space="0" w:color="auto"/>
          </w:divBdr>
        </w:div>
      </w:divsChild>
    </w:div>
    <w:div w:id="21258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y.ornthanalai@rotman.utoront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DE00-4734-4CFC-AC46-2E74357E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55</Pages>
  <Words>16862</Words>
  <Characters>96117</Characters>
  <Application>Microsoft Office Word</Application>
  <DocSecurity>0</DocSecurity>
  <Lines>800</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Chayawat Ornthanalai</dc:creator>
  <cp:keywords/>
  <dc:description/>
  <cp:lastModifiedBy>Chay</cp:lastModifiedBy>
  <cp:revision>13</cp:revision>
  <cp:lastPrinted>2018-04-10T15:10:00Z</cp:lastPrinted>
  <dcterms:created xsi:type="dcterms:W3CDTF">2018-04-10T13:42:00Z</dcterms:created>
  <dcterms:modified xsi:type="dcterms:W3CDTF">2018-04-10T16:54:00Z</dcterms:modified>
</cp:coreProperties>
</file>