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E01E" w14:textId="18077CD8" w:rsidR="005C1F1E" w:rsidRPr="007C4E6D" w:rsidRDefault="005C1F1E" w:rsidP="005C1F1E">
      <w:pPr>
        <w:spacing w:after="0" w:line="240" w:lineRule="auto"/>
        <w:jc w:val="center"/>
        <w:rPr>
          <w:rFonts w:ascii="Times New Roman" w:hAnsi="Times New Roman" w:cs="Times New Roman"/>
          <w:b/>
          <w:sz w:val="36"/>
        </w:rPr>
      </w:pPr>
    </w:p>
    <w:p w14:paraId="724D304D" w14:textId="77777777" w:rsidR="00E826A5" w:rsidRDefault="00E826A5" w:rsidP="005C1F1E">
      <w:pPr>
        <w:spacing w:after="0" w:line="240" w:lineRule="auto"/>
        <w:jc w:val="center"/>
        <w:rPr>
          <w:rFonts w:ascii="Times New Roman" w:hAnsi="Times New Roman" w:cs="Times New Roman"/>
          <w:b/>
          <w:sz w:val="36"/>
        </w:rPr>
      </w:pPr>
    </w:p>
    <w:p w14:paraId="58D37437" w14:textId="77777777" w:rsidR="005C1F1E" w:rsidRDefault="005C1F1E" w:rsidP="005C1F1E">
      <w:pPr>
        <w:spacing w:after="0" w:line="240" w:lineRule="auto"/>
        <w:jc w:val="center"/>
        <w:rPr>
          <w:rFonts w:ascii="Times New Roman" w:hAnsi="Times New Roman" w:cs="Times New Roman"/>
          <w:b/>
          <w:sz w:val="36"/>
        </w:rPr>
      </w:pPr>
    </w:p>
    <w:p w14:paraId="1B62E2A6" w14:textId="77777777" w:rsidR="005C1F1E" w:rsidRDefault="005C1F1E" w:rsidP="005C1F1E">
      <w:pPr>
        <w:spacing w:after="0" w:line="240" w:lineRule="auto"/>
        <w:jc w:val="center"/>
        <w:rPr>
          <w:rFonts w:ascii="Times New Roman" w:hAnsi="Times New Roman" w:cs="Times New Roman"/>
          <w:b/>
          <w:sz w:val="36"/>
        </w:rPr>
      </w:pPr>
    </w:p>
    <w:p w14:paraId="600EE402" w14:textId="7E0C617A" w:rsidR="00A82496" w:rsidRPr="00F21C0A" w:rsidRDefault="00A82496" w:rsidP="00A82496">
      <w:pPr>
        <w:spacing w:after="0" w:line="240" w:lineRule="auto"/>
        <w:jc w:val="center"/>
        <w:rPr>
          <w:rFonts w:ascii="Times New Roman" w:hAnsi="Times New Roman" w:cs="Times New Roman"/>
          <w:b/>
          <w:sz w:val="36"/>
        </w:rPr>
      </w:pPr>
      <w:r w:rsidRPr="00F21C0A">
        <w:rPr>
          <w:rFonts w:ascii="Times New Roman" w:hAnsi="Times New Roman" w:cs="Times New Roman"/>
          <w:b/>
          <w:sz w:val="36"/>
        </w:rPr>
        <w:t>Information Risk and Stock Return</w:t>
      </w:r>
      <w:r>
        <w:rPr>
          <w:rFonts w:ascii="Times New Roman" w:hAnsi="Times New Roman" w:cs="Times New Roman"/>
          <w:b/>
          <w:sz w:val="36"/>
        </w:rPr>
        <w:t>s</w:t>
      </w:r>
      <w:r w:rsidRPr="00F21C0A">
        <w:rPr>
          <w:rFonts w:ascii="Times New Roman" w:hAnsi="Times New Roman" w:cs="Times New Roman"/>
          <w:b/>
          <w:sz w:val="36"/>
        </w:rPr>
        <w:t xml:space="preserve"> of Companies</w:t>
      </w:r>
    </w:p>
    <w:p w14:paraId="364DFA57" w14:textId="77777777" w:rsidR="00A82496" w:rsidRPr="00F21C0A" w:rsidRDefault="00A82496" w:rsidP="00A82496">
      <w:pPr>
        <w:spacing w:after="0" w:line="240" w:lineRule="auto"/>
        <w:jc w:val="center"/>
        <w:rPr>
          <w:rFonts w:ascii="Times New Roman" w:hAnsi="Times New Roman" w:cs="Times New Roman"/>
          <w:b/>
          <w:sz w:val="36"/>
        </w:rPr>
      </w:pPr>
      <w:r w:rsidRPr="00F21C0A">
        <w:rPr>
          <w:rFonts w:ascii="Times New Roman" w:hAnsi="Times New Roman" w:cs="Times New Roman"/>
          <w:b/>
          <w:sz w:val="36"/>
        </w:rPr>
        <w:t>Going Public By Merging with SPACs</w:t>
      </w:r>
    </w:p>
    <w:p w14:paraId="6889BEBC" w14:textId="77777777" w:rsidR="00A82496" w:rsidRPr="00F21C0A" w:rsidRDefault="00A82496" w:rsidP="00A82496">
      <w:pPr>
        <w:spacing w:after="0" w:line="240" w:lineRule="auto"/>
        <w:jc w:val="center"/>
        <w:rPr>
          <w:rFonts w:ascii="Times New Roman" w:hAnsi="Times New Roman" w:cs="Times New Roman"/>
          <w:b/>
          <w:sz w:val="40"/>
        </w:rPr>
      </w:pPr>
    </w:p>
    <w:p w14:paraId="0767180E" w14:textId="77777777" w:rsidR="00A82496" w:rsidRDefault="00A82496" w:rsidP="00A82496">
      <w:pPr>
        <w:spacing w:after="0" w:line="240" w:lineRule="auto"/>
        <w:jc w:val="center"/>
        <w:rPr>
          <w:rFonts w:ascii="Times New Roman" w:hAnsi="Times New Roman" w:cs="Times New Roman"/>
          <w:b/>
          <w:sz w:val="36"/>
        </w:rPr>
      </w:pPr>
    </w:p>
    <w:p w14:paraId="191277D4" w14:textId="77777777" w:rsidR="00A82496" w:rsidRDefault="00A82496" w:rsidP="00A82496">
      <w:pPr>
        <w:spacing w:after="0" w:line="240" w:lineRule="auto"/>
        <w:jc w:val="center"/>
        <w:rPr>
          <w:rFonts w:ascii="Times New Roman" w:hAnsi="Times New Roman" w:cs="Times New Roman"/>
          <w:b/>
          <w:sz w:val="36"/>
        </w:rPr>
      </w:pPr>
    </w:p>
    <w:p w14:paraId="748BAFF8" w14:textId="77777777" w:rsidR="00A82496" w:rsidRDefault="00A82496" w:rsidP="00A82496">
      <w:pPr>
        <w:spacing w:after="0" w:line="240" w:lineRule="auto"/>
        <w:jc w:val="center"/>
        <w:rPr>
          <w:rFonts w:ascii="Times New Roman" w:hAnsi="Times New Roman" w:cs="Times New Roman"/>
          <w:b/>
          <w:sz w:val="24"/>
          <w:szCs w:val="24"/>
        </w:rPr>
      </w:pPr>
      <w:r w:rsidRPr="005C1F1E">
        <w:rPr>
          <w:rFonts w:ascii="Times New Roman" w:hAnsi="Times New Roman" w:cs="Times New Roman"/>
          <w:b/>
          <w:sz w:val="24"/>
          <w:szCs w:val="24"/>
        </w:rPr>
        <w:t>Brian Burnett</w:t>
      </w:r>
    </w:p>
    <w:p w14:paraId="2DEAA086" w14:textId="77777777" w:rsidR="00A82496" w:rsidRDefault="00A82496" w:rsidP="00A82496">
      <w:pPr>
        <w:spacing w:after="0" w:line="240" w:lineRule="auto"/>
        <w:jc w:val="center"/>
        <w:rPr>
          <w:rFonts w:ascii="Times New Roman" w:hAnsi="Times New Roman" w:cs="Times New Roman"/>
          <w:b/>
          <w:sz w:val="24"/>
          <w:szCs w:val="24"/>
        </w:rPr>
      </w:pPr>
    </w:p>
    <w:p w14:paraId="1D1D1005" w14:textId="77777777" w:rsidR="00A82496" w:rsidRPr="005C1F1E" w:rsidRDefault="00A82496" w:rsidP="00A82496">
      <w:pPr>
        <w:spacing w:after="0" w:line="240" w:lineRule="auto"/>
        <w:jc w:val="center"/>
        <w:rPr>
          <w:rFonts w:ascii="Times New Roman" w:hAnsi="Times New Roman" w:cs="Times New Roman"/>
          <w:b/>
          <w:sz w:val="24"/>
          <w:szCs w:val="24"/>
        </w:rPr>
      </w:pPr>
      <w:r w:rsidRPr="005C1F1E">
        <w:rPr>
          <w:rFonts w:ascii="Times New Roman" w:hAnsi="Times New Roman" w:cs="Times New Roman"/>
          <w:b/>
          <w:sz w:val="24"/>
          <w:szCs w:val="24"/>
        </w:rPr>
        <w:t>Al (Aloke) Ghosh</w:t>
      </w:r>
      <w:r>
        <w:rPr>
          <w:rFonts w:ascii="Times New Roman" w:hAnsi="Times New Roman" w:cs="Times New Roman"/>
          <w:b/>
          <w:sz w:val="24"/>
          <w:szCs w:val="24"/>
        </w:rPr>
        <w:t>**</w:t>
      </w:r>
    </w:p>
    <w:p w14:paraId="7EFC5366" w14:textId="77777777" w:rsidR="00A82496" w:rsidRDefault="00A82496" w:rsidP="00A82496">
      <w:pPr>
        <w:spacing w:after="0" w:line="240" w:lineRule="auto"/>
        <w:jc w:val="center"/>
        <w:rPr>
          <w:rFonts w:ascii="Times New Roman" w:hAnsi="Times New Roman" w:cs="Times New Roman"/>
          <w:b/>
          <w:sz w:val="24"/>
          <w:szCs w:val="24"/>
        </w:rPr>
      </w:pPr>
    </w:p>
    <w:p w14:paraId="31186A1D" w14:textId="77777777" w:rsidR="00A82496" w:rsidRDefault="00A82496" w:rsidP="00A82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w:t>
      </w:r>
    </w:p>
    <w:p w14:paraId="10ABB055" w14:textId="77777777" w:rsidR="00A82496" w:rsidRDefault="00A82496" w:rsidP="00A82496">
      <w:pPr>
        <w:spacing w:after="0" w:line="240" w:lineRule="auto"/>
        <w:jc w:val="center"/>
        <w:rPr>
          <w:rFonts w:ascii="Times New Roman" w:hAnsi="Times New Roman" w:cs="Times New Roman"/>
          <w:b/>
          <w:sz w:val="24"/>
          <w:szCs w:val="24"/>
        </w:rPr>
      </w:pPr>
    </w:p>
    <w:p w14:paraId="25985F88" w14:textId="77777777" w:rsidR="00A82496" w:rsidRDefault="00A82496" w:rsidP="00A82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Lingfei Kong</w:t>
      </w:r>
    </w:p>
    <w:p w14:paraId="6195B627" w14:textId="77777777" w:rsidR="00A82496" w:rsidRDefault="00A82496" w:rsidP="00A82496">
      <w:pPr>
        <w:spacing w:after="0" w:line="240" w:lineRule="auto"/>
        <w:jc w:val="center"/>
        <w:rPr>
          <w:rFonts w:ascii="Times New Roman" w:hAnsi="Times New Roman" w:cs="Times New Roman"/>
          <w:b/>
          <w:sz w:val="24"/>
          <w:szCs w:val="24"/>
        </w:rPr>
      </w:pPr>
    </w:p>
    <w:p w14:paraId="4779D687" w14:textId="77777777" w:rsidR="00A82496" w:rsidRDefault="00A82496" w:rsidP="00A82496">
      <w:pPr>
        <w:spacing w:after="0" w:line="240" w:lineRule="auto"/>
        <w:jc w:val="center"/>
        <w:rPr>
          <w:rFonts w:ascii="Times New Roman" w:hAnsi="Times New Roman" w:cs="Times New Roman"/>
          <w:sz w:val="24"/>
          <w:szCs w:val="24"/>
        </w:rPr>
      </w:pPr>
    </w:p>
    <w:p w14:paraId="2827C326" w14:textId="77777777" w:rsidR="00A82496" w:rsidRPr="005C1F1E" w:rsidRDefault="00A82496" w:rsidP="00A824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2022</w:t>
      </w:r>
    </w:p>
    <w:p w14:paraId="187654EF" w14:textId="77777777" w:rsidR="00A82496" w:rsidRDefault="00A82496" w:rsidP="00A82496">
      <w:pPr>
        <w:spacing w:after="0" w:line="240" w:lineRule="auto"/>
        <w:rPr>
          <w:rFonts w:ascii="Times New Roman" w:hAnsi="Times New Roman" w:cs="Times New Roman"/>
          <w:b/>
          <w:sz w:val="24"/>
          <w:szCs w:val="24"/>
        </w:rPr>
      </w:pPr>
    </w:p>
    <w:p w14:paraId="0EA51D49" w14:textId="77777777" w:rsidR="00A82496" w:rsidRDefault="00A82496" w:rsidP="00A82496">
      <w:pPr>
        <w:spacing w:after="0" w:line="240" w:lineRule="auto"/>
        <w:rPr>
          <w:rFonts w:ascii="Times New Roman" w:hAnsi="Times New Roman" w:cs="Times New Roman"/>
          <w:b/>
          <w:sz w:val="24"/>
          <w:szCs w:val="24"/>
        </w:rPr>
      </w:pPr>
    </w:p>
    <w:p w14:paraId="6F611F6E" w14:textId="77777777" w:rsidR="00A82496" w:rsidRPr="00753B1A" w:rsidRDefault="00A82496" w:rsidP="00A82496">
      <w:pPr>
        <w:rPr>
          <w:rFonts w:ascii="Times New Roman" w:hAnsi="Times New Roman" w:cs="Times New Roman"/>
          <w:sz w:val="24"/>
          <w:szCs w:val="24"/>
        </w:rPr>
      </w:pPr>
      <w:r w:rsidRPr="00753B1A">
        <w:rPr>
          <w:rFonts w:ascii="Times New Roman" w:hAnsi="Times New Roman" w:cs="Times New Roman"/>
          <w:sz w:val="24"/>
          <w:szCs w:val="24"/>
        </w:rPr>
        <w:t>_______________________</w:t>
      </w:r>
    </w:p>
    <w:p w14:paraId="7BFFBBB7" w14:textId="77777777" w:rsidR="00A82496" w:rsidRPr="00753B1A" w:rsidRDefault="00A82496" w:rsidP="00A82496">
      <w:pPr>
        <w:pStyle w:val="NoSpacing"/>
        <w:rPr>
          <w:rFonts w:ascii="Times New Roman" w:hAnsi="Times New Roman" w:cs="Times New Roman"/>
          <w:sz w:val="24"/>
          <w:szCs w:val="24"/>
        </w:rPr>
      </w:pPr>
      <w:r w:rsidRPr="00753B1A">
        <w:rPr>
          <w:rFonts w:ascii="Times New Roman" w:hAnsi="Times New Roman" w:cs="Times New Roman"/>
          <w:sz w:val="24"/>
          <w:szCs w:val="24"/>
        </w:rPr>
        <w:t>**Corresponding author</w:t>
      </w:r>
    </w:p>
    <w:p w14:paraId="1CD145F5" w14:textId="77777777" w:rsidR="00A82496" w:rsidRPr="00753B1A" w:rsidRDefault="00A82496" w:rsidP="00A82496">
      <w:pPr>
        <w:pStyle w:val="NoSpacing"/>
        <w:rPr>
          <w:rFonts w:ascii="Times New Roman" w:hAnsi="Times New Roman" w:cs="Times New Roman"/>
          <w:sz w:val="24"/>
          <w:szCs w:val="24"/>
        </w:rPr>
      </w:pPr>
      <w:r w:rsidRPr="00753B1A">
        <w:rPr>
          <w:rFonts w:ascii="Times New Roman" w:hAnsi="Times New Roman" w:cs="Times New Roman"/>
          <w:sz w:val="24"/>
          <w:szCs w:val="24"/>
        </w:rPr>
        <w:t>Distinguished Professor of Accounting</w:t>
      </w:r>
    </w:p>
    <w:p w14:paraId="23757FD4" w14:textId="77777777" w:rsidR="00A82496" w:rsidRPr="00753B1A" w:rsidRDefault="00A82496" w:rsidP="00A82496">
      <w:pPr>
        <w:pStyle w:val="NoSpacing"/>
        <w:rPr>
          <w:rFonts w:ascii="Times New Roman" w:hAnsi="Times New Roman" w:cs="Times New Roman"/>
          <w:sz w:val="24"/>
          <w:szCs w:val="24"/>
        </w:rPr>
      </w:pPr>
      <w:r w:rsidRPr="00753B1A">
        <w:rPr>
          <w:rFonts w:ascii="Times New Roman" w:hAnsi="Times New Roman" w:cs="Times New Roman"/>
          <w:sz w:val="24"/>
          <w:szCs w:val="24"/>
        </w:rPr>
        <w:t>Turner School of Accountancy, Belk College of Business</w:t>
      </w:r>
    </w:p>
    <w:p w14:paraId="6DB5A7DA" w14:textId="77777777" w:rsidR="00A82496" w:rsidRPr="00753B1A" w:rsidRDefault="00A82496" w:rsidP="00A82496">
      <w:pPr>
        <w:pStyle w:val="NoSpacing"/>
        <w:rPr>
          <w:rFonts w:ascii="Times New Roman" w:hAnsi="Times New Roman" w:cs="Times New Roman"/>
          <w:sz w:val="24"/>
          <w:szCs w:val="24"/>
        </w:rPr>
      </w:pPr>
      <w:r w:rsidRPr="00753B1A">
        <w:rPr>
          <w:rFonts w:ascii="Times New Roman" w:hAnsi="Times New Roman" w:cs="Times New Roman"/>
          <w:sz w:val="24"/>
          <w:szCs w:val="24"/>
        </w:rPr>
        <w:t>University of North Carolina at Charlotte</w:t>
      </w:r>
    </w:p>
    <w:p w14:paraId="6CF54D1B" w14:textId="77777777" w:rsidR="00A82496" w:rsidRPr="00753B1A" w:rsidRDefault="00A82496" w:rsidP="00A82496">
      <w:pPr>
        <w:pStyle w:val="NoSpacing"/>
        <w:rPr>
          <w:rStyle w:val="lrzxr"/>
          <w:rFonts w:ascii="Times New Roman" w:hAnsi="Times New Roman" w:cs="Times New Roman"/>
          <w:sz w:val="24"/>
          <w:szCs w:val="24"/>
        </w:rPr>
      </w:pPr>
      <w:r w:rsidRPr="00753B1A">
        <w:rPr>
          <w:rStyle w:val="lrzxr"/>
          <w:rFonts w:ascii="Times New Roman" w:hAnsi="Times New Roman" w:cs="Times New Roman"/>
          <w:sz w:val="24"/>
          <w:szCs w:val="24"/>
        </w:rPr>
        <w:t>9201 University City Blvd, Charlotte, NC 28223</w:t>
      </w:r>
    </w:p>
    <w:p w14:paraId="199BE8D7" w14:textId="77777777" w:rsidR="00A82496" w:rsidRDefault="00A82496" w:rsidP="00A82496">
      <w:pPr>
        <w:pStyle w:val="NoSpacing"/>
        <w:rPr>
          <w:rStyle w:val="Hyperlink"/>
          <w:rFonts w:ascii="Times New Roman" w:hAnsi="Times New Roman" w:cs="Times New Roman"/>
          <w:sz w:val="24"/>
          <w:szCs w:val="24"/>
        </w:rPr>
      </w:pPr>
      <w:r w:rsidRPr="00753B1A">
        <w:rPr>
          <w:rFonts w:ascii="Times New Roman" w:hAnsi="Times New Roman" w:cs="Times New Roman"/>
          <w:sz w:val="24"/>
          <w:szCs w:val="24"/>
        </w:rPr>
        <w:t xml:space="preserve">Ph.: 704.687.7634; Email: </w:t>
      </w:r>
      <w:hyperlink r:id="rId8" w:history="1">
        <w:r w:rsidRPr="00753B1A">
          <w:rPr>
            <w:rStyle w:val="Hyperlink"/>
            <w:rFonts w:ascii="Times New Roman" w:hAnsi="Times New Roman" w:cs="Times New Roman"/>
            <w:sz w:val="24"/>
            <w:szCs w:val="24"/>
          </w:rPr>
          <w:t>Al.Ghosh@uncc.edu</w:t>
        </w:r>
      </w:hyperlink>
    </w:p>
    <w:p w14:paraId="0D404677" w14:textId="50E504C1" w:rsidR="00A82496" w:rsidRDefault="00A82496" w:rsidP="00A82496">
      <w:pPr>
        <w:pStyle w:val="NoSpacing"/>
        <w:rPr>
          <w:rStyle w:val="Hyperlink"/>
          <w:rFonts w:ascii="Times New Roman" w:hAnsi="Times New Roman" w:cs="Times New Roman"/>
          <w:sz w:val="24"/>
          <w:szCs w:val="24"/>
        </w:rPr>
      </w:pPr>
    </w:p>
    <w:p w14:paraId="7CF4432A" w14:textId="77777777" w:rsidR="00A82496" w:rsidRDefault="00A82496" w:rsidP="00A82496">
      <w:pPr>
        <w:pStyle w:val="NoSpacing"/>
        <w:rPr>
          <w:rStyle w:val="Hyperlink"/>
          <w:rFonts w:ascii="Times New Roman" w:hAnsi="Times New Roman" w:cs="Times New Roman"/>
          <w:sz w:val="24"/>
          <w:szCs w:val="24"/>
        </w:rPr>
      </w:pPr>
    </w:p>
    <w:p w14:paraId="75DC0C35" w14:textId="77777777" w:rsidR="00A82496" w:rsidRDefault="00A82496" w:rsidP="00A82496">
      <w:pPr>
        <w:pStyle w:val="NoSpacing"/>
        <w:rPr>
          <w:rStyle w:val="Hyperlink"/>
          <w:rFonts w:ascii="Times New Roman" w:hAnsi="Times New Roman" w:cs="Times New Roman"/>
          <w:sz w:val="24"/>
          <w:szCs w:val="24"/>
        </w:rPr>
      </w:pPr>
    </w:p>
    <w:p w14:paraId="15CD4A50" w14:textId="77777777" w:rsidR="00A82496" w:rsidRPr="00A82496" w:rsidRDefault="00A82496" w:rsidP="00A82496">
      <w:pPr>
        <w:pStyle w:val="NoSpacing"/>
        <w:jc w:val="both"/>
      </w:pPr>
      <w:r w:rsidRPr="00A82496">
        <w:rPr>
          <w:rStyle w:val="Hyperlink"/>
          <w:rFonts w:ascii="Times New Roman" w:hAnsi="Times New Roman" w:cs="Times New Roman"/>
          <w:color w:val="auto"/>
          <w:sz w:val="24"/>
          <w:szCs w:val="24"/>
          <w:u w:val="none"/>
        </w:rPr>
        <w:t xml:space="preserve">We very much appreciate Greg Martin’s help in accessing the IPO data from SDC for us. We are indebted to Lora Dimitrova, Katherine Gunny, Henry Jarva, Seppo Ikaheimo, Sanjay Kallapur, Kalin Kalev, Shiva Rajgopal, Steve Rock, Paul Tanyi, and Karen Ton for their insightful comments and suggestions on earlier drafts. We also thank the reviewers of the AAA Annual Meeting Conference for their comments. This paper is accepted for presentation at the 2022 AAA Annual Meeting Conference. </w:t>
      </w:r>
    </w:p>
    <w:p w14:paraId="7876A2CB" w14:textId="4F6C532B" w:rsidR="00A82496" w:rsidRDefault="00A82496">
      <w:pPr>
        <w:rPr>
          <w:rFonts w:ascii="Times New Roman" w:hAnsi="Times New Roman" w:cs="Times New Roman"/>
          <w:b/>
          <w:sz w:val="24"/>
        </w:rPr>
      </w:pPr>
    </w:p>
    <w:p w14:paraId="09BF7A55" w14:textId="77777777" w:rsidR="005C1F1E" w:rsidRDefault="005C1F1E">
      <w:pPr>
        <w:rPr>
          <w:rFonts w:ascii="Times New Roman" w:hAnsi="Times New Roman" w:cs="Times New Roman"/>
          <w:b/>
          <w:sz w:val="24"/>
        </w:rPr>
      </w:pPr>
    </w:p>
    <w:p w14:paraId="16C4A327" w14:textId="14060E29" w:rsidR="005C1F1E" w:rsidRDefault="005C1F1E">
      <w:pPr>
        <w:rPr>
          <w:rFonts w:ascii="Times New Roman" w:hAnsi="Times New Roman" w:cs="Times New Roman"/>
          <w:b/>
          <w:sz w:val="24"/>
        </w:rPr>
      </w:pPr>
    </w:p>
    <w:p w14:paraId="475A0227" w14:textId="091787F6" w:rsidR="005C1F1E" w:rsidRDefault="005C1F1E">
      <w:pPr>
        <w:rPr>
          <w:rFonts w:ascii="Times New Roman" w:hAnsi="Times New Roman" w:cs="Times New Roman"/>
          <w:b/>
          <w:sz w:val="24"/>
        </w:rPr>
      </w:pPr>
    </w:p>
    <w:p w14:paraId="66C79F96" w14:textId="7DF02056" w:rsidR="00A82496" w:rsidRDefault="00A82496">
      <w:pPr>
        <w:rPr>
          <w:rFonts w:ascii="Times New Roman" w:hAnsi="Times New Roman" w:cs="Times New Roman"/>
          <w:b/>
          <w:sz w:val="24"/>
        </w:rPr>
      </w:pPr>
    </w:p>
    <w:p w14:paraId="00156DDF" w14:textId="4E41542D" w:rsidR="00A82496" w:rsidRDefault="00A82496">
      <w:pPr>
        <w:rPr>
          <w:rFonts w:ascii="Times New Roman" w:hAnsi="Times New Roman" w:cs="Times New Roman"/>
          <w:b/>
          <w:sz w:val="24"/>
        </w:rPr>
      </w:pPr>
    </w:p>
    <w:p w14:paraId="3B47233B" w14:textId="77777777" w:rsidR="00A82496" w:rsidRDefault="00A82496">
      <w:pPr>
        <w:rPr>
          <w:rFonts w:ascii="Times New Roman" w:hAnsi="Times New Roman" w:cs="Times New Roman"/>
          <w:b/>
          <w:sz w:val="24"/>
        </w:rPr>
      </w:pPr>
      <w:bookmarkStart w:id="0" w:name="_GoBack"/>
      <w:bookmarkEnd w:id="0"/>
    </w:p>
    <w:p w14:paraId="164121D3" w14:textId="36E19193" w:rsidR="007275B9" w:rsidRPr="004B2E2D" w:rsidRDefault="0099757A" w:rsidP="00EC59E1">
      <w:pPr>
        <w:spacing w:after="0" w:line="240" w:lineRule="auto"/>
        <w:jc w:val="center"/>
        <w:rPr>
          <w:rFonts w:ascii="Times New Roman" w:hAnsi="Times New Roman" w:cs="Times New Roman"/>
          <w:b/>
          <w:sz w:val="36"/>
        </w:rPr>
      </w:pPr>
      <w:r w:rsidRPr="004B2E2D">
        <w:rPr>
          <w:rFonts w:ascii="Times New Roman" w:hAnsi="Times New Roman" w:cs="Times New Roman"/>
          <w:b/>
          <w:sz w:val="36"/>
        </w:rPr>
        <w:t>Information Risk</w:t>
      </w:r>
      <w:r w:rsidR="007275B9" w:rsidRPr="004B2E2D">
        <w:rPr>
          <w:rFonts w:ascii="Times New Roman" w:hAnsi="Times New Roman" w:cs="Times New Roman"/>
          <w:b/>
          <w:sz w:val="36"/>
        </w:rPr>
        <w:t xml:space="preserve"> and</w:t>
      </w:r>
      <w:r w:rsidR="00CC0ACC" w:rsidRPr="004B2E2D">
        <w:rPr>
          <w:rFonts w:ascii="Times New Roman" w:hAnsi="Times New Roman" w:cs="Times New Roman"/>
          <w:b/>
          <w:sz w:val="36"/>
        </w:rPr>
        <w:t xml:space="preserve"> Stock Return</w:t>
      </w:r>
      <w:r w:rsidR="00920B56">
        <w:rPr>
          <w:rFonts w:ascii="Times New Roman" w:hAnsi="Times New Roman" w:cs="Times New Roman"/>
          <w:b/>
          <w:sz w:val="36"/>
        </w:rPr>
        <w:t>s</w:t>
      </w:r>
      <w:r w:rsidRPr="004B2E2D">
        <w:rPr>
          <w:rFonts w:ascii="Times New Roman" w:hAnsi="Times New Roman" w:cs="Times New Roman"/>
          <w:b/>
          <w:sz w:val="36"/>
        </w:rPr>
        <w:t xml:space="preserve"> </w:t>
      </w:r>
      <w:r w:rsidR="007275B9" w:rsidRPr="004B2E2D">
        <w:rPr>
          <w:rFonts w:ascii="Times New Roman" w:hAnsi="Times New Roman" w:cs="Times New Roman"/>
          <w:b/>
          <w:sz w:val="36"/>
        </w:rPr>
        <w:t xml:space="preserve">of </w:t>
      </w:r>
      <w:r w:rsidR="00873DCD" w:rsidRPr="004B2E2D">
        <w:rPr>
          <w:rFonts w:ascii="Times New Roman" w:hAnsi="Times New Roman" w:cs="Times New Roman"/>
          <w:b/>
          <w:sz w:val="36"/>
        </w:rPr>
        <w:t xml:space="preserve">Companies </w:t>
      </w:r>
    </w:p>
    <w:p w14:paraId="02C835FF" w14:textId="1FEBE509" w:rsidR="00EC59E1" w:rsidRPr="004B2E2D" w:rsidRDefault="00873DCD" w:rsidP="00EC59E1">
      <w:pPr>
        <w:spacing w:after="0" w:line="240" w:lineRule="auto"/>
        <w:jc w:val="center"/>
        <w:rPr>
          <w:rFonts w:ascii="Times New Roman" w:hAnsi="Times New Roman" w:cs="Times New Roman"/>
          <w:b/>
          <w:sz w:val="36"/>
        </w:rPr>
      </w:pPr>
      <w:r w:rsidRPr="004B2E2D">
        <w:rPr>
          <w:rFonts w:ascii="Times New Roman" w:hAnsi="Times New Roman" w:cs="Times New Roman"/>
          <w:b/>
          <w:sz w:val="36"/>
        </w:rPr>
        <w:t>Go</w:t>
      </w:r>
      <w:r w:rsidR="00776AD6" w:rsidRPr="004B2E2D">
        <w:rPr>
          <w:rFonts w:ascii="Times New Roman" w:hAnsi="Times New Roman" w:cs="Times New Roman"/>
          <w:b/>
          <w:sz w:val="36"/>
        </w:rPr>
        <w:t>ing</w:t>
      </w:r>
      <w:r w:rsidRPr="004B2E2D">
        <w:rPr>
          <w:rFonts w:ascii="Times New Roman" w:hAnsi="Times New Roman" w:cs="Times New Roman"/>
          <w:b/>
          <w:sz w:val="36"/>
        </w:rPr>
        <w:t xml:space="preserve"> Public </w:t>
      </w:r>
      <w:r w:rsidR="007F0135" w:rsidRPr="004B2E2D">
        <w:rPr>
          <w:rFonts w:ascii="Times New Roman" w:hAnsi="Times New Roman" w:cs="Times New Roman"/>
          <w:b/>
          <w:sz w:val="36"/>
        </w:rPr>
        <w:t>by</w:t>
      </w:r>
      <w:r w:rsidRPr="004B2E2D">
        <w:rPr>
          <w:rFonts w:ascii="Times New Roman" w:hAnsi="Times New Roman" w:cs="Times New Roman"/>
          <w:b/>
          <w:sz w:val="36"/>
        </w:rPr>
        <w:t xml:space="preserve"> Merging with SPACs</w:t>
      </w:r>
    </w:p>
    <w:p w14:paraId="325B05BA" w14:textId="7CD45E50" w:rsidR="000B1527" w:rsidRPr="001E1EE1" w:rsidRDefault="000B1527" w:rsidP="009828AD">
      <w:pPr>
        <w:jc w:val="both"/>
        <w:rPr>
          <w:rFonts w:ascii="Times New Roman" w:hAnsi="Times New Roman" w:cs="Times New Roman"/>
          <w:sz w:val="24"/>
        </w:rPr>
      </w:pPr>
    </w:p>
    <w:p w14:paraId="7A330E22" w14:textId="7FD28687" w:rsidR="001E1EE1" w:rsidRPr="001E1EE1" w:rsidRDefault="001E1EE1" w:rsidP="009828AD">
      <w:pPr>
        <w:jc w:val="both"/>
        <w:rPr>
          <w:rFonts w:ascii="Times New Roman" w:hAnsi="Times New Roman" w:cs="Times New Roman"/>
          <w:sz w:val="24"/>
        </w:rPr>
      </w:pPr>
    </w:p>
    <w:p w14:paraId="4A7FF7B5" w14:textId="21D017D7" w:rsidR="001E1EE1" w:rsidRPr="00D81DE9" w:rsidRDefault="00D81DE9" w:rsidP="00D81DE9">
      <w:pPr>
        <w:jc w:val="center"/>
        <w:rPr>
          <w:rFonts w:ascii="Times New Roman" w:hAnsi="Times New Roman" w:cs="Times New Roman"/>
          <w:b/>
          <w:sz w:val="24"/>
        </w:rPr>
      </w:pPr>
      <w:r w:rsidRPr="00D81DE9">
        <w:rPr>
          <w:rFonts w:ascii="Times New Roman" w:hAnsi="Times New Roman" w:cs="Times New Roman"/>
          <w:b/>
          <w:sz w:val="24"/>
        </w:rPr>
        <w:t>Abstract</w:t>
      </w:r>
    </w:p>
    <w:p w14:paraId="401896C0" w14:textId="2B50E5B4" w:rsidR="00D81DE9" w:rsidRDefault="00D81DE9">
      <w:pPr>
        <w:rPr>
          <w:rFonts w:ascii="Times New Roman" w:hAnsi="Times New Roman" w:cs="Times New Roman"/>
          <w:b/>
          <w:sz w:val="24"/>
        </w:rPr>
      </w:pPr>
    </w:p>
    <w:p w14:paraId="46C4810A" w14:textId="41E116F6" w:rsidR="00B465B3" w:rsidRDefault="006A354F" w:rsidP="004E620E">
      <w:pPr>
        <w:ind w:firstLine="720"/>
        <w:jc w:val="both"/>
        <w:rPr>
          <w:rFonts w:ascii="Times New Roman" w:hAnsi="Times New Roman" w:cs="Times New Roman"/>
          <w:b/>
          <w:sz w:val="24"/>
        </w:rPr>
      </w:pPr>
      <w:r>
        <w:rPr>
          <w:rFonts w:ascii="Times New Roman" w:hAnsi="Times New Roman" w:cs="Times New Roman"/>
          <w:sz w:val="24"/>
          <w:szCs w:val="24"/>
        </w:rPr>
        <w:t xml:space="preserve">The </w:t>
      </w:r>
      <w:r w:rsidR="00E570EE">
        <w:rPr>
          <w:rFonts w:ascii="Times New Roman" w:hAnsi="Times New Roman" w:cs="Times New Roman"/>
          <w:sz w:val="24"/>
          <w:szCs w:val="24"/>
        </w:rPr>
        <w:t xml:space="preserve">proposed new </w:t>
      </w:r>
      <w:r>
        <w:rPr>
          <w:rFonts w:ascii="Times New Roman" w:hAnsi="Times New Roman" w:cs="Times New Roman"/>
          <w:sz w:val="24"/>
          <w:szCs w:val="24"/>
        </w:rPr>
        <w:t xml:space="preserve">SEC (2022) rules </w:t>
      </w:r>
      <w:r w:rsidR="00B11A5F">
        <w:rPr>
          <w:rFonts w:ascii="Times New Roman" w:hAnsi="Times New Roman" w:cs="Times New Roman"/>
          <w:sz w:val="24"/>
          <w:szCs w:val="24"/>
        </w:rPr>
        <w:t xml:space="preserve">suggest that the information risk may be </w:t>
      </w:r>
      <w:r w:rsidR="00E570EE">
        <w:rPr>
          <w:rFonts w:ascii="Times New Roman" w:hAnsi="Times New Roman" w:cs="Times New Roman"/>
          <w:sz w:val="24"/>
          <w:szCs w:val="24"/>
        </w:rPr>
        <w:t xml:space="preserve">unusually </w:t>
      </w:r>
      <w:r w:rsidR="00B11A5F">
        <w:rPr>
          <w:rFonts w:ascii="Times New Roman" w:hAnsi="Times New Roman" w:cs="Times New Roman"/>
          <w:sz w:val="24"/>
          <w:szCs w:val="24"/>
        </w:rPr>
        <w:t>high for companies going public by merging with SPACs (“SPAC-IPOs”)</w:t>
      </w:r>
      <w:r w:rsidR="00DB6D63">
        <w:rPr>
          <w:rFonts w:ascii="Times New Roman" w:hAnsi="Times New Roman" w:cs="Times New Roman"/>
          <w:sz w:val="24"/>
          <w:szCs w:val="24"/>
        </w:rPr>
        <w:t xml:space="preserve">. We study the merits of this </w:t>
      </w:r>
      <w:r w:rsidR="00E570EE">
        <w:rPr>
          <w:rFonts w:ascii="Times New Roman" w:hAnsi="Times New Roman" w:cs="Times New Roman"/>
          <w:sz w:val="24"/>
          <w:szCs w:val="24"/>
        </w:rPr>
        <w:t>“</w:t>
      </w:r>
      <w:r w:rsidR="00DB6D63">
        <w:rPr>
          <w:rFonts w:ascii="Times New Roman" w:hAnsi="Times New Roman" w:cs="Times New Roman"/>
          <w:sz w:val="24"/>
          <w:szCs w:val="24"/>
        </w:rPr>
        <w:t>information risk</w:t>
      </w:r>
      <w:r w:rsidR="00E570EE">
        <w:rPr>
          <w:rFonts w:ascii="Times New Roman" w:hAnsi="Times New Roman" w:cs="Times New Roman"/>
          <w:sz w:val="24"/>
          <w:szCs w:val="24"/>
        </w:rPr>
        <w:t>”</w:t>
      </w:r>
      <w:r w:rsidR="00DB6D63">
        <w:rPr>
          <w:rFonts w:ascii="Times New Roman" w:hAnsi="Times New Roman" w:cs="Times New Roman"/>
          <w:sz w:val="24"/>
          <w:szCs w:val="24"/>
        </w:rPr>
        <w:t xml:space="preserve"> hypothesis and </w:t>
      </w:r>
      <w:r w:rsidR="00BB55FF">
        <w:rPr>
          <w:rFonts w:ascii="Times New Roman" w:hAnsi="Times New Roman" w:cs="Times New Roman"/>
          <w:sz w:val="24"/>
          <w:szCs w:val="24"/>
        </w:rPr>
        <w:t xml:space="preserve">then </w:t>
      </w:r>
      <w:r w:rsidR="00DB6D63">
        <w:rPr>
          <w:rFonts w:ascii="Times New Roman" w:hAnsi="Times New Roman" w:cs="Times New Roman"/>
          <w:sz w:val="24"/>
          <w:szCs w:val="24"/>
        </w:rPr>
        <w:t xml:space="preserve">examine whether the high information risk </w:t>
      </w:r>
      <w:r w:rsidR="00E570EE">
        <w:rPr>
          <w:rFonts w:ascii="Times New Roman" w:hAnsi="Times New Roman" w:cs="Times New Roman"/>
          <w:sz w:val="24"/>
          <w:szCs w:val="24"/>
        </w:rPr>
        <w:t xml:space="preserve">also </w:t>
      </w:r>
      <w:r w:rsidR="00B11A5F">
        <w:rPr>
          <w:rFonts w:ascii="Times New Roman" w:hAnsi="Times New Roman" w:cs="Times New Roman"/>
          <w:sz w:val="24"/>
          <w:szCs w:val="24"/>
        </w:rPr>
        <w:t>e</w:t>
      </w:r>
      <w:r w:rsidR="00DB6D63">
        <w:rPr>
          <w:rFonts w:ascii="Times New Roman" w:hAnsi="Times New Roman" w:cs="Times New Roman"/>
          <w:sz w:val="24"/>
          <w:szCs w:val="24"/>
        </w:rPr>
        <w:t>xplain</w:t>
      </w:r>
      <w:r w:rsidR="00E570EE">
        <w:rPr>
          <w:rFonts w:ascii="Times New Roman" w:hAnsi="Times New Roman" w:cs="Times New Roman"/>
          <w:sz w:val="24"/>
          <w:szCs w:val="24"/>
        </w:rPr>
        <w:t>s</w:t>
      </w:r>
      <w:r w:rsidR="00DB6D63">
        <w:rPr>
          <w:rFonts w:ascii="Times New Roman" w:hAnsi="Times New Roman" w:cs="Times New Roman"/>
          <w:sz w:val="24"/>
          <w:szCs w:val="24"/>
        </w:rPr>
        <w:t xml:space="preserve"> </w:t>
      </w:r>
      <w:r w:rsidR="00D41171">
        <w:rPr>
          <w:rFonts w:ascii="Times New Roman" w:hAnsi="Times New Roman" w:cs="Times New Roman"/>
          <w:sz w:val="24"/>
          <w:szCs w:val="24"/>
        </w:rPr>
        <w:t>SPAC-IPOs</w:t>
      </w:r>
      <w:r w:rsidR="00BB55FF">
        <w:rPr>
          <w:rFonts w:ascii="Times New Roman" w:hAnsi="Times New Roman" w:cs="Times New Roman"/>
          <w:sz w:val="24"/>
          <w:szCs w:val="24"/>
        </w:rPr>
        <w:t xml:space="preserve">’ stock </w:t>
      </w:r>
      <w:r w:rsidR="001317FA">
        <w:rPr>
          <w:rFonts w:ascii="Times New Roman" w:hAnsi="Times New Roman" w:cs="Times New Roman"/>
          <w:sz w:val="24"/>
          <w:szCs w:val="24"/>
        </w:rPr>
        <w:t>under</w:t>
      </w:r>
      <w:r w:rsidR="00BB55FF">
        <w:rPr>
          <w:rFonts w:ascii="Times New Roman" w:hAnsi="Times New Roman" w:cs="Times New Roman"/>
          <w:sz w:val="24"/>
          <w:szCs w:val="24"/>
        </w:rPr>
        <w:t>performance</w:t>
      </w:r>
      <w:r w:rsidR="00DB6D63">
        <w:rPr>
          <w:rFonts w:ascii="Times New Roman" w:hAnsi="Times New Roman" w:cs="Times New Roman"/>
          <w:sz w:val="24"/>
          <w:szCs w:val="24"/>
        </w:rPr>
        <w:t xml:space="preserve">. </w:t>
      </w:r>
      <w:r w:rsidR="00163D1A" w:rsidRPr="000518D7">
        <w:rPr>
          <w:rFonts w:ascii="Times New Roman" w:hAnsi="Times New Roman" w:cs="Times New Roman"/>
          <w:sz w:val="24"/>
          <w:szCs w:val="24"/>
        </w:rPr>
        <w:t>We find that r</w:t>
      </w:r>
      <w:r w:rsidR="00753B1A" w:rsidRPr="000518D7">
        <w:rPr>
          <w:rFonts w:ascii="Times New Roman" w:hAnsi="Times New Roman" w:cs="Times New Roman"/>
          <w:sz w:val="24"/>
          <w:szCs w:val="24"/>
        </w:rPr>
        <w:t xml:space="preserve">elative to </w:t>
      </w:r>
      <w:r w:rsidR="000E5CBD" w:rsidRPr="000518D7">
        <w:rPr>
          <w:rFonts w:ascii="Times New Roman" w:hAnsi="Times New Roman" w:cs="Times New Roman"/>
          <w:sz w:val="24"/>
          <w:szCs w:val="24"/>
        </w:rPr>
        <w:t>traditional IPO</w:t>
      </w:r>
      <w:r w:rsidR="00BD5532" w:rsidRPr="000518D7">
        <w:rPr>
          <w:rFonts w:ascii="Times New Roman" w:hAnsi="Times New Roman" w:cs="Times New Roman"/>
          <w:sz w:val="24"/>
          <w:szCs w:val="24"/>
        </w:rPr>
        <w:t>s</w:t>
      </w:r>
      <w:r w:rsidR="000E5CBD" w:rsidRPr="000518D7">
        <w:rPr>
          <w:rFonts w:ascii="Times New Roman" w:hAnsi="Times New Roman" w:cs="Times New Roman"/>
          <w:sz w:val="24"/>
          <w:szCs w:val="24"/>
        </w:rPr>
        <w:t>, SPAC-IPO</w:t>
      </w:r>
      <w:r w:rsidR="00163D1A" w:rsidRPr="000518D7">
        <w:rPr>
          <w:rFonts w:ascii="Times New Roman" w:hAnsi="Times New Roman" w:cs="Times New Roman"/>
          <w:sz w:val="24"/>
          <w:szCs w:val="24"/>
        </w:rPr>
        <w:t>s</w:t>
      </w:r>
      <w:r w:rsidR="00C817C4" w:rsidRPr="000518D7">
        <w:rPr>
          <w:rFonts w:ascii="Times New Roman" w:hAnsi="Times New Roman" w:cs="Times New Roman"/>
          <w:sz w:val="24"/>
          <w:szCs w:val="24"/>
        </w:rPr>
        <w:t xml:space="preserve"> are more likely to</w:t>
      </w:r>
      <w:r w:rsidR="000E5CBD" w:rsidRPr="000518D7">
        <w:rPr>
          <w:rFonts w:ascii="Times New Roman" w:hAnsi="Times New Roman" w:cs="Times New Roman"/>
          <w:sz w:val="24"/>
          <w:szCs w:val="24"/>
        </w:rPr>
        <w:t xml:space="preserve">: (1) </w:t>
      </w:r>
      <w:r w:rsidR="00DB6D63">
        <w:rPr>
          <w:rFonts w:ascii="Times New Roman" w:hAnsi="Times New Roman" w:cs="Times New Roman"/>
          <w:sz w:val="24"/>
          <w:szCs w:val="24"/>
        </w:rPr>
        <w:t>be associated with lower financial statement quality</w:t>
      </w:r>
      <w:r w:rsidR="000E5CBD" w:rsidRPr="000518D7">
        <w:rPr>
          <w:rFonts w:ascii="Times New Roman" w:hAnsi="Times New Roman" w:cs="Times New Roman"/>
          <w:sz w:val="24"/>
          <w:szCs w:val="24"/>
        </w:rPr>
        <w:t xml:space="preserve">, (2) </w:t>
      </w:r>
      <w:r w:rsidR="00DB6D63">
        <w:rPr>
          <w:rFonts w:ascii="Times New Roman" w:hAnsi="Times New Roman" w:cs="Times New Roman"/>
          <w:sz w:val="24"/>
          <w:szCs w:val="24"/>
        </w:rPr>
        <w:t xml:space="preserve">retain a non-Big 4 auditor, </w:t>
      </w:r>
      <w:r w:rsidR="000E5CBD" w:rsidRPr="000518D7">
        <w:rPr>
          <w:rFonts w:ascii="Times New Roman" w:hAnsi="Times New Roman" w:cs="Times New Roman"/>
          <w:sz w:val="24"/>
          <w:szCs w:val="24"/>
        </w:rPr>
        <w:t>(</w:t>
      </w:r>
      <w:r w:rsidR="00DB6D63">
        <w:rPr>
          <w:rFonts w:ascii="Times New Roman" w:hAnsi="Times New Roman" w:cs="Times New Roman"/>
          <w:sz w:val="24"/>
          <w:szCs w:val="24"/>
        </w:rPr>
        <w:t>3</w:t>
      </w:r>
      <w:r w:rsidR="000E5CBD" w:rsidRPr="000518D7">
        <w:rPr>
          <w:rFonts w:ascii="Times New Roman" w:hAnsi="Times New Roman" w:cs="Times New Roman"/>
          <w:sz w:val="24"/>
          <w:szCs w:val="24"/>
        </w:rPr>
        <w:t xml:space="preserve">) </w:t>
      </w:r>
      <w:r w:rsidR="006B1C5F">
        <w:rPr>
          <w:rFonts w:ascii="Times New Roman" w:hAnsi="Times New Roman" w:cs="Times New Roman"/>
          <w:sz w:val="24"/>
          <w:szCs w:val="24"/>
        </w:rPr>
        <w:t xml:space="preserve">be associated with </w:t>
      </w:r>
      <w:r w:rsidR="00A35DB9" w:rsidRPr="000518D7">
        <w:rPr>
          <w:rFonts w:ascii="Times New Roman" w:hAnsi="Times New Roman" w:cs="Times New Roman"/>
          <w:sz w:val="24"/>
          <w:szCs w:val="24"/>
        </w:rPr>
        <w:t xml:space="preserve">lower </w:t>
      </w:r>
      <w:r w:rsidR="000E5CBD" w:rsidRPr="000518D7">
        <w:rPr>
          <w:rFonts w:ascii="Times New Roman" w:hAnsi="Times New Roman" w:cs="Times New Roman"/>
          <w:sz w:val="24"/>
          <w:szCs w:val="24"/>
        </w:rPr>
        <w:t>earnings</w:t>
      </w:r>
      <w:r w:rsidR="00B11A5F">
        <w:rPr>
          <w:rFonts w:ascii="Times New Roman" w:hAnsi="Times New Roman" w:cs="Times New Roman"/>
          <w:sz w:val="24"/>
          <w:szCs w:val="24"/>
        </w:rPr>
        <w:t>/</w:t>
      </w:r>
      <w:r w:rsidR="00DB6D63">
        <w:rPr>
          <w:rFonts w:ascii="Times New Roman" w:hAnsi="Times New Roman" w:cs="Times New Roman"/>
          <w:sz w:val="24"/>
          <w:szCs w:val="24"/>
        </w:rPr>
        <w:t xml:space="preserve">accruals </w:t>
      </w:r>
      <w:r w:rsidR="000E5CBD" w:rsidRPr="000518D7">
        <w:rPr>
          <w:rFonts w:ascii="Times New Roman" w:hAnsi="Times New Roman" w:cs="Times New Roman"/>
          <w:sz w:val="24"/>
          <w:szCs w:val="24"/>
        </w:rPr>
        <w:t>persistence</w:t>
      </w:r>
      <w:r w:rsidR="000722BE" w:rsidRPr="000518D7">
        <w:rPr>
          <w:rFonts w:ascii="Times New Roman" w:hAnsi="Times New Roman" w:cs="Times New Roman"/>
          <w:sz w:val="24"/>
          <w:szCs w:val="24"/>
        </w:rPr>
        <w:t>, (</w:t>
      </w:r>
      <w:r w:rsidR="00D41171">
        <w:rPr>
          <w:rFonts w:ascii="Times New Roman" w:hAnsi="Times New Roman" w:cs="Times New Roman"/>
          <w:sz w:val="24"/>
          <w:szCs w:val="24"/>
        </w:rPr>
        <w:t>4</w:t>
      </w:r>
      <w:r w:rsidR="000722BE" w:rsidRPr="000518D7">
        <w:rPr>
          <w:rFonts w:ascii="Times New Roman" w:hAnsi="Times New Roman" w:cs="Times New Roman"/>
          <w:sz w:val="24"/>
          <w:szCs w:val="24"/>
        </w:rPr>
        <w:t xml:space="preserve">) </w:t>
      </w:r>
      <w:r w:rsidR="00B877AC">
        <w:rPr>
          <w:rFonts w:ascii="Times New Roman" w:hAnsi="Times New Roman" w:cs="Times New Roman"/>
          <w:sz w:val="24"/>
          <w:szCs w:val="24"/>
        </w:rPr>
        <w:t xml:space="preserve">avoid </w:t>
      </w:r>
      <w:r w:rsidR="008503C3" w:rsidRPr="000518D7">
        <w:rPr>
          <w:rFonts w:ascii="Times New Roman" w:hAnsi="Times New Roman" w:cs="Times New Roman"/>
          <w:sz w:val="24"/>
          <w:szCs w:val="24"/>
        </w:rPr>
        <w:t>list</w:t>
      </w:r>
      <w:r w:rsidR="00B877AC">
        <w:rPr>
          <w:rFonts w:ascii="Times New Roman" w:hAnsi="Times New Roman" w:cs="Times New Roman"/>
          <w:sz w:val="24"/>
          <w:szCs w:val="24"/>
        </w:rPr>
        <w:t>ing</w:t>
      </w:r>
      <w:r w:rsidR="008503C3" w:rsidRPr="000518D7">
        <w:rPr>
          <w:rFonts w:ascii="Times New Roman" w:hAnsi="Times New Roman" w:cs="Times New Roman"/>
          <w:sz w:val="24"/>
          <w:szCs w:val="24"/>
        </w:rPr>
        <w:t xml:space="preserve"> on </w:t>
      </w:r>
      <w:r w:rsidR="00B877AC">
        <w:rPr>
          <w:rFonts w:ascii="Times New Roman" w:hAnsi="Times New Roman" w:cs="Times New Roman"/>
          <w:sz w:val="24"/>
          <w:szCs w:val="24"/>
        </w:rPr>
        <w:t xml:space="preserve">the </w:t>
      </w:r>
      <w:r w:rsidR="008503C3" w:rsidRPr="000518D7">
        <w:rPr>
          <w:rFonts w:ascii="Times New Roman" w:hAnsi="Times New Roman" w:cs="Times New Roman"/>
          <w:sz w:val="24"/>
          <w:szCs w:val="24"/>
        </w:rPr>
        <w:t>N</w:t>
      </w:r>
      <w:r w:rsidR="00A83AB6">
        <w:rPr>
          <w:rFonts w:ascii="Times New Roman" w:hAnsi="Times New Roman" w:cs="Times New Roman"/>
          <w:sz w:val="24"/>
          <w:szCs w:val="24"/>
        </w:rPr>
        <w:t>YSE</w:t>
      </w:r>
      <w:r w:rsidR="00D41171">
        <w:rPr>
          <w:rFonts w:ascii="Times New Roman" w:hAnsi="Times New Roman" w:cs="Times New Roman"/>
          <w:sz w:val="24"/>
          <w:szCs w:val="24"/>
        </w:rPr>
        <w:t xml:space="preserve">, and (5) get delisted from a stock exchange. These factors </w:t>
      </w:r>
      <w:r w:rsidR="0023063F">
        <w:rPr>
          <w:rFonts w:ascii="Times New Roman" w:hAnsi="Times New Roman" w:cs="Times New Roman"/>
          <w:sz w:val="24"/>
          <w:szCs w:val="24"/>
        </w:rPr>
        <w:t xml:space="preserve">collectively </w:t>
      </w:r>
      <w:r w:rsidR="00D41171">
        <w:rPr>
          <w:rFonts w:ascii="Times New Roman" w:hAnsi="Times New Roman" w:cs="Times New Roman"/>
          <w:sz w:val="24"/>
          <w:szCs w:val="24"/>
        </w:rPr>
        <w:t xml:space="preserve">suggest </w:t>
      </w:r>
      <w:r w:rsidR="009D7C65">
        <w:rPr>
          <w:rFonts w:ascii="Times New Roman" w:hAnsi="Times New Roman" w:cs="Times New Roman"/>
          <w:sz w:val="24"/>
          <w:szCs w:val="24"/>
        </w:rPr>
        <w:t xml:space="preserve">that the information risk is about 71% higher for </w:t>
      </w:r>
      <w:r w:rsidR="00D41171">
        <w:rPr>
          <w:rFonts w:ascii="Times New Roman" w:hAnsi="Times New Roman" w:cs="Times New Roman"/>
          <w:sz w:val="24"/>
          <w:szCs w:val="24"/>
        </w:rPr>
        <w:t>SPAC-IPOs</w:t>
      </w:r>
      <w:r w:rsidR="00B11A5F">
        <w:rPr>
          <w:rFonts w:ascii="Times New Roman" w:hAnsi="Times New Roman" w:cs="Times New Roman"/>
          <w:sz w:val="24"/>
          <w:szCs w:val="24"/>
        </w:rPr>
        <w:t xml:space="preserve"> </w:t>
      </w:r>
      <w:r w:rsidR="00BB55FF">
        <w:rPr>
          <w:rFonts w:ascii="Times New Roman" w:hAnsi="Times New Roman" w:cs="Times New Roman"/>
          <w:sz w:val="24"/>
          <w:szCs w:val="24"/>
        </w:rPr>
        <w:t xml:space="preserve">than </w:t>
      </w:r>
      <w:r w:rsidR="00183D8F">
        <w:rPr>
          <w:rFonts w:ascii="Times New Roman" w:hAnsi="Times New Roman" w:cs="Times New Roman"/>
          <w:sz w:val="24"/>
          <w:szCs w:val="24"/>
        </w:rPr>
        <w:t>for non-SPAC-IPOs</w:t>
      </w:r>
      <w:r w:rsidR="00BB55FF">
        <w:rPr>
          <w:rFonts w:ascii="Times New Roman" w:hAnsi="Times New Roman" w:cs="Times New Roman"/>
          <w:sz w:val="24"/>
          <w:szCs w:val="24"/>
        </w:rPr>
        <w:t>.</w:t>
      </w:r>
      <w:r w:rsidR="00183D8F">
        <w:rPr>
          <w:rFonts w:ascii="Times New Roman" w:hAnsi="Times New Roman" w:cs="Times New Roman"/>
          <w:sz w:val="24"/>
          <w:szCs w:val="24"/>
        </w:rPr>
        <w:t xml:space="preserve"> </w:t>
      </w:r>
      <w:r w:rsidR="00BB55FF">
        <w:rPr>
          <w:rFonts w:ascii="Times New Roman" w:hAnsi="Times New Roman" w:cs="Times New Roman"/>
          <w:sz w:val="24"/>
          <w:szCs w:val="24"/>
        </w:rPr>
        <w:t>T</w:t>
      </w:r>
      <w:r w:rsidR="00B11A5F">
        <w:rPr>
          <w:rFonts w:ascii="Times New Roman" w:hAnsi="Times New Roman" w:cs="Times New Roman"/>
          <w:sz w:val="24"/>
          <w:szCs w:val="24"/>
        </w:rPr>
        <w:t>h</w:t>
      </w:r>
      <w:r w:rsidR="00183D8F">
        <w:rPr>
          <w:rFonts w:ascii="Times New Roman" w:hAnsi="Times New Roman" w:cs="Times New Roman"/>
          <w:sz w:val="24"/>
          <w:szCs w:val="24"/>
        </w:rPr>
        <w:t xml:space="preserve">e </w:t>
      </w:r>
      <w:r w:rsidR="00B11A5F">
        <w:rPr>
          <w:rFonts w:ascii="Times New Roman" w:hAnsi="Times New Roman" w:cs="Times New Roman"/>
          <w:sz w:val="24"/>
          <w:szCs w:val="24"/>
        </w:rPr>
        <w:t xml:space="preserve">higher risk </w:t>
      </w:r>
      <w:r w:rsidR="00183D8F">
        <w:rPr>
          <w:rFonts w:ascii="Times New Roman" w:hAnsi="Times New Roman" w:cs="Times New Roman"/>
          <w:sz w:val="24"/>
          <w:szCs w:val="24"/>
        </w:rPr>
        <w:t xml:space="preserve">persists </w:t>
      </w:r>
      <w:r w:rsidR="00B11A5F">
        <w:rPr>
          <w:rFonts w:ascii="Times New Roman" w:hAnsi="Times New Roman" w:cs="Times New Roman"/>
          <w:sz w:val="24"/>
          <w:szCs w:val="24"/>
        </w:rPr>
        <w:t xml:space="preserve">three years </w:t>
      </w:r>
      <w:r w:rsidR="009D7C65">
        <w:rPr>
          <w:rFonts w:ascii="Times New Roman" w:hAnsi="Times New Roman" w:cs="Times New Roman"/>
          <w:sz w:val="24"/>
          <w:szCs w:val="24"/>
        </w:rPr>
        <w:t xml:space="preserve">into </w:t>
      </w:r>
      <w:r w:rsidR="00B11A5F">
        <w:rPr>
          <w:rFonts w:ascii="Times New Roman" w:hAnsi="Times New Roman" w:cs="Times New Roman"/>
          <w:sz w:val="24"/>
          <w:szCs w:val="24"/>
        </w:rPr>
        <w:t>the</w:t>
      </w:r>
      <w:r w:rsidR="00BB55FF">
        <w:rPr>
          <w:rFonts w:ascii="Times New Roman" w:hAnsi="Times New Roman" w:cs="Times New Roman"/>
          <w:sz w:val="24"/>
          <w:szCs w:val="24"/>
        </w:rPr>
        <w:t xml:space="preserve"> SPAC-IPO’s </w:t>
      </w:r>
      <w:r w:rsidR="00B11A5F">
        <w:rPr>
          <w:rFonts w:ascii="Times New Roman" w:hAnsi="Times New Roman" w:cs="Times New Roman"/>
          <w:sz w:val="24"/>
          <w:szCs w:val="24"/>
        </w:rPr>
        <w:t>public listing</w:t>
      </w:r>
      <w:r w:rsidR="00D41171">
        <w:rPr>
          <w:rFonts w:ascii="Times New Roman" w:hAnsi="Times New Roman" w:cs="Times New Roman"/>
          <w:sz w:val="24"/>
          <w:szCs w:val="24"/>
        </w:rPr>
        <w:t xml:space="preserve">. </w:t>
      </w:r>
      <w:r w:rsidR="00BB55FF">
        <w:rPr>
          <w:rFonts w:ascii="Times New Roman" w:hAnsi="Times New Roman" w:cs="Times New Roman"/>
          <w:sz w:val="24"/>
          <w:szCs w:val="24"/>
        </w:rPr>
        <w:t>Finally, w</w:t>
      </w:r>
      <w:r w:rsidR="00D41171">
        <w:rPr>
          <w:rFonts w:ascii="Times New Roman" w:hAnsi="Times New Roman" w:cs="Times New Roman"/>
          <w:sz w:val="24"/>
          <w:szCs w:val="24"/>
        </w:rPr>
        <w:t xml:space="preserve">e demonstrate that </w:t>
      </w:r>
      <w:r w:rsidR="00E570EE">
        <w:rPr>
          <w:rFonts w:ascii="Times New Roman" w:hAnsi="Times New Roman" w:cs="Times New Roman"/>
          <w:sz w:val="24"/>
          <w:szCs w:val="24"/>
        </w:rPr>
        <w:t xml:space="preserve">the </w:t>
      </w:r>
      <w:r w:rsidR="00D41171">
        <w:rPr>
          <w:rFonts w:ascii="Times New Roman" w:hAnsi="Times New Roman" w:cs="Times New Roman"/>
          <w:sz w:val="24"/>
          <w:szCs w:val="24"/>
        </w:rPr>
        <w:t>variation in the</w:t>
      </w:r>
      <w:r w:rsidR="00183D8F">
        <w:rPr>
          <w:rFonts w:ascii="Times New Roman" w:hAnsi="Times New Roman" w:cs="Times New Roman"/>
          <w:sz w:val="24"/>
          <w:szCs w:val="24"/>
        </w:rPr>
        <w:t xml:space="preserve"> information</w:t>
      </w:r>
      <w:r w:rsidR="00D41171">
        <w:rPr>
          <w:rFonts w:ascii="Times New Roman" w:hAnsi="Times New Roman" w:cs="Times New Roman"/>
          <w:sz w:val="24"/>
          <w:szCs w:val="24"/>
        </w:rPr>
        <w:t xml:space="preserve"> risk explain</w:t>
      </w:r>
      <w:r w:rsidR="00F65640">
        <w:rPr>
          <w:rFonts w:ascii="Times New Roman" w:hAnsi="Times New Roman" w:cs="Times New Roman"/>
          <w:sz w:val="24"/>
          <w:szCs w:val="24"/>
        </w:rPr>
        <w:t>s</w:t>
      </w:r>
      <w:r w:rsidR="00D41171">
        <w:rPr>
          <w:rFonts w:ascii="Times New Roman" w:hAnsi="Times New Roman" w:cs="Times New Roman"/>
          <w:sz w:val="24"/>
          <w:szCs w:val="24"/>
        </w:rPr>
        <w:t xml:space="preserve"> the </w:t>
      </w:r>
      <w:r w:rsidR="00BB55FF">
        <w:rPr>
          <w:rFonts w:ascii="Times New Roman" w:hAnsi="Times New Roman" w:cs="Times New Roman"/>
          <w:sz w:val="24"/>
          <w:szCs w:val="24"/>
        </w:rPr>
        <w:t xml:space="preserve">poor stock </w:t>
      </w:r>
      <w:r w:rsidR="00D41171">
        <w:rPr>
          <w:rFonts w:ascii="Times New Roman" w:hAnsi="Times New Roman" w:cs="Times New Roman"/>
          <w:sz w:val="24"/>
          <w:szCs w:val="24"/>
        </w:rPr>
        <w:t xml:space="preserve">performance of SPAC-IPOs. </w:t>
      </w:r>
      <w:r w:rsidR="00E570EE">
        <w:rPr>
          <w:rFonts w:ascii="Times New Roman" w:hAnsi="Times New Roman" w:cs="Times New Roman"/>
          <w:sz w:val="24"/>
          <w:szCs w:val="24"/>
        </w:rPr>
        <w:t>To the extent the</w:t>
      </w:r>
      <w:r w:rsidR="00D41171">
        <w:rPr>
          <w:rFonts w:ascii="Times New Roman" w:hAnsi="Times New Roman" w:cs="Times New Roman"/>
          <w:sz w:val="24"/>
          <w:szCs w:val="24"/>
        </w:rPr>
        <w:t xml:space="preserve"> regulatory initiatives are </w:t>
      </w:r>
      <w:r w:rsidR="00E570EE">
        <w:rPr>
          <w:rFonts w:ascii="Times New Roman" w:hAnsi="Times New Roman" w:cs="Times New Roman"/>
          <w:sz w:val="24"/>
          <w:szCs w:val="24"/>
        </w:rPr>
        <w:t xml:space="preserve">intended to </w:t>
      </w:r>
      <w:r w:rsidR="00FB7E98">
        <w:rPr>
          <w:rFonts w:ascii="Times New Roman" w:hAnsi="Times New Roman" w:cs="Times New Roman"/>
          <w:sz w:val="24"/>
          <w:szCs w:val="24"/>
        </w:rPr>
        <w:t xml:space="preserve">address </w:t>
      </w:r>
      <w:r w:rsidR="00D41171">
        <w:rPr>
          <w:rFonts w:ascii="Times New Roman" w:hAnsi="Times New Roman" w:cs="Times New Roman"/>
          <w:sz w:val="24"/>
          <w:szCs w:val="24"/>
        </w:rPr>
        <w:t>the information risk</w:t>
      </w:r>
      <w:r w:rsidR="00FB7E98">
        <w:rPr>
          <w:rFonts w:ascii="Times New Roman" w:hAnsi="Times New Roman" w:cs="Times New Roman"/>
          <w:sz w:val="24"/>
          <w:szCs w:val="24"/>
        </w:rPr>
        <w:t xml:space="preserve"> in de-SPAC transactions</w:t>
      </w:r>
      <w:r w:rsidR="00E570EE">
        <w:rPr>
          <w:rFonts w:ascii="Times New Roman" w:hAnsi="Times New Roman" w:cs="Times New Roman"/>
          <w:sz w:val="24"/>
          <w:szCs w:val="24"/>
        </w:rPr>
        <w:t>,</w:t>
      </w:r>
      <w:r w:rsidR="00183D8F">
        <w:rPr>
          <w:rFonts w:ascii="Times New Roman" w:hAnsi="Times New Roman" w:cs="Times New Roman"/>
          <w:sz w:val="24"/>
          <w:szCs w:val="24"/>
        </w:rPr>
        <w:t xml:space="preserve"> SPAC-IPO</w:t>
      </w:r>
      <w:r w:rsidR="00E570EE">
        <w:rPr>
          <w:rFonts w:ascii="Times New Roman" w:hAnsi="Times New Roman" w:cs="Times New Roman"/>
          <w:sz w:val="24"/>
          <w:szCs w:val="24"/>
        </w:rPr>
        <w:t xml:space="preserve"> investors are the </w:t>
      </w:r>
      <w:r w:rsidR="00FB7E98">
        <w:rPr>
          <w:rFonts w:ascii="Times New Roman" w:hAnsi="Times New Roman" w:cs="Times New Roman"/>
          <w:sz w:val="24"/>
          <w:szCs w:val="24"/>
        </w:rPr>
        <w:t xml:space="preserve">likely </w:t>
      </w:r>
      <w:r w:rsidR="00E570EE">
        <w:rPr>
          <w:rFonts w:ascii="Times New Roman" w:hAnsi="Times New Roman" w:cs="Times New Roman"/>
          <w:sz w:val="24"/>
          <w:szCs w:val="24"/>
        </w:rPr>
        <w:t>beneficiaries of this regulation</w:t>
      </w:r>
      <w:r w:rsidR="00D41171">
        <w:rPr>
          <w:rFonts w:ascii="Times New Roman" w:hAnsi="Times New Roman" w:cs="Times New Roman"/>
          <w:sz w:val="24"/>
          <w:szCs w:val="24"/>
        </w:rPr>
        <w:t xml:space="preserve">. </w:t>
      </w:r>
      <w:r w:rsidR="00B465B3">
        <w:rPr>
          <w:rFonts w:ascii="Times New Roman" w:hAnsi="Times New Roman" w:cs="Times New Roman"/>
          <w:b/>
          <w:sz w:val="24"/>
        </w:rPr>
        <w:br w:type="page"/>
      </w:r>
    </w:p>
    <w:p w14:paraId="629DE251" w14:textId="49F49352" w:rsidR="001E1EE1" w:rsidRPr="001E1EE1" w:rsidRDefault="001E1EE1" w:rsidP="004171D8">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lastRenderedPageBreak/>
        <w:t xml:space="preserve">Introduction </w:t>
      </w:r>
    </w:p>
    <w:p w14:paraId="1FC77338" w14:textId="28519FC7" w:rsidR="00FB7E98" w:rsidRDefault="00D40482" w:rsidP="00B756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BB55FF">
        <w:rPr>
          <w:rFonts w:ascii="Times New Roman" w:hAnsi="Times New Roman" w:cs="Times New Roman"/>
          <w:sz w:val="24"/>
          <w:szCs w:val="24"/>
        </w:rPr>
        <w:t xml:space="preserve">only </w:t>
      </w:r>
      <w:r>
        <w:rPr>
          <w:rFonts w:ascii="Times New Roman" w:hAnsi="Times New Roman" w:cs="Times New Roman"/>
          <w:sz w:val="24"/>
          <w:szCs w:val="24"/>
        </w:rPr>
        <w:t xml:space="preserve">59 </w:t>
      </w:r>
      <w:r w:rsidR="00D75E5B" w:rsidRPr="00E10256">
        <w:rPr>
          <w:rFonts w:ascii="Times New Roman" w:hAnsi="Times New Roman" w:cs="Times New Roman"/>
          <w:sz w:val="24"/>
          <w:szCs w:val="24"/>
        </w:rPr>
        <w:t xml:space="preserve">special purpose acquisition companies </w:t>
      </w:r>
      <w:r w:rsidR="00D75E5B">
        <w:rPr>
          <w:rFonts w:ascii="Times New Roman" w:hAnsi="Times New Roman" w:cs="Times New Roman"/>
          <w:sz w:val="24"/>
          <w:szCs w:val="24"/>
        </w:rPr>
        <w:t>(</w:t>
      </w:r>
      <w:r w:rsidR="00E10256" w:rsidRPr="008C25DD">
        <w:rPr>
          <w:rFonts w:ascii="Times New Roman" w:hAnsi="Times New Roman" w:cs="Times New Roman"/>
          <w:sz w:val="24"/>
          <w:szCs w:val="24"/>
        </w:rPr>
        <w:t>SPACs</w:t>
      </w:r>
      <w:r w:rsidR="00D75E5B">
        <w:rPr>
          <w:rFonts w:ascii="Times New Roman" w:hAnsi="Times New Roman" w:cs="Times New Roman"/>
          <w:sz w:val="24"/>
          <w:szCs w:val="24"/>
        </w:rPr>
        <w:t>)</w:t>
      </w:r>
      <w:r w:rsidR="00E10256" w:rsidRPr="008C25DD">
        <w:rPr>
          <w:rFonts w:ascii="Times New Roman" w:hAnsi="Times New Roman" w:cs="Times New Roman"/>
          <w:sz w:val="24"/>
          <w:szCs w:val="24"/>
        </w:rPr>
        <w:t xml:space="preserve"> </w:t>
      </w:r>
      <w:r w:rsidR="00534B37">
        <w:rPr>
          <w:rFonts w:ascii="Times New Roman" w:hAnsi="Times New Roman" w:cs="Times New Roman"/>
          <w:sz w:val="24"/>
          <w:szCs w:val="24"/>
        </w:rPr>
        <w:t xml:space="preserve">were </w:t>
      </w:r>
      <w:r w:rsidR="00E10256" w:rsidRPr="008C25DD">
        <w:rPr>
          <w:rFonts w:ascii="Times New Roman" w:hAnsi="Times New Roman" w:cs="Times New Roman"/>
          <w:sz w:val="24"/>
          <w:szCs w:val="24"/>
        </w:rPr>
        <w:t xml:space="preserve">created </w:t>
      </w:r>
      <w:r w:rsidR="00A9083C" w:rsidRPr="008C25DD">
        <w:rPr>
          <w:rFonts w:ascii="Times New Roman" w:hAnsi="Times New Roman" w:cs="Times New Roman"/>
          <w:sz w:val="24"/>
          <w:szCs w:val="24"/>
        </w:rPr>
        <w:t>in 2019</w:t>
      </w:r>
      <w:r>
        <w:rPr>
          <w:rFonts w:ascii="Times New Roman" w:hAnsi="Times New Roman" w:cs="Times New Roman"/>
          <w:sz w:val="24"/>
          <w:szCs w:val="24"/>
        </w:rPr>
        <w:t xml:space="preserve">, </w:t>
      </w:r>
      <w:r w:rsidR="00534B37">
        <w:rPr>
          <w:rFonts w:ascii="Times New Roman" w:hAnsi="Times New Roman" w:cs="Times New Roman"/>
          <w:sz w:val="24"/>
          <w:szCs w:val="24"/>
        </w:rPr>
        <w:t xml:space="preserve">within a year, an additional </w:t>
      </w:r>
      <w:r w:rsidR="00D75E5B">
        <w:rPr>
          <w:rFonts w:ascii="Times New Roman" w:hAnsi="Times New Roman" w:cs="Times New Roman"/>
          <w:sz w:val="24"/>
          <w:szCs w:val="24"/>
        </w:rPr>
        <w:t xml:space="preserve">247 SPACs </w:t>
      </w:r>
      <w:r w:rsidR="00E10256" w:rsidRPr="008C25DD">
        <w:rPr>
          <w:rFonts w:ascii="Times New Roman" w:hAnsi="Times New Roman" w:cs="Times New Roman"/>
          <w:sz w:val="24"/>
          <w:szCs w:val="24"/>
        </w:rPr>
        <w:t>rais</w:t>
      </w:r>
      <w:r>
        <w:rPr>
          <w:rFonts w:ascii="Times New Roman" w:hAnsi="Times New Roman" w:cs="Times New Roman"/>
          <w:sz w:val="24"/>
          <w:szCs w:val="24"/>
        </w:rPr>
        <w:t xml:space="preserve">ed </w:t>
      </w:r>
      <w:r w:rsidR="00E10256" w:rsidRPr="008C25DD">
        <w:rPr>
          <w:rFonts w:ascii="Times New Roman" w:hAnsi="Times New Roman" w:cs="Times New Roman"/>
          <w:sz w:val="24"/>
          <w:szCs w:val="24"/>
        </w:rPr>
        <w:t>$80 billion</w:t>
      </w:r>
      <w:r w:rsidR="00E510F3" w:rsidRPr="008C25DD">
        <w:rPr>
          <w:rFonts w:ascii="Times New Roman" w:hAnsi="Times New Roman" w:cs="Times New Roman"/>
          <w:sz w:val="24"/>
          <w:szCs w:val="24"/>
        </w:rPr>
        <w:t xml:space="preserve"> and account</w:t>
      </w:r>
      <w:r>
        <w:rPr>
          <w:rFonts w:ascii="Times New Roman" w:hAnsi="Times New Roman" w:cs="Times New Roman"/>
          <w:sz w:val="24"/>
          <w:szCs w:val="24"/>
        </w:rPr>
        <w:t xml:space="preserve">ed </w:t>
      </w:r>
      <w:r w:rsidR="00E510F3" w:rsidRPr="008C25DD">
        <w:rPr>
          <w:rFonts w:ascii="Times New Roman" w:hAnsi="Times New Roman" w:cs="Times New Roman"/>
          <w:sz w:val="24"/>
          <w:szCs w:val="24"/>
        </w:rPr>
        <w:t>for more than 50% of the new publicly listed U.S. companies (Bazerman and Patel 2021).</w:t>
      </w:r>
      <w:r w:rsidR="00D75E5B">
        <w:rPr>
          <w:rStyle w:val="FootnoteReference"/>
          <w:rFonts w:ascii="Times New Roman" w:hAnsi="Times New Roman" w:cs="Times New Roman"/>
          <w:sz w:val="24"/>
          <w:szCs w:val="24"/>
        </w:rPr>
        <w:footnoteReference w:id="1"/>
      </w:r>
      <w:r w:rsidR="00E510F3" w:rsidRPr="008C25DD">
        <w:rPr>
          <w:rFonts w:ascii="Times New Roman" w:hAnsi="Times New Roman" w:cs="Times New Roman"/>
          <w:sz w:val="24"/>
          <w:szCs w:val="24"/>
        </w:rPr>
        <w:t xml:space="preserve"> </w:t>
      </w:r>
      <w:r w:rsidR="00D75E5B">
        <w:rPr>
          <w:rFonts w:ascii="Times New Roman" w:hAnsi="Times New Roman" w:cs="Times New Roman"/>
          <w:sz w:val="24"/>
          <w:szCs w:val="24"/>
        </w:rPr>
        <w:t xml:space="preserve">By </w:t>
      </w:r>
      <w:r w:rsidR="00E53923">
        <w:rPr>
          <w:rFonts w:ascii="Times New Roman" w:hAnsi="Times New Roman" w:cs="Times New Roman"/>
          <w:sz w:val="24"/>
          <w:szCs w:val="24"/>
        </w:rPr>
        <w:t>2021, SPACs as an alternate venue for capital raising grew by more than ten times</w:t>
      </w:r>
      <w:r w:rsidR="00D75E5B">
        <w:rPr>
          <w:rFonts w:ascii="Times New Roman" w:hAnsi="Times New Roman" w:cs="Times New Roman"/>
          <w:sz w:val="24"/>
          <w:szCs w:val="24"/>
        </w:rPr>
        <w:t xml:space="preserve"> </w:t>
      </w:r>
      <w:r w:rsidR="00D75E5B" w:rsidRPr="008C25DD">
        <w:rPr>
          <w:rFonts w:ascii="Times New Roman" w:hAnsi="Times New Roman" w:cs="Times New Roman"/>
          <w:sz w:val="24"/>
          <w:szCs w:val="24"/>
        </w:rPr>
        <w:t xml:space="preserve">raising $144.52 billion </w:t>
      </w:r>
      <w:r w:rsidR="00D75E5B">
        <w:rPr>
          <w:rFonts w:ascii="Times New Roman" w:hAnsi="Times New Roman" w:cs="Times New Roman"/>
          <w:sz w:val="24"/>
          <w:szCs w:val="24"/>
        </w:rPr>
        <w:t>(Ritter</w:t>
      </w:r>
      <w:r w:rsidR="00D75E5B" w:rsidRPr="008C25DD">
        <w:rPr>
          <w:rFonts w:ascii="Times New Roman" w:hAnsi="Times New Roman" w:cs="Times New Roman"/>
          <w:sz w:val="24"/>
          <w:szCs w:val="24"/>
        </w:rPr>
        <w:t xml:space="preserve"> 202</w:t>
      </w:r>
      <w:r w:rsidR="00D75E5B">
        <w:rPr>
          <w:rFonts w:ascii="Times New Roman" w:hAnsi="Times New Roman" w:cs="Times New Roman"/>
          <w:sz w:val="24"/>
          <w:szCs w:val="24"/>
        </w:rPr>
        <w:t>2)</w:t>
      </w:r>
      <w:r w:rsidR="00E53923">
        <w:rPr>
          <w:rFonts w:ascii="Times New Roman" w:hAnsi="Times New Roman" w:cs="Times New Roman"/>
          <w:sz w:val="24"/>
          <w:szCs w:val="24"/>
        </w:rPr>
        <w:t>.</w:t>
      </w:r>
      <w:r w:rsidR="00D75E5B">
        <w:rPr>
          <w:rFonts w:ascii="Times New Roman" w:hAnsi="Times New Roman" w:cs="Times New Roman"/>
          <w:sz w:val="24"/>
          <w:szCs w:val="24"/>
        </w:rPr>
        <w:t xml:space="preserve"> </w:t>
      </w:r>
      <w:r w:rsidR="00FB7E98">
        <w:rPr>
          <w:rFonts w:ascii="Times New Roman" w:hAnsi="Times New Roman" w:cs="Times New Roman"/>
          <w:sz w:val="24"/>
          <w:szCs w:val="24"/>
        </w:rPr>
        <w:t>The explosive growth in SPACs has garnered the attention of regulators and media. One perception is that the reporting</w:t>
      </w:r>
      <w:r w:rsidR="009F33B4">
        <w:rPr>
          <w:rFonts w:ascii="Times New Roman" w:hAnsi="Times New Roman" w:cs="Times New Roman"/>
          <w:sz w:val="24"/>
          <w:szCs w:val="24"/>
        </w:rPr>
        <w:t>/</w:t>
      </w:r>
      <w:r w:rsidR="00FB7E98">
        <w:rPr>
          <w:rFonts w:ascii="Times New Roman" w:hAnsi="Times New Roman" w:cs="Times New Roman"/>
          <w:sz w:val="24"/>
          <w:szCs w:val="24"/>
        </w:rPr>
        <w:t>disclosure requirements for initial public offerings by SPACs and for their subsequent business combinations with private operating companies (</w:t>
      </w:r>
      <w:r w:rsidR="009F33B4">
        <w:rPr>
          <w:rFonts w:ascii="Times New Roman" w:hAnsi="Times New Roman" w:cs="Times New Roman"/>
          <w:sz w:val="24"/>
          <w:szCs w:val="24"/>
        </w:rPr>
        <w:t>“</w:t>
      </w:r>
      <w:r w:rsidR="00FB7E98">
        <w:rPr>
          <w:rFonts w:ascii="Times New Roman" w:hAnsi="Times New Roman" w:cs="Times New Roman"/>
          <w:sz w:val="24"/>
          <w:szCs w:val="24"/>
        </w:rPr>
        <w:t>de-SPAC</w:t>
      </w:r>
      <w:r w:rsidR="009F33B4">
        <w:rPr>
          <w:rFonts w:ascii="Times New Roman" w:hAnsi="Times New Roman" w:cs="Times New Roman"/>
          <w:sz w:val="24"/>
          <w:szCs w:val="24"/>
        </w:rPr>
        <w:t>”</w:t>
      </w:r>
      <w:r w:rsidR="00FB7E98">
        <w:rPr>
          <w:rFonts w:ascii="Times New Roman" w:hAnsi="Times New Roman" w:cs="Times New Roman"/>
          <w:sz w:val="24"/>
          <w:szCs w:val="24"/>
        </w:rPr>
        <w:t xml:space="preserve"> transactions) are less complete/reliable than </w:t>
      </w:r>
      <w:r w:rsidR="009F33B4">
        <w:rPr>
          <w:rFonts w:ascii="Times New Roman" w:hAnsi="Times New Roman" w:cs="Times New Roman"/>
          <w:sz w:val="24"/>
          <w:szCs w:val="24"/>
        </w:rPr>
        <w:t xml:space="preserve">for </w:t>
      </w:r>
      <w:r w:rsidR="00FB7E98">
        <w:rPr>
          <w:rFonts w:ascii="Times New Roman" w:hAnsi="Times New Roman" w:cs="Times New Roman"/>
          <w:sz w:val="24"/>
          <w:szCs w:val="24"/>
        </w:rPr>
        <w:t>traditional IPOs (e.g., AFR 2021; IAC 2021; Rodrigues 2021; SEC 2022). To address any disparit</w:t>
      </w:r>
      <w:r w:rsidR="008C5D23">
        <w:rPr>
          <w:rFonts w:ascii="Times New Roman" w:hAnsi="Times New Roman" w:cs="Times New Roman"/>
          <w:sz w:val="24"/>
          <w:szCs w:val="24"/>
        </w:rPr>
        <w:t xml:space="preserve">y </w:t>
      </w:r>
      <w:r w:rsidR="00FB7E98">
        <w:rPr>
          <w:rFonts w:ascii="Times New Roman" w:hAnsi="Times New Roman" w:cs="Times New Roman"/>
          <w:sz w:val="24"/>
          <w:szCs w:val="24"/>
        </w:rPr>
        <w:t xml:space="preserve">in the information risk between de-SPACs and traditional IPOs, </w:t>
      </w:r>
      <w:r w:rsidR="008C50CE">
        <w:rPr>
          <w:rFonts w:ascii="Times New Roman" w:hAnsi="Times New Roman" w:cs="Times New Roman"/>
          <w:sz w:val="24"/>
          <w:szCs w:val="24"/>
        </w:rPr>
        <w:t xml:space="preserve">the U.S. Securities Exchange Commission (SEC) </w:t>
      </w:r>
      <w:r w:rsidR="003666DD">
        <w:rPr>
          <w:rFonts w:ascii="Times New Roman" w:hAnsi="Times New Roman" w:cs="Times New Roman"/>
          <w:sz w:val="24"/>
          <w:szCs w:val="24"/>
        </w:rPr>
        <w:t xml:space="preserve">proposed new rules to strengthen </w:t>
      </w:r>
      <w:r w:rsidR="004206CC">
        <w:rPr>
          <w:rFonts w:ascii="Times New Roman" w:hAnsi="Times New Roman" w:cs="Times New Roman"/>
          <w:sz w:val="24"/>
          <w:szCs w:val="24"/>
        </w:rPr>
        <w:t xml:space="preserve">the </w:t>
      </w:r>
      <w:r w:rsidR="003666DD">
        <w:rPr>
          <w:rFonts w:ascii="Times New Roman" w:hAnsi="Times New Roman" w:cs="Times New Roman"/>
          <w:sz w:val="24"/>
          <w:szCs w:val="24"/>
        </w:rPr>
        <w:t xml:space="preserve">disclosure and financial reporting around </w:t>
      </w:r>
      <w:r w:rsidR="007A1F71">
        <w:rPr>
          <w:rFonts w:ascii="Times New Roman" w:hAnsi="Times New Roman" w:cs="Times New Roman"/>
          <w:sz w:val="24"/>
          <w:szCs w:val="24"/>
        </w:rPr>
        <w:t>SPAC and de-SPAC</w:t>
      </w:r>
      <w:r w:rsidR="009F33B4">
        <w:rPr>
          <w:rFonts w:ascii="Times New Roman" w:hAnsi="Times New Roman" w:cs="Times New Roman"/>
          <w:sz w:val="24"/>
          <w:szCs w:val="24"/>
        </w:rPr>
        <w:t xml:space="preserve"> transaction</w:t>
      </w:r>
      <w:r w:rsidR="007A1F71">
        <w:rPr>
          <w:rFonts w:ascii="Times New Roman" w:hAnsi="Times New Roman" w:cs="Times New Roman"/>
          <w:sz w:val="24"/>
          <w:szCs w:val="24"/>
        </w:rPr>
        <w:t>s</w:t>
      </w:r>
      <w:r w:rsidR="003666DD">
        <w:rPr>
          <w:rFonts w:ascii="Times New Roman" w:hAnsi="Times New Roman" w:cs="Times New Roman"/>
          <w:sz w:val="24"/>
          <w:szCs w:val="24"/>
        </w:rPr>
        <w:t xml:space="preserve"> (SEC 2022).</w:t>
      </w:r>
      <w:r w:rsidR="00675823">
        <w:rPr>
          <w:rStyle w:val="FootnoteReference"/>
          <w:rFonts w:ascii="Times New Roman" w:hAnsi="Times New Roman" w:cs="Times New Roman"/>
          <w:sz w:val="24"/>
          <w:szCs w:val="24"/>
        </w:rPr>
        <w:footnoteReference w:id="2"/>
      </w:r>
      <w:r w:rsidR="007A1F71">
        <w:rPr>
          <w:rFonts w:ascii="Times New Roman" w:hAnsi="Times New Roman" w:cs="Times New Roman"/>
          <w:sz w:val="24"/>
          <w:szCs w:val="24"/>
        </w:rPr>
        <w:t xml:space="preserve"> </w:t>
      </w:r>
    </w:p>
    <w:p w14:paraId="7D2F030C" w14:textId="4968A79C" w:rsidR="0096541B" w:rsidRDefault="00183D8F" w:rsidP="003D31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preliminary findings of </w:t>
      </w:r>
      <w:r w:rsidR="007A1F71">
        <w:rPr>
          <w:rFonts w:ascii="Times New Roman" w:hAnsi="Times New Roman" w:cs="Times New Roman"/>
          <w:sz w:val="24"/>
          <w:szCs w:val="24"/>
        </w:rPr>
        <w:t xml:space="preserve">Kim, </w:t>
      </w:r>
      <w:r w:rsidR="00F65D04">
        <w:rPr>
          <w:rFonts w:ascii="Times New Roman" w:hAnsi="Times New Roman" w:cs="Times New Roman"/>
          <w:sz w:val="24"/>
          <w:szCs w:val="24"/>
        </w:rPr>
        <w:t>Park, Peterson</w:t>
      </w:r>
      <w:r w:rsidR="006F2453">
        <w:rPr>
          <w:rFonts w:ascii="Times New Roman" w:hAnsi="Times New Roman" w:cs="Times New Roman"/>
          <w:sz w:val="24"/>
          <w:szCs w:val="24"/>
        </w:rPr>
        <w:t>,</w:t>
      </w:r>
      <w:r w:rsidR="00F65D04">
        <w:rPr>
          <w:rFonts w:ascii="Times New Roman" w:hAnsi="Times New Roman" w:cs="Times New Roman"/>
          <w:sz w:val="24"/>
          <w:szCs w:val="24"/>
        </w:rPr>
        <w:t xml:space="preserve"> and Wilson </w:t>
      </w:r>
      <w:r w:rsidR="007A1F71">
        <w:rPr>
          <w:rFonts w:ascii="Times New Roman" w:hAnsi="Times New Roman" w:cs="Times New Roman"/>
          <w:sz w:val="24"/>
          <w:szCs w:val="24"/>
        </w:rPr>
        <w:t>(2022) that</w:t>
      </w:r>
      <w:r w:rsidR="00984921">
        <w:rPr>
          <w:rFonts w:ascii="Times New Roman" w:hAnsi="Times New Roman" w:cs="Times New Roman"/>
          <w:sz w:val="24"/>
          <w:szCs w:val="24"/>
        </w:rPr>
        <w:t>,</w:t>
      </w:r>
      <w:r w:rsidR="007A1F71">
        <w:rPr>
          <w:rFonts w:ascii="Times New Roman" w:hAnsi="Times New Roman" w:cs="Times New Roman"/>
          <w:sz w:val="24"/>
          <w:szCs w:val="24"/>
        </w:rPr>
        <w:t xml:space="preserve"> </w:t>
      </w:r>
      <w:r w:rsidR="00984921">
        <w:rPr>
          <w:rFonts w:ascii="Times New Roman" w:hAnsi="Times New Roman" w:cs="Times New Roman"/>
          <w:sz w:val="24"/>
          <w:szCs w:val="24"/>
        </w:rPr>
        <w:t xml:space="preserve">relative to traditional IPOs, </w:t>
      </w:r>
      <w:r>
        <w:rPr>
          <w:rFonts w:ascii="Times New Roman" w:hAnsi="Times New Roman" w:cs="Times New Roman"/>
          <w:sz w:val="24"/>
          <w:szCs w:val="24"/>
        </w:rPr>
        <w:t>de-</w:t>
      </w:r>
      <w:r w:rsidR="00DB6D63">
        <w:rPr>
          <w:rFonts w:ascii="Times New Roman" w:hAnsi="Times New Roman" w:cs="Times New Roman"/>
          <w:sz w:val="24"/>
          <w:szCs w:val="24"/>
        </w:rPr>
        <w:t>SPAC</w:t>
      </w:r>
      <w:r w:rsidR="007A1F71">
        <w:rPr>
          <w:rFonts w:ascii="Times New Roman" w:hAnsi="Times New Roman" w:cs="Times New Roman"/>
          <w:sz w:val="24"/>
          <w:szCs w:val="24"/>
        </w:rPr>
        <w:t xml:space="preserve">s </w:t>
      </w:r>
      <w:r w:rsidR="00984921">
        <w:rPr>
          <w:rFonts w:ascii="Times New Roman" w:hAnsi="Times New Roman" w:cs="Times New Roman"/>
          <w:sz w:val="24"/>
          <w:szCs w:val="24"/>
        </w:rPr>
        <w:t xml:space="preserve">are associated with </w:t>
      </w:r>
      <w:r w:rsidR="007A1F71">
        <w:rPr>
          <w:rFonts w:ascii="Times New Roman" w:hAnsi="Times New Roman" w:cs="Times New Roman"/>
          <w:sz w:val="24"/>
          <w:szCs w:val="24"/>
        </w:rPr>
        <w:t xml:space="preserve">more restatements, </w:t>
      </w:r>
      <w:r w:rsidR="00984921">
        <w:rPr>
          <w:rFonts w:ascii="Times New Roman" w:hAnsi="Times New Roman" w:cs="Times New Roman"/>
          <w:sz w:val="24"/>
          <w:szCs w:val="24"/>
        </w:rPr>
        <w:t xml:space="preserve">with </w:t>
      </w:r>
      <w:r w:rsidR="007A1F71">
        <w:rPr>
          <w:rFonts w:ascii="Times New Roman" w:hAnsi="Times New Roman" w:cs="Times New Roman"/>
          <w:sz w:val="24"/>
          <w:szCs w:val="24"/>
        </w:rPr>
        <w:t xml:space="preserve">more internal control problems, </w:t>
      </w:r>
      <w:r w:rsidR="00984921">
        <w:rPr>
          <w:rFonts w:ascii="Times New Roman" w:hAnsi="Times New Roman" w:cs="Times New Roman"/>
          <w:sz w:val="24"/>
          <w:szCs w:val="24"/>
        </w:rPr>
        <w:t xml:space="preserve">and with </w:t>
      </w:r>
      <w:r w:rsidR="007A1F71">
        <w:rPr>
          <w:rFonts w:ascii="Times New Roman" w:hAnsi="Times New Roman" w:cs="Times New Roman"/>
          <w:sz w:val="24"/>
          <w:szCs w:val="24"/>
        </w:rPr>
        <w:t>more non-timely filings</w:t>
      </w:r>
      <w:r w:rsidR="00984921">
        <w:rPr>
          <w:rFonts w:ascii="Times New Roman" w:hAnsi="Times New Roman" w:cs="Times New Roman"/>
          <w:sz w:val="24"/>
          <w:szCs w:val="24"/>
        </w:rPr>
        <w:t xml:space="preserve"> (i.e., lower financial statement quality</w:t>
      </w:r>
      <w:r w:rsidR="007A1F71">
        <w:rPr>
          <w:rFonts w:ascii="Times New Roman" w:hAnsi="Times New Roman" w:cs="Times New Roman"/>
          <w:sz w:val="24"/>
          <w:szCs w:val="24"/>
        </w:rPr>
        <w:t>)</w:t>
      </w:r>
      <w:r w:rsidR="00984921">
        <w:rPr>
          <w:rFonts w:ascii="Times New Roman" w:hAnsi="Times New Roman" w:cs="Times New Roman"/>
          <w:sz w:val="24"/>
          <w:szCs w:val="24"/>
        </w:rPr>
        <w:t xml:space="preserve"> </w:t>
      </w:r>
      <w:r w:rsidR="00F65640">
        <w:rPr>
          <w:rFonts w:ascii="Times New Roman" w:hAnsi="Times New Roman" w:cs="Times New Roman"/>
          <w:sz w:val="24"/>
          <w:szCs w:val="24"/>
        </w:rPr>
        <w:t>are</w:t>
      </w:r>
      <w:r w:rsidR="007A1F71">
        <w:rPr>
          <w:rFonts w:ascii="Times New Roman" w:hAnsi="Times New Roman" w:cs="Times New Roman"/>
          <w:sz w:val="24"/>
          <w:szCs w:val="24"/>
        </w:rPr>
        <w:t xml:space="preserve"> consistent with information risk </w:t>
      </w:r>
      <w:r>
        <w:rPr>
          <w:rFonts w:ascii="Times New Roman" w:hAnsi="Times New Roman" w:cs="Times New Roman"/>
          <w:sz w:val="24"/>
          <w:szCs w:val="24"/>
        </w:rPr>
        <w:t xml:space="preserve">being </w:t>
      </w:r>
      <w:r w:rsidR="007A1F71">
        <w:rPr>
          <w:rFonts w:ascii="Times New Roman" w:hAnsi="Times New Roman" w:cs="Times New Roman"/>
          <w:sz w:val="24"/>
          <w:szCs w:val="24"/>
        </w:rPr>
        <w:t>higher for de-SPAC</w:t>
      </w:r>
      <w:r w:rsidR="00984921">
        <w:rPr>
          <w:rFonts w:ascii="Times New Roman" w:hAnsi="Times New Roman" w:cs="Times New Roman"/>
          <w:sz w:val="24"/>
          <w:szCs w:val="24"/>
        </w:rPr>
        <w:t xml:space="preserve"> transactions</w:t>
      </w:r>
      <w:r w:rsidR="007A1F71">
        <w:rPr>
          <w:rFonts w:ascii="Times New Roman" w:hAnsi="Times New Roman" w:cs="Times New Roman"/>
          <w:sz w:val="24"/>
          <w:szCs w:val="24"/>
        </w:rPr>
        <w:t>.</w:t>
      </w:r>
      <w:r w:rsidR="00FB7E98">
        <w:rPr>
          <w:rFonts w:ascii="Times New Roman" w:hAnsi="Times New Roman" w:cs="Times New Roman"/>
          <w:sz w:val="24"/>
          <w:szCs w:val="24"/>
        </w:rPr>
        <w:t xml:space="preserve"> </w:t>
      </w:r>
      <w:r w:rsidR="0096541B">
        <w:rPr>
          <w:rFonts w:ascii="Times New Roman" w:hAnsi="Times New Roman" w:cs="Times New Roman"/>
          <w:sz w:val="24"/>
          <w:szCs w:val="24"/>
        </w:rPr>
        <w:t>In this study, w</w:t>
      </w:r>
      <w:r w:rsidR="00A76F35" w:rsidRPr="00AE684B">
        <w:rPr>
          <w:rFonts w:ascii="Times New Roman" w:hAnsi="Times New Roman" w:cs="Times New Roman"/>
          <w:sz w:val="24"/>
          <w:szCs w:val="24"/>
        </w:rPr>
        <w:t xml:space="preserve">e </w:t>
      </w:r>
      <w:r w:rsidR="0096541B">
        <w:rPr>
          <w:rFonts w:ascii="Times New Roman" w:hAnsi="Times New Roman" w:cs="Times New Roman"/>
          <w:sz w:val="24"/>
          <w:szCs w:val="24"/>
        </w:rPr>
        <w:t xml:space="preserve">formally </w:t>
      </w:r>
      <w:r w:rsidR="00A76F35" w:rsidRPr="00AE684B">
        <w:rPr>
          <w:rFonts w:ascii="Times New Roman" w:hAnsi="Times New Roman" w:cs="Times New Roman"/>
          <w:sz w:val="24"/>
          <w:szCs w:val="24"/>
        </w:rPr>
        <w:t>investigate whether</w:t>
      </w:r>
      <w:r w:rsidR="0096541B">
        <w:rPr>
          <w:rFonts w:ascii="Times New Roman" w:hAnsi="Times New Roman" w:cs="Times New Roman"/>
          <w:sz w:val="24"/>
          <w:szCs w:val="24"/>
        </w:rPr>
        <w:t>:</w:t>
      </w:r>
      <w:r w:rsidR="00A76F35" w:rsidRPr="00AE684B">
        <w:rPr>
          <w:rFonts w:ascii="Times New Roman" w:hAnsi="Times New Roman" w:cs="Times New Roman"/>
          <w:sz w:val="24"/>
          <w:szCs w:val="24"/>
        </w:rPr>
        <w:t xml:space="preserve"> </w:t>
      </w:r>
      <w:r w:rsidR="0096541B">
        <w:rPr>
          <w:rFonts w:ascii="Times New Roman" w:hAnsi="Times New Roman" w:cs="Times New Roman"/>
          <w:sz w:val="24"/>
          <w:szCs w:val="24"/>
        </w:rPr>
        <w:t xml:space="preserve">(1) </w:t>
      </w:r>
      <w:r w:rsidR="00A76F35" w:rsidRPr="00AE684B">
        <w:rPr>
          <w:rFonts w:ascii="Times New Roman" w:hAnsi="Times New Roman" w:cs="Times New Roman"/>
          <w:sz w:val="24"/>
          <w:szCs w:val="24"/>
        </w:rPr>
        <w:t>the information risk is higher for companies going public by merging with SPAC</w:t>
      </w:r>
      <w:r w:rsidR="00534B37">
        <w:rPr>
          <w:rFonts w:ascii="Times New Roman" w:hAnsi="Times New Roman" w:cs="Times New Roman"/>
          <w:sz w:val="24"/>
          <w:szCs w:val="24"/>
        </w:rPr>
        <w:t>s</w:t>
      </w:r>
      <w:r w:rsidR="00A76F35" w:rsidRPr="00AE684B">
        <w:rPr>
          <w:rFonts w:ascii="Times New Roman" w:hAnsi="Times New Roman" w:cs="Times New Roman"/>
          <w:sz w:val="24"/>
          <w:szCs w:val="24"/>
        </w:rPr>
        <w:t xml:space="preserve">, which we call “SPAC-IPOs,” </w:t>
      </w:r>
      <w:r w:rsidR="0096541B">
        <w:rPr>
          <w:rFonts w:ascii="Times New Roman" w:hAnsi="Times New Roman" w:cs="Times New Roman"/>
          <w:sz w:val="24"/>
          <w:szCs w:val="24"/>
        </w:rPr>
        <w:t xml:space="preserve">than </w:t>
      </w:r>
      <w:r w:rsidR="00A76F35" w:rsidRPr="00AE684B">
        <w:rPr>
          <w:rFonts w:ascii="Times New Roman" w:hAnsi="Times New Roman" w:cs="Times New Roman"/>
          <w:sz w:val="24"/>
          <w:szCs w:val="24"/>
        </w:rPr>
        <w:t>others going public via traditional IPOs, which we call “non-</w:t>
      </w:r>
      <w:r w:rsidR="00A76F35" w:rsidRPr="00AE684B">
        <w:rPr>
          <w:rFonts w:ascii="Times New Roman" w:hAnsi="Times New Roman" w:cs="Times New Roman"/>
          <w:sz w:val="24"/>
          <w:szCs w:val="24"/>
        </w:rPr>
        <w:lastRenderedPageBreak/>
        <w:t>SPAC-IPOs” (information risk hypothesis)</w:t>
      </w:r>
      <w:r w:rsidR="0096541B">
        <w:rPr>
          <w:rFonts w:ascii="Times New Roman" w:hAnsi="Times New Roman" w:cs="Times New Roman"/>
          <w:sz w:val="24"/>
          <w:szCs w:val="24"/>
        </w:rPr>
        <w:t xml:space="preserve">, and (2) the information </w:t>
      </w:r>
      <w:r w:rsidR="00984921">
        <w:rPr>
          <w:rFonts w:ascii="Times New Roman" w:hAnsi="Times New Roman" w:cs="Times New Roman"/>
          <w:sz w:val="24"/>
          <w:szCs w:val="24"/>
        </w:rPr>
        <w:t xml:space="preserve">risk </w:t>
      </w:r>
      <w:r w:rsidR="0096541B">
        <w:rPr>
          <w:rFonts w:ascii="Times New Roman" w:hAnsi="Times New Roman" w:cs="Times New Roman"/>
          <w:sz w:val="24"/>
          <w:szCs w:val="24"/>
        </w:rPr>
        <w:t xml:space="preserve">is an explanation for the </w:t>
      </w:r>
      <w:r w:rsidR="00F65640">
        <w:rPr>
          <w:rFonts w:ascii="Times New Roman" w:hAnsi="Times New Roman" w:cs="Times New Roman"/>
          <w:sz w:val="24"/>
          <w:szCs w:val="24"/>
        </w:rPr>
        <w:t xml:space="preserve">stock </w:t>
      </w:r>
      <w:r w:rsidR="0096541B">
        <w:rPr>
          <w:rFonts w:ascii="Times New Roman" w:hAnsi="Times New Roman" w:cs="Times New Roman"/>
          <w:sz w:val="24"/>
          <w:szCs w:val="24"/>
        </w:rPr>
        <w:t>underperformance of SPAC-IPOs (Gahng</w:t>
      </w:r>
      <w:r w:rsidR="008B13D8">
        <w:rPr>
          <w:rFonts w:ascii="Times New Roman" w:hAnsi="Times New Roman" w:cs="Times New Roman"/>
          <w:sz w:val="24"/>
          <w:szCs w:val="24"/>
        </w:rPr>
        <w:t xml:space="preserve"> et al.</w:t>
      </w:r>
      <w:r w:rsidR="0096541B">
        <w:rPr>
          <w:rFonts w:ascii="Times New Roman" w:hAnsi="Times New Roman" w:cs="Times New Roman"/>
          <w:sz w:val="24"/>
          <w:szCs w:val="24"/>
        </w:rPr>
        <w:t xml:space="preserve"> 2021)</w:t>
      </w:r>
      <w:r w:rsidR="00A76F35" w:rsidRPr="00AE684B">
        <w:rPr>
          <w:rFonts w:ascii="Times New Roman" w:hAnsi="Times New Roman" w:cs="Times New Roman"/>
          <w:sz w:val="24"/>
          <w:szCs w:val="24"/>
        </w:rPr>
        <w:t>. We define information risk as the probability that the information circulated by the company will be fa</w:t>
      </w:r>
      <w:r w:rsidR="00E83665" w:rsidRPr="00AE684B">
        <w:rPr>
          <w:rFonts w:ascii="Times New Roman" w:hAnsi="Times New Roman" w:cs="Times New Roman"/>
          <w:sz w:val="24"/>
          <w:szCs w:val="24"/>
        </w:rPr>
        <w:t>l</w:t>
      </w:r>
      <w:r w:rsidR="00A76F35" w:rsidRPr="00AE684B">
        <w:rPr>
          <w:rFonts w:ascii="Times New Roman" w:hAnsi="Times New Roman" w:cs="Times New Roman"/>
          <w:sz w:val="24"/>
          <w:szCs w:val="24"/>
        </w:rPr>
        <w:t>se or misleading (Lo</w:t>
      </w:r>
      <w:r w:rsidR="00BF0E18">
        <w:rPr>
          <w:rFonts w:ascii="Times New Roman" w:hAnsi="Times New Roman" w:cs="Times New Roman"/>
          <w:sz w:val="24"/>
          <w:szCs w:val="24"/>
        </w:rPr>
        <w:t>u</w:t>
      </w:r>
      <w:r w:rsidR="00A76F35" w:rsidRPr="00AE684B">
        <w:rPr>
          <w:rFonts w:ascii="Times New Roman" w:hAnsi="Times New Roman" w:cs="Times New Roman"/>
          <w:sz w:val="24"/>
          <w:szCs w:val="24"/>
        </w:rPr>
        <w:t>wers, Sinason, Strawser, Thibodeau</w:t>
      </w:r>
      <w:r w:rsidR="00BF0E18">
        <w:rPr>
          <w:rFonts w:ascii="Times New Roman" w:hAnsi="Times New Roman" w:cs="Times New Roman"/>
          <w:sz w:val="24"/>
          <w:szCs w:val="24"/>
        </w:rPr>
        <w:t>, and Blay</w:t>
      </w:r>
      <w:r w:rsidR="00A76F35" w:rsidRPr="00AE684B">
        <w:rPr>
          <w:rFonts w:ascii="Times New Roman" w:hAnsi="Times New Roman" w:cs="Times New Roman"/>
          <w:sz w:val="24"/>
          <w:szCs w:val="24"/>
        </w:rPr>
        <w:t xml:space="preserve"> </w:t>
      </w:r>
      <w:r w:rsidR="00BF0E18" w:rsidRPr="00AE684B">
        <w:rPr>
          <w:rFonts w:ascii="Times New Roman" w:hAnsi="Times New Roman" w:cs="Times New Roman"/>
          <w:sz w:val="24"/>
          <w:szCs w:val="24"/>
        </w:rPr>
        <w:t>201</w:t>
      </w:r>
      <w:r w:rsidR="00BF0E18">
        <w:rPr>
          <w:rFonts w:ascii="Times New Roman" w:hAnsi="Times New Roman" w:cs="Times New Roman"/>
          <w:sz w:val="24"/>
          <w:szCs w:val="24"/>
        </w:rPr>
        <w:t>8</w:t>
      </w:r>
      <w:r w:rsidR="00A76F35" w:rsidRPr="00AE684B">
        <w:rPr>
          <w:rFonts w:ascii="Times New Roman" w:hAnsi="Times New Roman" w:cs="Times New Roman"/>
          <w:sz w:val="24"/>
          <w:szCs w:val="24"/>
        </w:rPr>
        <w:t>).</w:t>
      </w:r>
    </w:p>
    <w:p w14:paraId="591E64CB" w14:textId="55169129" w:rsidR="0077259D" w:rsidRPr="003E48A8" w:rsidRDefault="00C51495" w:rsidP="003E48A8">
      <w:pPr>
        <w:spacing w:after="0" w:line="480" w:lineRule="auto"/>
        <w:ind w:firstLine="720"/>
        <w:jc w:val="both"/>
        <w:rPr>
          <w:rFonts w:ascii="Times New Roman" w:hAnsi="Times New Roman" w:cs="Times New Roman"/>
          <w:sz w:val="24"/>
          <w:szCs w:val="24"/>
        </w:rPr>
      </w:pPr>
      <w:r w:rsidRPr="003E48A8">
        <w:rPr>
          <w:rFonts w:ascii="Times New Roman" w:hAnsi="Times New Roman" w:cs="Times New Roman"/>
          <w:sz w:val="24"/>
          <w:szCs w:val="24"/>
        </w:rPr>
        <w:t>A</w:t>
      </w:r>
      <w:r w:rsidR="00E510F3" w:rsidRPr="003E48A8">
        <w:rPr>
          <w:rFonts w:ascii="Times New Roman" w:hAnsi="Times New Roman" w:cs="Times New Roman"/>
          <w:sz w:val="24"/>
          <w:szCs w:val="24"/>
        </w:rPr>
        <w:t xml:space="preserve"> </w:t>
      </w:r>
      <w:r w:rsidR="004171D8" w:rsidRPr="003E48A8">
        <w:rPr>
          <w:rFonts w:ascii="Times New Roman" w:hAnsi="Times New Roman" w:cs="Times New Roman"/>
          <w:sz w:val="24"/>
          <w:szCs w:val="24"/>
        </w:rPr>
        <w:t xml:space="preserve">SPAC </w:t>
      </w:r>
      <w:r w:rsidR="00E510F3" w:rsidRPr="003E48A8">
        <w:rPr>
          <w:rFonts w:ascii="Times New Roman" w:hAnsi="Times New Roman" w:cs="Times New Roman"/>
          <w:sz w:val="24"/>
          <w:szCs w:val="24"/>
        </w:rPr>
        <w:t xml:space="preserve">is </w:t>
      </w:r>
      <w:r w:rsidR="004171D8" w:rsidRPr="003E48A8">
        <w:rPr>
          <w:rFonts w:ascii="Times New Roman" w:hAnsi="Times New Roman" w:cs="Times New Roman"/>
          <w:sz w:val="24"/>
          <w:szCs w:val="24"/>
        </w:rPr>
        <w:t xml:space="preserve">typically established by a </w:t>
      </w:r>
      <w:r w:rsidR="00F94FC5" w:rsidRPr="003E48A8">
        <w:rPr>
          <w:rFonts w:ascii="Times New Roman" w:hAnsi="Times New Roman" w:cs="Times New Roman"/>
          <w:sz w:val="24"/>
          <w:szCs w:val="24"/>
        </w:rPr>
        <w:t>small group of experienced executives</w:t>
      </w:r>
      <w:r w:rsidR="003E48A8" w:rsidRPr="003E48A8">
        <w:rPr>
          <w:rFonts w:ascii="Times New Roman" w:hAnsi="Times New Roman" w:cs="Times New Roman"/>
          <w:sz w:val="24"/>
          <w:szCs w:val="24"/>
        </w:rPr>
        <w:t>,</w:t>
      </w:r>
      <w:r w:rsidR="00F94FC5" w:rsidRPr="003E48A8">
        <w:rPr>
          <w:rFonts w:ascii="Times New Roman" w:hAnsi="Times New Roman" w:cs="Times New Roman"/>
          <w:sz w:val="24"/>
          <w:szCs w:val="24"/>
        </w:rPr>
        <w:t xml:space="preserve"> </w:t>
      </w:r>
      <w:r w:rsidR="003E48A8" w:rsidRPr="003E48A8">
        <w:rPr>
          <w:rFonts w:ascii="Times New Roman" w:hAnsi="Times New Roman" w:cs="Times New Roman"/>
          <w:sz w:val="24"/>
          <w:szCs w:val="24"/>
        </w:rPr>
        <w:t xml:space="preserve">or </w:t>
      </w:r>
      <w:r w:rsidR="00F94FC5" w:rsidRPr="003E48A8">
        <w:rPr>
          <w:rFonts w:ascii="Times New Roman" w:hAnsi="Times New Roman" w:cs="Times New Roman"/>
          <w:sz w:val="24"/>
          <w:szCs w:val="24"/>
        </w:rPr>
        <w:t xml:space="preserve">sponsors, who </w:t>
      </w:r>
      <w:r w:rsidR="003E48A8">
        <w:rPr>
          <w:rFonts w:ascii="Times New Roman" w:hAnsi="Times New Roman" w:cs="Times New Roman"/>
          <w:sz w:val="24"/>
          <w:szCs w:val="24"/>
        </w:rPr>
        <w:t xml:space="preserve">first </w:t>
      </w:r>
      <w:r w:rsidR="00F94FC5" w:rsidRPr="003E48A8">
        <w:rPr>
          <w:rFonts w:ascii="Times New Roman" w:hAnsi="Times New Roman" w:cs="Times New Roman"/>
          <w:sz w:val="24"/>
          <w:szCs w:val="24"/>
        </w:rPr>
        <w:t>raise capital</w:t>
      </w:r>
      <w:r w:rsidR="003E48A8" w:rsidRPr="003E48A8">
        <w:rPr>
          <w:rFonts w:ascii="Times New Roman" w:hAnsi="Times New Roman" w:cs="Times New Roman"/>
          <w:sz w:val="24"/>
          <w:szCs w:val="24"/>
        </w:rPr>
        <w:t xml:space="preserve"> and then </w:t>
      </w:r>
      <w:r w:rsidR="00F65640">
        <w:rPr>
          <w:rFonts w:ascii="Times New Roman" w:hAnsi="Times New Roman" w:cs="Times New Roman"/>
          <w:sz w:val="24"/>
          <w:szCs w:val="24"/>
        </w:rPr>
        <w:t xml:space="preserve">enable </w:t>
      </w:r>
      <w:r w:rsidR="003E48A8" w:rsidRPr="003E48A8">
        <w:rPr>
          <w:rFonts w:ascii="Times New Roman" w:hAnsi="Times New Roman" w:cs="Times New Roman"/>
          <w:sz w:val="24"/>
          <w:szCs w:val="24"/>
        </w:rPr>
        <w:t xml:space="preserve">a </w:t>
      </w:r>
      <w:r w:rsidRPr="003E48A8">
        <w:rPr>
          <w:rFonts w:ascii="Times New Roman" w:hAnsi="Times New Roman" w:cs="Times New Roman"/>
          <w:sz w:val="24"/>
          <w:szCs w:val="24"/>
        </w:rPr>
        <w:t xml:space="preserve">private company </w:t>
      </w:r>
      <w:r w:rsidR="00F65640">
        <w:rPr>
          <w:rFonts w:ascii="Times New Roman" w:hAnsi="Times New Roman" w:cs="Times New Roman"/>
          <w:sz w:val="24"/>
          <w:szCs w:val="24"/>
        </w:rPr>
        <w:t xml:space="preserve">to </w:t>
      </w:r>
      <w:r w:rsidRPr="003E48A8">
        <w:rPr>
          <w:rFonts w:ascii="Times New Roman" w:hAnsi="Times New Roman" w:cs="Times New Roman"/>
          <w:sz w:val="24"/>
          <w:szCs w:val="24"/>
        </w:rPr>
        <w:t xml:space="preserve">become public by merging with the SPAC (Rodrigues and Stegemuller 2021). </w:t>
      </w:r>
      <w:r w:rsidR="008156BB" w:rsidRPr="003E48A8">
        <w:rPr>
          <w:rFonts w:ascii="Times New Roman" w:hAnsi="Times New Roman" w:cs="Times New Roman"/>
          <w:sz w:val="24"/>
          <w:szCs w:val="24"/>
        </w:rPr>
        <w:t xml:space="preserve">This operational structure increases </w:t>
      </w:r>
      <w:r w:rsidR="003E48A8" w:rsidRPr="003E48A8">
        <w:rPr>
          <w:rFonts w:ascii="Times New Roman" w:hAnsi="Times New Roman" w:cs="Times New Roman"/>
          <w:sz w:val="24"/>
          <w:szCs w:val="24"/>
        </w:rPr>
        <w:t xml:space="preserve">the </w:t>
      </w:r>
      <w:r w:rsidRPr="003E48A8">
        <w:rPr>
          <w:rFonts w:ascii="Times New Roman" w:hAnsi="Times New Roman" w:cs="Times New Roman"/>
          <w:sz w:val="24"/>
          <w:szCs w:val="24"/>
        </w:rPr>
        <w:t xml:space="preserve">information </w:t>
      </w:r>
      <w:r w:rsidR="003E48A8" w:rsidRPr="003E48A8">
        <w:rPr>
          <w:rFonts w:ascii="Times New Roman" w:hAnsi="Times New Roman" w:cs="Times New Roman"/>
          <w:sz w:val="24"/>
          <w:szCs w:val="24"/>
        </w:rPr>
        <w:t xml:space="preserve">risk in SPAC-IPOs because of </w:t>
      </w:r>
      <w:r w:rsidR="001B3067">
        <w:rPr>
          <w:rFonts w:ascii="Times New Roman" w:hAnsi="Times New Roman" w:cs="Times New Roman"/>
          <w:sz w:val="24"/>
          <w:szCs w:val="24"/>
        </w:rPr>
        <w:t xml:space="preserve">inherent </w:t>
      </w:r>
      <w:r w:rsidRPr="003E48A8">
        <w:rPr>
          <w:rFonts w:ascii="Times New Roman" w:hAnsi="Times New Roman" w:cs="Times New Roman"/>
          <w:sz w:val="24"/>
          <w:szCs w:val="24"/>
        </w:rPr>
        <w:t>agency problem</w:t>
      </w:r>
      <w:r w:rsidR="008156BB" w:rsidRPr="003E48A8">
        <w:rPr>
          <w:rFonts w:ascii="Times New Roman" w:hAnsi="Times New Roman" w:cs="Times New Roman"/>
          <w:sz w:val="24"/>
          <w:szCs w:val="24"/>
        </w:rPr>
        <w:t>s</w:t>
      </w:r>
      <w:r w:rsidR="003E48A8" w:rsidRPr="003E48A8">
        <w:rPr>
          <w:rFonts w:ascii="Times New Roman" w:hAnsi="Times New Roman" w:cs="Times New Roman"/>
          <w:sz w:val="24"/>
          <w:szCs w:val="24"/>
        </w:rPr>
        <w:t>.</w:t>
      </w:r>
      <w:r w:rsidR="00F65D04" w:rsidRPr="003E48A8">
        <w:rPr>
          <w:rStyle w:val="FootnoteReference"/>
          <w:rFonts w:ascii="Times New Roman" w:hAnsi="Times New Roman" w:cs="Times New Roman"/>
          <w:sz w:val="24"/>
          <w:szCs w:val="24"/>
        </w:rPr>
        <w:footnoteReference w:id="3"/>
      </w:r>
      <w:r w:rsidR="00AE684B" w:rsidRPr="003E48A8">
        <w:rPr>
          <w:rFonts w:ascii="Times New Roman" w:hAnsi="Times New Roman" w:cs="Times New Roman"/>
          <w:sz w:val="24"/>
          <w:szCs w:val="24"/>
        </w:rPr>
        <w:t xml:space="preserve"> </w:t>
      </w:r>
      <w:r w:rsidR="00F65D04" w:rsidRPr="003E48A8">
        <w:rPr>
          <w:rFonts w:ascii="Times New Roman" w:hAnsi="Times New Roman" w:cs="Times New Roman"/>
          <w:sz w:val="24"/>
          <w:szCs w:val="24"/>
        </w:rPr>
        <w:t xml:space="preserve">We </w:t>
      </w:r>
      <w:r w:rsidR="00822675" w:rsidRPr="003E48A8">
        <w:rPr>
          <w:rFonts w:ascii="Times New Roman" w:hAnsi="Times New Roman" w:cs="Times New Roman"/>
          <w:sz w:val="24"/>
          <w:szCs w:val="24"/>
        </w:rPr>
        <w:t xml:space="preserve">investigate </w:t>
      </w:r>
      <w:r w:rsidR="00984921" w:rsidRPr="003E48A8">
        <w:rPr>
          <w:rFonts w:ascii="Times New Roman" w:hAnsi="Times New Roman" w:cs="Times New Roman"/>
          <w:sz w:val="24"/>
          <w:szCs w:val="24"/>
        </w:rPr>
        <w:t xml:space="preserve">several </w:t>
      </w:r>
      <w:r w:rsidR="008156BB" w:rsidRPr="003E48A8">
        <w:rPr>
          <w:rFonts w:ascii="Times New Roman" w:hAnsi="Times New Roman" w:cs="Times New Roman"/>
          <w:sz w:val="24"/>
          <w:szCs w:val="24"/>
        </w:rPr>
        <w:t>factors that m</w:t>
      </w:r>
      <w:r w:rsidR="00984921" w:rsidRPr="003E48A8">
        <w:rPr>
          <w:rFonts w:ascii="Times New Roman" w:hAnsi="Times New Roman" w:cs="Times New Roman"/>
          <w:sz w:val="24"/>
          <w:szCs w:val="24"/>
        </w:rPr>
        <w:t xml:space="preserve">ay </w:t>
      </w:r>
      <w:r w:rsidR="008156BB" w:rsidRPr="003E48A8">
        <w:rPr>
          <w:rFonts w:ascii="Times New Roman" w:hAnsi="Times New Roman" w:cs="Times New Roman"/>
          <w:sz w:val="24"/>
          <w:szCs w:val="24"/>
        </w:rPr>
        <w:t xml:space="preserve">amplify </w:t>
      </w:r>
      <w:r w:rsidR="00F65D04" w:rsidRPr="003E48A8">
        <w:rPr>
          <w:rFonts w:ascii="Times New Roman" w:hAnsi="Times New Roman" w:cs="Times New Roman"/>
          <w:sz w:val="24"/>
          <w:szCs w:val="24"/>
        </w:rPr>
        <w:t>t</w:t>
      </w:r>
      <w:r w:rsidR="003D3194" w:rsidRPr="003E48A8">
        <w:rPr>
          <w:rFonts w:ascii="Times New Roman" w:hAnsi="Times New Roman" w:cs="Times New Roman"/>
          <w:sz w:val="24"/>
          <w:szCs w:val="24"/>
        </w:rPr>
        <w:t>h</w:t>
      </w:r>
      <w:r w:rsidR="009F33B4" w:rsidRPr="003E48A8">
        <w:rPr>
          <w:rFonts w:ascii="Times New Roman" w:hAnsi="Times New Roman" w:cs="Times New Roman"/>
          <w:sz w:val="24"/>
          <w:szCs w:val="24"/>
        </w:rPr>
        <w:t>is</w:t>
      </w:r>
      <w:r w:rsidR="00984921" w:rsidRPr="003E48A8">
        <w:rPr>
          <w:rFonts w:ascii="Times New Roman" w:hAnsi="Times New Roman" w:cs="Times New Roman"/>
          <w:sz w:val="24"/>
          <w:szCs w:val="24"/>
        </w:rPr>
        <w:t xml:space="preserve"> </w:t>
      </w:r>
      <w:r w:rsidR="00F65D04" w:rsidRPr="003E48A8">
        <w:rPr>
          <w:rFonts w:ascii="Times New Roman" w:hAnsi="Times New Roman" w:cs="Times New Roman"/>
          <w:sz w:val="24"/>
          <w:szCs w:val="24"/>
        </w:rPr>
        <w:t xml:space="preserve">inherent </w:t>
      </w:r>
      <w:r w:rsidR="003D3194" w:rsidRPr="003E48A8">
        <w:rPr>
          <w:rFonts w:ascii="Times New Roman" w:hAnsi="Times New Roman" w:cs="Times New Roman"/>
          <w:sz w:val="24"/>
          <w:szCs w:val="24"/>
        </w:rPr>
        <w:t>information risk</w:t>
      </w:r>
      <w:r w:rsidR="00F65D04" w:rsidRPr="003E48A8">
        <w:rPr>
          <w:rFonts w:ascii="Times New Roman" w:hAnsi="Times New Roman" w:cs="Times New Roman"/>
          <w:sz w:val="24"/>
          <w:szCs w:val="24"/>
        </w:rPr>
        <w:t>.</w:t>
      </w:r>
      <w:r w:rsidR="003E48A8" w:rsidRPr="003E48A8">
        <w:rPr>
          <w:rFonts w:ascii="Times New Roman" w:hAnsi="Times New Roman" w:cs="Times New Roman"/>
          <w:sz w:val="24"/>
          <w:szCs w:val="24"/>
        </w:rPr>
        <w:t xml:space="preserve"> </w:t>
      </w:r>
      <w:r w:rsidR="00F65D04" w:rsidRPr="003E48A8">
        <w:rPr>
          <w:rFonts w:ascii="Times New Roman" w:hAnsi="Times New Roman" w:cs="Times New Roman"/>
          <w:sz w:val="24"/>
          <w:szCs w:val="24"/>
        </w:rPr>
        <w:t>Fir</w:t>
      </w:r>
      <w:r w:rsidR="00534B37" w:rsidRPr="003E48A8">
        <w:rPr>
          <w:rFonts w:ascii="Times New Roman" w:hAnsi="Times New Roman" w:cs="Times New Roman"/>
          <w:sz w:val="24"/>
          <w:szCs w:val="24"/>
        </w:rPr>
        <w:t xml:space="preserve">st, we reexamine the findings in Kim et al. (2022) that </w:t>
      </w:r>
      <w:r w:rsidR="00720E5A" w:rsidRPr="003E48A8">
        <w:rPr>
          <w:rFonts w:ascii="Times New Roman" w:hAnsi="Times New Roman" w:cs="Times New Roman"/>
          <w:sz w:val="24"/>
          <w:szCs w:val="24"/>
        </w:rPr>
        <w:t xml:space="preserve">SPAC-IPOs are associated with </w:t>
      </w:r>
      <w:r w:rsidR="001B3067">
        <w:rPr>
          <w:rFonts w:ascii="Times New Roman" w:hAnsi="Times New Roman" w:cs="Times New Roman"/>
          <w:sz w:val="24"/>
          <w:szCs w:val="24"/>
        </w:rPr>
        <w:t xml:space="preserve">lower financial reporting quality </w:t>
      </w:r>
      <w:r w:rsidR="00720E5A" w:rsidRPr="003E48A8">
        <w:rPr>
          <w:rFonts w:ascii="Times New Roman" w:hAnsi="Times New Roman" w:cs="Times New Roman"/>
          <w:sz w:val="24"/>
          <w:szCs w:val="24"/>
        </w:rPr>
        <w:t xml:space="preserve">than non-SPAC-IPOs. Because </w:t>
      </w:r>
      <w:r w:rsidR="00F621E6" w:rsidRPr="003E48A8">
        <w:rPr>
          <w:rFonts w:ascii="Times New Roman" w:hAnsi="Times New Roman" w:cs="Times New Roman"/>
          <w:sz w:val="24"/>
          <w:szCs w:val="24"/>
        </w:rPr>
        <w:t xml:space="preserve">of </w:t>
      </w:r>
      <w:r w:rsidR="00720E5A" w:rsidRPr="003E48A8">
        <w:rPr>
          <w:rFonts w:ascii="Times New Roman" w:hAnsi="Times New Roman" w:cs="Times New Roman"/>
          <w:sz w:val="24"/>
          <w:szCs w:val="24"/>
        </w:rPr>
        <w:t xml:space="preserve">a small sample </w:t>
      </w:r>
      <w:r w:rsidR="00F621E6" w:rsidRPr="003E48A8">
        <w:rPr>
          <w:rFonts w:ascii="Times New Roman" w:hAnsi="Times New Roman" w:cs="Times New Roman"/>
          <w:sz w:val="24"/>
          <w:szCs w:val="24"/>
        </w:rPr>
        <w:t>(</w:t>
      </w:r>
      <w:r w:rsidR="00720E5A" w:rsidRPr="003E48A8">
        <w:rPr>
          <w:rFonts w:ascii="Times New Roman" w:hAnsi="Times New Roman" w:cs="Times New Roman"/>
          <w:sz w:val="24"/>
          <w:szCs w:val="24"/>
        </w:rPr>
        <w:t>45 SPACs</w:t>
      </w:r>
      <w:r w:rsidR="00F621E6" w:rsidRPr="003E48A8">
        <w:rPr>
          <w:rFonts w:ascii="Times New Roman" w:hAnsi="Times New Roman" w:cs="Times New Roman"/>
          <w:sz w:val="24"/>
          <w:szCs w:val="24"/>
        </w:rPr>
        <w:t>)</w:t>
      </w:r>
      <w:r w:rsidR="00DD44D6" w:rsidRPr="003E48A8">
        <w:rPr>
          <w:rFonts w:ascii="Times New Roman" w:hAnsi="Times New Roman" w:cs="Times New Roman"/>
          <w:sz w:val="24"/>
          <w:szCs w:val="24"/>
        </w:rPr>
        <w:t>,</w:t>
      </w:r>
      <w:r w:rsidR="00F621E6" w:rsidRPr="003E48A8">
        <w:rPr>
          <w:rFonts w:ascii="Times New Roman" w:hAnsi="Times New Roman" w:cs="Times New Roman"/>
          <w:sz w:val="24"/>
          <w:szCs w:val="24"/>
        </w:rPr>
        <w:t xml:space="preserve"> and a bias towards larger SPACs (</w:t>
      </w:r>
      <w:r w:rsidR="00653480" w:rsidRPr="003E48A8">
        <w:rPr>
          <w:rFonts w:ascii="Times New Roman" w:hAnsi="Times New Roman" w:cs="Times New Roman"/>
          <w:sz w:val="24"/>
          <w:szCs w:val="24"/>
        </w:rPr>
        <w:t xml:space="preserve">their </w:t>
      </w:r>
      <w:r w:rsidR="00F621E6" w:rsidRPr="003E48A8">
        <w:rPr>
          <w:rFonts w:ascii="Times New Roman" w:hAnsi="Times New Roman" w:cs="Times New Roman"/>
          <w:sz w:val="24"/>
          <w:szCs w:val="24"/>
        </w:rPr>
        <w:t xml:space="preserve">sample </w:t>
      </w:r>
      <w:r w:rsidR="00653480" w:rsidRPr="003E48A8">
        <w:rPr>
          <w:rFonts w:ascii="Times New Roman" w:hAnsi="Times New Roman" w:cs="Times New Roman"/>
          <w:sz w:val="24"/>
          <w:szCs w:val="24"/>
        </w:rPr>
        <w:t xml:space="preserve">is </w:t>
      </w:r>
      <w:r w:rsidR="00F621E6" w:rsidRPr="003E48A8">
        <w:rPr>
          <w:rFonts w:ascii="Times New Roman" w:hAnsi="Times New Roman" w:cs="Times New Roman"/>
          <w:sz w:val="24"/>
          <w:szCs w:val="24"/>
        </w:rPr>
        <w:t xml:space="preserve">limited to </w:t>
      </w:r>
      <w:r w:rsidR="00984921" w:rsidRPr="003E48A8">
        <w:rPr>
          <w:rFonts w:ascii="Times New Roman" w:hAnsi="Times New Roman" w:cs="Times New Roman"/>
          <w:sz w:val="24"/>
          <w:szCs w:val="24"/>
        </w:rPr>
        <w:t xml:space="preserve">larger </w:t>
      </w:r>
      <w:r w:rsidR="00F621E6" w:rsidRPr="003E48A8">
        <w:rPr>
          <w:rFonts w:ascii="Times New Roman" w:hAnsi="Times New Roman" w:cs="Times New Roman"/>
          <w:sz w:val="24"/>
          <w:szCs w:val="24"/>
        </w:rPr>
        <w:t>Compustat</w:t>
      </w:r>
      <w:r w:rsidR="00DD44D6" w:rsidRPr="003E48A8">
        <w:rPr>
          <w:rFonts w:ascii="Times New Roman" w:hAnsi="Times New Roman" w:cs="Times New Roman"/>
          <w:sz w:val="24"/>
          <w:szCs w:val="24"/>
        </w:rPr>
        <w:t xml:space="preserve"> firms</w:t>
      </w:r>
      <w:r w:rsidR="00720E5A" w:rsidRPr="003E48A8">
        <w:rPr>
          <w:rFonts w:ascii="Times New Roman" w:hAnsi="Times New Roman" w:cs="Times New Roman"/>
          <w:sz w:val="24"/>
          <w:szCs w:val="24"/>
        </w:rPr>
        <w:t xml:space="preserve">), </w:t>
      </w:r>
      <w:r w:rsidR="006B5014" w:rsidRPr="003E48A8">
        <w:rPr>
          <w:rFonts w:ascii="Times New Roman" w:hAnsi="Times New Roman" w:cs="Times New Roman"/>
          <w:sz w:val="24"/>
          <w:szCs w:val="24"/>
        </w:rPr>
        <w:t>the</w:t>
      </w:r>
      <w:r w:rsidR="00F621E6" w:rsidRPr="003E48A8">
        <w:rPr>
          <w:rFonts w:ascii="Times New Roman" w:hAnsi="Times New Roman" w:cs="Times New Roman"/>
          <w:sz w:val="24"/>
          <w:szCs w:val="24"/>
        </w:rPr>
        <w:t xml:space="preserve"> </w:t>
      </w:r>
      <w:r w:rsidR="00A838B0" w:rsidRPr="003E48A8">
        <w:rPr>
          <w:rFonts w:ascii="Times New Roman" w:hAnsi="Times New Roman" w:cs="Times New Roman"/>
          <w:sz w:val="24"/>
          <w:szCs w:val="24"/>
        </w:rPr>
        <w:t>e</w:t>
      </w:r>
      <w:r w:rsidR="006B5014" w:rsidRPr="003E48A8">
        <w:rPr>
          <w:rFonts w:ascii="Times New Roman" w:hAnsi="Times New Roman" w:cs="Times New Roman"/>
          <w:sz w:val="24"/>
          <w:szCs w:val="24"/>
        </w:rPr>
        <w:t xml:space="preserve">stimates </w:t>
      </w:r>
      <w:r w:rsidR="00DD44D6" w:rsidRPr="003E48A8">
        <w:rPr>
          <w:rFonts w:ascii="Times New Roman" w:hAnsi="Times New Roman" w:cs="Times New Roman"/>
          <w:sz w:val="24"/>
          <w:szCs w:val="24"/>
        </w:rPr>
        <w:t xml:space="preserve">in </w:t>
      </w:r>
      <w:r w:rsidR="00F621E6" w:rsidRPr="003E48A8">
        <w:rPr>
          <w:rFonts w:ascii="Times New Roman" w:hAnsi="Times New Roman" w:cs="Times New Roman"/>
          <w:sz w:val="24"/>
          <w:szCs w:val="24"/>
        </w:rPr>
        <w:t xml:space="preserve">Kim et al. (2022) </w:t>
      </w:r>
      <w:r w:rsidR="006B5014" w:rsidRPr="003E48A8">
        <w:rPr>
          <w:rFonts w:ascii="Times New Roman" w:hAnsi="Times New Roman" w:cs="Times New Roman"/>
          <w:sz w:val="24"/>
          <w:szCs w:val="24"/>
        </w:rPr>
        <w:t>may</w:t>
      </w:r>
      <w:r w:rsidR="00A838B0" w:rsidRPr="003E48A8">
        <w:rPr>
          <w:rFonts w:ascii="Times New Roman" w:hAnsi="Times New Roman" w:cs="Times New Roman"/>
          <w:sz w:val="24"/>
          <w:szCs w:val="24"/>
        </w:rPr>
        <w:t xml:space="preserve"> </w:t>
      </w:r>
      <w:r w:rsidR="006B5014" w:rsidRPr="003E48A8">
        <w:rPr>
          <w:rFonts w:ascii="Times New Roman" w:hAnsi="Times New Roman" w:cs="Times New Roman"/>
          <w:sz w:val="24"/>
          <w:szCs w:val="24"/>
        </w:rPr>
        <w:t xml:space="preserve">be </w:t>
      </w:r>
      <w:r w:rsidR="00984921" w:rsidRPr="003E48A8">
        <w:rPr>
          <w:rFonts w:ascii="Times New Roman" w:hAnsi="Times New Roman" w:cs="Times New Roman"/>
          <w:sz w:val="24"/>
          <w:szCs w:val="24"/>
        </w:rPr>
        <w:t xml:space="preserve">biased downwards </w:t>
      </w:r>
      <w:r w:rsidR="006B5014" w:rsidRPr="003E48A8">
        <w:rPr>
          <w:rFonts w:ascii="Times New Roman" w:hAnsi="Times New Roman" w:cs="Times New Roman"/>
          <w:sz w:val="24"/>
          <w:szCs w:val="24"/>
        </w:rPr>
        <w:t>and</w:t>
      </w:r>
      <w:r w:rsidR="00A838B0" w:rsidRPr="003E48A8">
        <w:rPr>
          <w:rFonts w:ascii="Times New Roman" w:hAnsi="Times New Roman" w:cs="Times New Roman"/>
          <w:sz w:val="24"/>
          <w:szCs w:val="24"/>
        </w:rPr>
        <w:t xml:space="preserve"> unreliable (</w:t>
      </w:r>
      <w:r w:rsidR="006B5014" w:rsidRPr="003E48A8">
        <w:rPr>
          <w:rFonts w:ascii="Times New Roman" w:hAnsi="Times New Roman" w:cs="Times New Roman"/>
          <w:sz w:val="24"/>
          <w:szCs w:val="24"/>
        </w:rPr>
        <w:t>variance components may be underestimated</w:t>
      </w:r>
      <w:r w:rsidR="00A838B0" w:rsidRPr="003E48A8">
        <w:rPr>
          <w:rFonts w:ascii="Times New Roman" w:hAnsi="Times New Roman" w:cs="Times New Roman"/>
          <w:sz w:val="24"/>
          <w:szCs w:val="24"/>
        </w:rPr>
        <w:t>)</w:t>
      </w:r>
      <w:r w:rsidR="006B5014" w:rsidRPr="003E48A8">
        <w:rPr>
          <w:rFonts w:ascii="Times New Roman" w:hAnsi="Times New Roman" w:cs="Times New Roman"/>
          <w:sz w:val="24"/>
          <w:szCs w:val="24"/>
        </w:rPr>
        <w:t xml:space="preserve">. </w:t>
      </w:r>
      <w:r w:rsidR="00DD44D6" w:rsidRPr="003E48A8">
        <w:rPr>
          <w:rFonts w:ascii="Times New Roman" w:hAnsi="Times New Roman" w:cs="Times New Roman"/>
          <w:sz w:val="24"/>
          <w:szCs w:val="24"/>
        </w:rPr>
        <w:t>E</w:t>
      </w:r>
      <w:r w:rsidR="006B5014" w:rsidRPr="003E48A8">
        <w:rPr>
          <w:rFonts w:ascii="Times New Roman" w:hAnsi="Times New Roman" w:cs="Times New Roman"/>
          <w:sz w:val="24"/>
          <w:szCs w:val="24"/>
        </w:rPr>
        <w:t xml:space="preserve">stimates </w:t>
      </w:r>
      <w:r w:rsidR="00F621E6" w:rsidRPr="003E48A8">
        <w:rPr>
          <w:rFonts w:ascii="Times New Roman" w:hAnsi="Times New Roman" w:cs="Times New Roman"/>
          <w:sz w:val="24"/>
          <w:szCs w:val="24"/>
        </w:rPr>
        <w:t xml:space="preserve">from a </w:t>
      </w:r>
      <w:r w:rsidR="006B5014" w:rsidRPr="003E48A8">
        <w:rPr>
          <w:rFonts w:ascii="Times New Roman" w:hAnsi="Times New Roman" w:cs="Times New Roman"/>
          <w:sz w:val="24"/>
          <w:szCs w:val="24"/>
        </w:rPr>
        <w:t xml:space="preserve">sample </w:t>
      </w:r>
      <w:r w:rsidR="00F621E6" w:rsidRPr="003E48A8">
        <w:rPr>
          <w:rFonts w:ascii="Times New Roman" w:hAnsi="Times New Roman" w:cs="Times New Roman"/>
          <w:sz w:val="24"/>
          <w:szCs w:val="24"/>
        </w:rPr>
        <w:t xml:space="preserve">without </w:t>
      </w:r>
      <w:r w:rsidR="00984921" w:rsidRPr="003E48A8">
        <w:rPr>
          <w:rFonts w:ascii="Times New Roman" w:hAnsi="Times New Roman" w:cs="Times New Roman"/>
          <w:sz w:val="24"/>
          <w:szCs w:val="24"/>
        </w:rPr>
        <w:t xml:space="preserve">such a </w:t>
      </w:r>
      <w:r w:rsidR="00F621E6" w:rsidRPr="003E48A8">
        <w:rPr>
          <w:rFonts w:ascii="Times New Roman" w:hAnsi="Times New Roman" w:cs="Times New Roman"/>
          <w:sz w:val="24"/>
          <w:szCs w:val="24"/>
        </w:rPr>
        <w:t xml:space="preserve">selection bias </w:t>
      </w:r>
      <w:r w:rsidR="006F2453" w:rsidRPr="003E48A8">
        <w:rPr>
          <w:rFonts w:ascii="Times New Roman" w:hAnsi="Times New Roman" w:cs="Times New Roman"/>
          <w:sz w:val="24"/>
          <w:szCs w:val="24"/>
        </w:rPr>
        <w:t xml:space="preserve">are </w:t>
      </w:r>
      <w:r w:rsidR="006B5014" w:rsidRPr="003E48A8">
        <w:rPr>
          <w:rFonts w:ascii="Times New Roman" w:hAnsi="Times New Roman" w:cs="Times New Roman"/>
          <w:sz w:val="24"/>
          <w:szCs w:val="24"/>
        </w:rPr>
        <w:t xml:space="preserve">likely to provide </w:t>
      </w:r>
      <w:r w:rsidR="00F621E6" w:rsidRPr="003E48A8">
        <w:rPr>
          <w:rFonts w:ascii="Times New Roman" w:hAnsi="Times New Roman" w:cs="Times New Roman"/>
          <w:sz w:val="24"/>
          <w:szCs w:val="24"/>
        </w:rPr>
        <w:t xml:space="preserve">a </w:t>
      </w:r>
      <w:r w:rsidR="006B5014" w:rsidRPr="003E48A8">
        <w:rPr>
          <w:rFonts w:ascii="Times New Roman" w:hAnsi="Times New Roman" w:cs="Times New Roman"/>
          <w:sz w:val="24"/>
          <w:szCs w:val="24"/>
        </w:rPr>
        <w:t xml:space="preserve">more accurate </w:t>
      </w:r>
      <w:r w:rsidR="00A838B0" w:rsidRPr="003E48A8">
        <w:rPr>
          <w:rFonts w:ascii="Times New Roman" w:hAnsi="Times New Roman" w:cs="Times New Roman"/>
          <w:sz w:val="24"/>
          <w:szCs w:val="24"/>
        </w:rPr>
        <w:t xml:space="preserve">assessment </w:t>
      </w:r>
      <w:r w:rsidR="006B5014" w:rsidRPr="003E48A8">
        <w:rPr>
          <w:rFonts w:ascii="Times New Roman" w:hAnsi="Times New Roman" w:cs="Times New Roman"/>
          <w:sz w:val="24"/>
          <w:szCs w:val="24"/>
        </w:rPr>
        <w:t>of the true magnitude of the difference</w:t>
      </w:r>
      <w:r w:rsidR="0077259D" w:rsidRPr="003E48A8">
        <w:rPr>
          <w:rFonts w:ascii="Times New Roman" w:hAnsi="Times New Roman" w:cs="Times New Roman"/>
          <w:sz w:val="24"/>
          <w:szCs w:val="24"/>
        </w:rPr>
        <w:t>s in financial reporting quality between SPAC-IPOs and non-SPAC-IPOs.</w:t>
      </w:r>
    </w:p>
    <w:p w14:paraId="16045081" w14:textId="6ED5DBA6" w:rsidR="00183D8F" w:rsidRDefault="0077259D" w:rsidP="00183D8F">
      <w:pPr>
        <w:pStyle w:val="NormalWeb"/>
        <w:spacing w:before="0" w:beforeAutospacing="0" w:after="0" w:afterAutospacing="0" w:line="480" w:lineRule="auto"/>
        <w:ind w:firstLine="720"/>
        <w:jc w:val="both"/>
      </w:pPr>
      <w:r>
        <w:t xml:space="preserve">Second, we </w:t>
      </w:r>
      <w:r w:rsidR="00E510F3">
        <w:t xml:space="preserve">posit that </w:t>
      </w:r>
      <w:r w:rsidR="007648C9">
        <w:t xml:space="preserve">the </w:t>
      </w:r>
      <w:r w:rsidR="00311860">
        <w:t xml:space="preserve">economic </w:t>
      </w:r>
      <w:r w:rsidR="00301820">
        <w:t xml:space="preserve">demand </w:t>
      </w:r>
      <w:r w:rsidR="00DB474B" w:rsidRPr="002725D9">
        <w:t xml:space="preserve">for </w:t>
      </w:r>
      <w:r w:rsidR="007648C9">
        <w:t xml:space="preserve">non-Big 4 </w:t>
      </w:r>
      <w:r w:rsidR="00DB474B" w:rsidRPr="002725D9">
        <w:t xml:space="preserve">auditors </w:t>
      </w:r>
      <w:r w:rsidR="008908A7">
        <w:t xml:space="preserve">is higher </w:t>
      </w:r>
      <w:r>
        <w:t xml:space="preserve">in </w:t>
      </w:r>
      <w:r w:rsidR="004E1037">
        <w:t>SPAC</w:t>
      </w:r>
      <w:r w:rsidR="00321482">
        <w:t>-IPO</w:t>
      </w:r>
      <w:r>
        <w:t>s</w:t>
      </w:r>
      <w:r w:rsidR="00840EB0">
        <w:t xml:space="preserve"> than in </w:t>
      </w:r>
      <w:r>
        <w:t>non-SPAC-</w:t>
      </w:r>
      <w:r w:rsidR="00DB474B" w:rsidRPr="002725D9">
        <w:t>IPO</w:t>
      </w:r>
      <w:r>
        <w:t xml:space="preserve">s. </w:t>
      </w:r>
      <w:r w:rsidR="00623F74">
        <w:t xml:space="preserve">Because </w:t>
      </w:r>
      <w:r>
        <w:t xml:space="preserve">investors rely on the </w:t>
      </w:r>
      <w:r w:rsidR="00623F74">
        <w:t>SPAC-sponsors’ abilit</w:t>
      </w:r>
      <w:r>
        <w:t xml:space="preserve">y </w:t>
      </w:r>
      <w:r w:rsidR="00623F74">
        <w:t xml:space="preserve">to identify </w:t>
      </w:r>
      <w:r>
        <w:t xml:space="preserve">valuable </w:t>
      </w:r>
      <w:r w:rsidR="00623F74">
        <w:t xml:space="preserve">targets, there may be less need for </w:t>
      </w:r>
      <w:r w:rsidR="007F3EC0">
        <w:t xml:space="preserve">external </w:t>
      </w:r>
      <w:r w:rsidR="00623F74">
        <w:t>monitoring</w:t>
      </w:r>
      <w:r w:rsidR="00840EB0">
        <w:t xml:space="preserve"> of SPAC-IPOs</w:t>
      </w:r>
      <w:r w:rsidR="00623F74">
        <w:t xml:space="preserve">. </w:t>
      </w:r>
      <w:r w:rsidR="008156BB">
        <w:t xml:space="preserve">Potential </w:t>
      </w:r>
      <w:r>
        <w:t>conflict</w:t>
      </w:r>
      <w:r w:rsidR="008156BB">
        <w:t>s</w:t>
      </w:r>
      <w:r>
        <w:t xml:space="preserve"> of interest might also incentivize s</w:t>
      </w:r>
      <w:r w:rsidR="00816B88">
        <w:t>ponsors</w:t>
      </w:r>
      <w:r>
        <w:t xml:space="preserve"> to avoid </w:t>
      </w:r>
      <w:r w:rsidR="00DD44D6">
        <w:t xml:space="preserve">being </w:t>
      </w:r>
      <w:r>
        <w:t>monitor</w:t>
      </w:r>
      <w:r w:rsidR="00DD44D6">
        <w:t>ed</w:t>
      </w:r>
      <w:r>
        <w:t xml:space="preserve"> </w:t>
      </w:r>
      <w:r w:rsidR="00183D8F">
        <w:t xml:space="preserve">by </w:t>
      </w:r>
      <w:r w:rsidR="00916A02">
        <w:t>high-quality</w:t>
      </w:r>
      <w:r>
        <w:t xml:space="preserve"> </w:t>
      </w:r>
      <w:r w:rsidR="00C545B4">
        <w:t xml:space="preserve">independent </w:t>
      </w:r>
      <w:r w:rsidR="00840EB0">
        <w:t>monitor</w:t>
      </w:r>
      <w:r>
        <w:t>s</w:t>
      </w:r>
      <w:r w:rsidR="00DA2F05" w:rsidRPr="002725D9">
        <w:t>.</w:t>
      </w:r>
      <w:r w:rsidR="00311860">
        <w:t xml:space="preserve"> </w:t>
      </w:r>
      <w:r>
        <w:t>Third, w</w:t>
      </w:r>
      <w:r w:rsidR="00A1240B">
        <w:t xml:space="preserve">e conjecture that </w:t>
      </w:r>
      <w:r w:rsidR="00C7753D" w:rsidRPr="00B04A0B">
        <w:t>SPAC-</w:t>
      </w:r>
      <w:r w:rsidR="00A838B0">
        <w:t>IPOs</w:t>
      </w:r>
      <w:r w:rsidR="00C7753D" w:rsidRPr="00B04A0B">
        <w:t xml:space="preserve"> are </w:t>
      </w:r>
      <w:r w:rsidR="00DB5D6E">
        <w:t xml:space="preserve">associated with lower </w:t>
      </w:r>
      <w:r>
        <w:t xml:space="preserve">earnings and accruals </w:t>
      </w:r>
      <w:r>
        <w:lastRenderedPageBreak/>
        <w:t xml:space="preserve">persistence </w:t>
      </w:r>
      <w:r w:rsidR="00DB5D6E">
        <w:t>t</w:t>
      </w:r>
      <w:r w:rsidR="00B04A0B">
        <w:t xml:space="preserve">han </w:t>
      </w:r>
      <w:r w:rsidR="003B4DF5">
        <w:t>non-SPAC-IPO</w:t>
      </w:r>
      <w:r w:rsidR="00B04A0B">
        <w:t>s</w:t>
      </w:r>
      <w:r w:rsidR="0018348E" w:rsidRPr="00B04A0B">
        <w:t xml:space="preserve">. </w:t>
      </w:r>
      <w:r w:rsidR="00C001D9">
        <w:t xml:space="preserve">Because SPAC shareholders rely on their sponsors’ ability to value targets, earnings quality may be less relevant in SPAC-IPOs than in non-SPAC-IPOs. Also, to comply with GAAP reporting for public companies, SPAC-IPOs might need to make </w:t>
      </w:r>
      <w:r w:rsidR="00453322">
        <w:t>transitory accounting adjustments</w:t>
      </w:r>
      <w:r w:rsidR="004E7FE7">
        <w:t xml:space="preserve"> to meet SEC (PCAOB) reporting (auditing) requirements</w:t>
      </w:r>
      <w:r w:rsidR="00C001D9">
        <w:t>,</w:t>
      </w:r>
      <w:r w:rsidR="00676D1A">
        <w:rPr>
          <w:rStyle w:val="FootnoteReference"/>
        </w:rPr>
        <w:footnoteReference w:id="4"/>
      </w:r>
      <w:r w:rsidR="00ED3BC0">
        <w:t xml:space="preserve"> </w:t>
      </w:r>
      <w:r w:rsidR="00183D8F">
        <w:t xml:space="preserve">thereby </w:t>
      </w:r>
      <w:r w:rsidR="00ED3BC0">
        <w:t>erod</w:t>
      </w:r>
      <w:r w:rsidR="00183D8F">
        <w:t>ing</w:t>
      </w:r>
      <w:r w:rsidR="00ED3BC0">
        <w:t xml:space="preserve"> </w:t>
      </w:r>
      <w:r w:rsidR="00A838B0">
        <w:t>persistence</w:t>
      </w:r>
      <w:r w:rsidR="00453322">
        <w:t xml:space="preserve">. </w:t>
      </w:r>
    </w:p>
    <w:p w14:paraId="25F8CB05" w14:textId="3FD9ED43" w:rsidR="00822675" w:rsidRDefault="00183D8F" w:rsidP="00183D8F">
      <w:pPr>
        <w:pStyle w:val="NormalWeb"/>
        <w:spacing w:before="0" w:beforeAutospacing="0" w:after="0" w:afterAutospacing="0" w:line="480" w:lineRule="auto"/>
        <w:ind w:firstLine="720"/>
        <w:jc w:val="both"/>
      </w:pPr>
      <w:r>
        <w:t>F</w:t>
      </w:r>
      <w:r w:rsidR="00A838B0">
        <w:t>ourth</w:t>
      </w:r>
      <w:r w:rsidR="00A71C7D" w:rsidRPr="004641BE">
        <w:t xml:space="preserve">, </w:t>
      </w:r>
      <w:r w:rsidR="00A63A16">
        <w:t xml:space="preserve">we posit that </w:t>
      </w:r>
      <w:r w:rsidR="00A71C7D" w:rsidRPr="004641BE">
        <w:t>SPAC-</w:t>
      </w:r>
      <w:r w:rsidR="004641BE" w:rsidRPr="004641BE">
        <w:t xml:space="preserve">IPOs </w:t>
      </w:r>
      <w:r w:rsidR="00A71C7D" w:rsidRPr="004641BE">
        <w:t xml:space="preserve">are </w:t>
      </w:r>
      <w:r w:rsidR="00A451D5">
        <w:t xml:space="preserve">more </w:t>
      </w:r>
      <w:r w:rsidR="00A71C7D" w:rsidRPr="004641BE">
        <w:t xml:space="preserve">likely to </w:t>
      </w:r>
      <w:r w:rsidR="00A451D5">
        <w:t xml:space="preserve">avoid </w:t>
      </w:r>
      <w:r w:rsidR="00F65640">
        <w:t xml:space="preserve">listing on </w:t>
      </w:r>
      <w:r w:rsidR="004641BE" w:rsidRPr="004641BE">
        <w:t xml:space="preserve">the NYSE </w:t>
      </w:r>
      <w:r w:rsidR="003B4DF5">
        <w:t>than non-SPAC-IPOs</w:t>
      </w:r>
      <w:r w:rsidR="004641BE" w:rsidRPr="004641BE">
        <w:t xml:space="preserve">. Because </w:t>
      </w:r>
      <w:r w:rsidR="00F42871">
        <w:t xml:space="preserve">it costs a company considerably more to list on the </w:t>
      </w:r>
      <w:r w:rsidR="009F33B4" w:rsidRPr="004641BE">
        <w:t xml:space="preserve">NYSE </w:t>
      </w:r>
      <w:r w:rsidR="009F33B4">
        <w:t xml:space="preserve">than </w:t>
      </w:r>
      <w:r w:rsidR="00F42871">
        <w:t xml:space="preserve">to list on </w:t>
      </w:r>
      <w:r w:rsidR="009F33B4">
        <w:t xml:space="preserve">the </w:t>
      </w:r>
      <w:r w:rsidR="009F33B4" w:rsidRPr="004641BE">
        <w:t>NASDAQ</w:t>
      </w:r>
      <w:r w:rsidR="009F33B4">
        <w:t xml:space="preserve"> or OTC</w:t>
      </w:r>
      <w:r w:rsidR="008908A7">
        <w:t>,</w:t>
      </w:r>
      <w:r w:rsidR="00A83AB6">
        <w:t xml:space="preserve"> </w:t>
      </w:r>
      <w:r w:rsidR="008908A7">
        <w:t xml:space="preserve">and </w:t>
      </w:r>
      <w:r w:rsidR="00F65640">
        <w:t xml:space="preserve">since </w:t>
      </w:r>
      <w:r w:rsidR="008908A7">
        <w:t>the</w:t>
      </w:r>
      <w:r w:rsidR="00F42871">
        <w:t xml:space="preserve"> NYSE </w:t>
      </w:r>
      <w:r w:rsidR="008908A7">
        <w:t xml:space="preserve">initial listing </w:t>
      </w:r>
      <w:r w:rsidR="009B6F16">
        <w:t xml:space="preserve">requirements </w:t>
      </w:r>
      <w:r w:rsidR="008908A7">
        <w:t xml:space="preserve">are </w:t>
      </w:r>
      <w:r w:rsidR="009F33B4">
        <w:t xml:space="preserve">also </w:t>
      </w:r>
      <w:r w:rsidR="008908A7">
        <w:t xml:space="preserve">more stringent, </w:t>
      </w:r>
      <w:r w:rsidR="004641BE" w:rsidRPr="004641BE">
        <w:t>SPAC</w:t>
      </w:r>
      <w:r w:rsidR="00653480">
        <w:t>-</w:t>
      </w:r>
      <w:r w:rsidR="004641BE" w:rsidRPr="004641BE">
        <w:t>sponsors m</w:t>
      </w:r>
      <w:r w:rsidR="00A83AB6">
        <w:t xml:space="preserve">ay </w:t>
      </w:r>
      <w:r w:rsidR="00A451D5">
        <w:t xml:space="preserve">avoid listing on the </w:t>
      </w:r>
      <w:r w:rsidR="00A83AB6">
        <w:t>NYSE</w:t>
      </w:r>
      <w:r w:rsidR="004641BE" w:rsidRPr="00B30A23">
        <w:t xml:space="preserve">. </w:t>
      </w:r>
      <w:r w:rsidR="007A6A01" w:rsidRPr="00B30A23">
        <w:t xml:space="preserve">Moreover, </w:t>
      </w:r>
      <w:r w:rsidR="004641BE" w:rsidRPr="00B30A23">
        <w:t>since stock</w:t>
      </w:r>
      <w:r w:rsidR="00653F0F" w:rsidRPr="00B30A23">
        <w:t xml:space="preserve"> prices</w:t>
      </w:r>
      <w:r w:rsidR="004641BE" w:rsidRPr="00B30A23">
        <w:t xml:space="preserve"> on </w:t>
      </w:r>
      <w:r w:rsidR="00653F0F" w:rsidRPr="00B30A23">
        <w:t xml:space="preserve">the </w:t>
      </w:r>
      <w:r w:rsidR="004641BE" w:rsidRPr="00B30A23">
        <w:t xml:space="preserve">NASDAQ tend to be </w:t>
      </w:r>
      <w:r w:rsidR="00DD44D6">
        <w:t xml:space="preserve">more </w:t>
      </w:r>
      <w:r w:rsidR="004641BE" w:rsidRPr="00B30A23">
        <w:t>volatile</w:t>
      </w:r>
      <w:r w:rsidR="00B30A23">
        <w:t xml:space="preserve"> </w:t>
      </w:r>
      <w:r w:rsidR="00DD44D6">
        <w:t xml:space="preserve">than on the NYSE </w:t>
      </w:r>
      <w:r w:rsidR="00B30A23">
        <w:t>(Jiang, Kim</w:t>
      </w:r>
      <w:r w:rsidR="00A704D7">
        <w:t>,</w:t>
      </w:r>
      <w:r w:rsidR="00B30A23">
        <w:t xml:space="preserve"> and Wood 2011)</w:t>
      </w:r>
      <w:r w:rsidR="004641BE" w:rsidRPr="00B30A23">
        <w:t xml:space="preserve">, </w:t>
      </w:r>
      <w:r w:rsidR="00B30A23">
        <w:t>and warrant prices increase with volatility (</w:t>
      </w:r>
      <w:r w:rsidR="00A704D7">
        <w:t>Li and Wong</w:t>
      </w:r>
      <w:r w:rsidR="00B30A23">
        <w:t xml:space="preserve"> 2005), </w:t>
      </w:r>
      <w:r w:rsidR="004641BE" w:rsidRPr="00B30A23">
        <w:t>SPAC sponsors and shareholders</w:t>
      </w:r>
      <w:r w:rsidR="00840EB0" w:rsidRPr="00B30A23">
        <w:t xml:space="preserve">, who typically get </w:t>
      </w:r>
      <w:r w:rsidR="004641BE" w:rsidRPr="00B30A23">
        <w:t>warrants</w:t>
      </w:r>
      <w:r w:rsidR="00840EB0" w:rsidRPr="00B30A23">
        <w:t>,</w:t>
      </w:r>
      <w:r w:rsidR="004641BE" w:rsidRPr="00B30A23">
        <w:t xml:space="preserve"> might have a stronger preference for the NASDAQ to benefit from attractive warrant prices</w:t>
      </w:r>
      <w:r w:rsidR="00840EB0" w:rsidRPr="00B30A23">
        <w:t xml:space="preserve"> because of the added volatility</w:t>
      </w:r>
      <w:r w:rsidR="004641BE" w:rsidRPr="00B30A23">
        <w:t xml:space="preserve">. </w:t>
      </w:r>
      <w:r w:rsidR="00D165E0">
        <w:t xml:space="preserve">Fifth, we expect SPAC-IPOs to get delisted from a stock exchange more frequently than non-SPAC-IPOs. The higher frequency of delisting might be the outcome of </w:t>
      </w:r>
      <w:r w:rsidR="00EB3AD0">
        <w:t xml:space="preserve">a </w:t>
      </w:r>
      <w:r w:rsidR="00D165E0">
        <w:t xml:space="preserve">SPAC-IPO’s inability to meet its projections, to generate future cash flows or profits quickly, to meet its working capital needs, </w:t>
      </w:r>
      <w:r w:rsidR="00AF4E53">
        <w:t xml:space="preserve">or </w:t>
      </w:r>
      <w:r w:rsidR="00D165E0">
        <w:t xml:space="preserve">to </w:t>
      </w:r>
      <w:r w:rsidR="00EB3AD0">
        <w:t xml:space="preserve">acquire </w:t>
      </w:r>
      <w:r w:rsidR="00D165E0">
        <w:t>additional funding (see Brown, Shakeout Threatens SPACS, WSJ, May 28-29, 2022).</w:t>
      </w:r>
      <w:r w:rsidR="00755905">
        <w:rPr>
          <w:rStyle w:val="FootnoteReference"/>
        </w:rPr>
        <w:footnoteReference w:id="5"/>
      </w:r>
      <w:r w:rsidR="00D165E0">
        <w:t xml:space="preserve"> </w:t>
      </w:r>
    </w:p>
    <w:p w14:paraId="36DBAF2B" w14:textId="5F291B8C" w:rsidR="00D165E0" w:rsidRDefault="00D165E0" w:rsidP="004641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w:t>
      </w:r>
      <w:r w:rsidR="00822675">
        <w:rPr>
          <w:rFonts w:ascii="Times New Roman" w:hAnsi="Times New Roman" w:cs="Times New Roman"/>
          <w:sz w:val="24"/>
          <w:szCs w:val="24"/>
        </w:rPr>
        <w:t xml:space="preserve">and more importantly, </w:t>
      </w:r>
      <w:r w:rsidR="00EB3AD0">
        <w:rPr>
          <w:rFonts w:ascii="Times New Roman" w:hAnsi="Times New Roman" w:cs="Times New Roman"/>
          <w:sz w:val="24"/>
          <w:szCs w:val="24"/>
        </w:rPr>
        <w:t>we hypothesize that the higher information risk in SPAC</w:t>
      </w:r>
      <w:r w:rsidR="009530C8">
        <w:rPr>
          <w:rFonts w:ascii="Times New Roman" w:hAnsi="Times New Roman" w:cs="Times New Roman"/>
          <w:sz w:val="24"/>
          <w:szCs w:val="24"/>
        </w:rPr>
        <w:t>-</w:t>
      </w:r>
      <w:r w:rsidR="00EB3AD0">
        <w:rPr>
          <w:rFonts w:ascii="Times New Roman" w:hAnsi="Times New Roman" w:cs="Times New Roman"/>
          <w:sz w:val="24"/>
          <w:szCs w:val="24"/>
        </w:rPr>
        <w:t xml:space="preserve">IPOs is a key explanation for the </w:t>
      </w:r>
      <w:r w:rsidR="00E951D2">
        <w:rPr>
          <w:rFonts w:ascii="Times New Roman" w:hAnsi="Times New Roman" w:cs="Times New Roman"/>
          <w:sz w:val="24"/>
          <w:szCs w:val="24"/>
        </w:rPr>
        <w:t xml:space="preserve">stock </w:t>
      </w:r>
      <w:r w:rsidR="00EB3AD0">
        <w:rPr>
          <w:rFonts w:ascii="Times New Roman" w:hAnsi="Times New Roman" w:cs="Times New Roman"/>
          <w:sz w:val="24"/>
          <w:szCs w:val="24"/>
        </w:rPr>
        <w:t>underperformance of SPAC-IPOs</w:t>
      </w:r>
      <w:r w:rsidR="00183D8F">
        <w:rPr>
          <w:rFonts w:ascii="Times New Roman" w:hAnsi="Times New Roman" w:cs="Times New Roman"/>
          <w:sz w:val="24"/>
          <w:szCs w:val="24"/>
        </w:rPr>
        <w:t xml:space="preserve"> </w:t>
      </w:r>
      <w:r w:rsidR="00822675">
        <w:rPr>
          <w:rFonts w:ascii="Times New Roman" w:hAnsi="Times New Roman" w:cs="Times New Roman"/>
          <w:sz w:val="24"/>
          <w:szCs w:val="24"/>
        </w:rPr>
        <w:t>documented by Gahng et al. (2021)</w:t>
      </w:r>
      <w:r w:rsidR="00E951D2">
        <w:rPr>
          <w:rFonts w:ascii="Times New Roman" w:hAnsi="Times New Roman" w:cs="Times New Roman"/>
          <w:sz w:val="24"/>
          <w:szCs w:val="24"/>
        </w:rPr>
        <w:t xml:space="preserve"> and Dimitrova (2017)</w:t>
      </w:r>
      <w:r w:rsidR="00EB3AD0">
        <w:rPr>
          <w:rFonts w:ascii="Times New Roman" w:hAnsi="Times New Roman" w:cs="Times New Roman"/>
          <w:sz w:val="24"/>
          <w:szCs w:val="24"/>
        </w:rPr>
        <w:t xml:space="preserve">. </w:t>
      </w:r>
      <w:r w:rsidR="009530C8">
        <w:rPr>
          <w:rFonts w:ascii="Times New Roman" w:hAnsi="Times New Roman" w:cs="Times New Roman"/>
          <w:sz w:val="24"/>
          <w:szCs w:val="24"/>
        </w:rPr>
        <w:t>I</w:t>
      </w:r>
      <w:r w:rsidR="009530C8">
        <w:rPr>
          <w:rFonts w:ascii="Times New Roman" w:hAnsi="Times New Roman" w:cs="Times New Roman"/>
          <w:sz w:val="24"/>
        </w:rPr>
        <w:t xml:space="preserve">f our proxies convey negative signals about </w:t>
      </w:r>
      <w:r w:rsidR="008908A7">
        <w:rPr>
          <w:rFonts w:ascii="Times New Roman" w:hAnsi="Times New Roman" w:cs="Times New Roman"/>
          <w:sz w:val="24"/>
        </w:rPr>
        <w:t xml:space="preserve">the riskiness of </w:t>
      </w:r>
      <w:r w:rsidR="009530C8">
        <w:rPr>
          <w:rFonts w:ascii="Times New Roman" w:hAnsi="Times New Roman" w:cs="Times New Roman"/>
          <w:sz w:val="24"/>
        </w:rPr>
        <w:lastRenderedPageBreak/>
        <w:t xml:space="preserve">SPAC-IPOs’ future performance, and this information </w:t>
      </w:r>
      <w:r w:rsidR="008908A7">
        <w:rPr>
          <w:rFonts w:ascii="Times New Roman" w:hAnsi="Times New Roman" w:cs="Times New Roman"/>
          <w:sz w:val="24"/>
        </w:rPr>
        <w:t xml:space="preserve">risk </w:t>
      </w:r>
      <w:r w:rsidR="00653480">
        <w:rPr>
          <w:rFonts w:ascii="Times New Roman" w:hAnsi="Times New Roman" w:cs="Times New Roman"/>
          <w:sz w:val="24"/>
        </w:rPr>
        <w:t xml:space="preserve">represents </w:t>
      </w:r>
      <w:r w:rsidR="009530C8">
        <w:rPr>
          <w:rFonts w:ascii="Times New Roman" w:hAnsi="Times New Roman" w:cs="Times New Roman"/>
          <w:sz w:val="24"/>
        </w:rPr>
        <w:t>a non-diversifiable risk factor, we expect investors to price this information.</w:t>
      </w:r>
      <w:r w:rsidR="00D7143D">
        <w:rPr>
          <w:rFonts w:ascii="Times New Roman" w:hAnsi="Times New Roman" w:cs="Times New Roman"/>
          <w:sz w:val="24"/>
          <w:szCs w:val="24"/>
        </w:rPr>
        <w:t xml:space="preserve"> </w:t>
      </w:r>
    </w:p>
    <w:p w14:paraId="776F920B" w14:textId="6FC98A46" w:rsidR="00765ECD" w:rsidRDefault="009E640F" w:rsidP="004641BE">
      <w:pPr>
        <w:spacing w:after="0" w:line="480" w:lineRule="auto"/>
        <w:ind w:firstLine="720"/>
        <w:jc w:val="both"/>
        <w:rPr>
          <w:rFonts w:ascii="Times New Roman" w:hAnsi="Times New Roman" w:cs="Times New Roman"/>
          <w:sz w:val="24"/>
        </w:rPr>
      </w:pPr>
      <w:r w:rsidRPr="00A1240B">
        <w:rPr>
          <w:rFonts w:ascii="Times New Roman" w:hAnsi="Times New Roman" w:cs="Times New Roman"/>
          <w:sz w:val="24"/>
          <w:szCs w:val="24"/>
        </w:rPr>
        <w:t xml:space="preserve">Our SPAC sample is compiled from the </w:t>
      </w:r>
      <w:r w:rsidRPr="00A1240B">
        <w:rPr>
          <w:rFonts w:ascii="Times New Roman" w:hAnsi="Times New Roman" w:cs="Times New Roman"/>
          <w:i/>
          <w:sz w:val="24"/>
          <w:szCs w:val="24"/>
        </w:rPr>
        <w:t>SPACInsider</w:t>
      </w:r>
      <w:r w:rsidRPr="00A1240B">
        <w:rPr>
          <w:rFonts w:ascii="Times New Roman" w:hAnsi="Times New Roman" w:cs="Times New Roman"/>
          <w:sz w:val="24"/>
          <w:szCs w:val="24"/>
        </w:rPr>
        <w:t xml:space="preserve"> database between 2010 and 2020.</w:t>
      </w:r>
      <w:r w:rsidR="004E7FE7" w:rsidRPr="00A1240B">
        <w:rPr>
          <w:rFonts w:ascii="Times New Roman" w:hAnsi="Times New Roman" w:cs="Times New Roman"/>
          <w:sz w:val="24"/>
          <w:szCs w:val="24"/>
        </w:rPr>
        <w:t xml:space="preserve"> </w:t>
      </w:r>
      <w:r w:rsidR="003363AE">
        <w:rPr>
          <w:rFonts w:ascii="Times New Roman" w:hAnsi="Times New Roman" w:cs="Times New Roman"/>
          <w:sz w:val="24"/>
          <w:szCs w:val="24"/>
        </w:rPr>
        <w:t xml:space="preserve">To avoid sample selection biases arising because Compustat coverage is limited to larger firms, we hand collect missing </w:t>
      </w:r>
      <w:r w:rsidR="004E7FE7" w:rsidRPr="00A1240B">
        <w:rPr>
          <w:rFonts w:ascii="Times New Roman" w:hAnsi="Times New Roman" w:cs="Times New Roman"/>
          <w:sz w:val="24"/>
          <w:szCs w:val="24"/>
        </w:rPr>
        <w:t xml:space="preserve">data from SPAC disclosures/filings with the SEC. </w:t>
      </w:r>
      <w:r w:rsidRPr="00A1240B">
        <w:rPr>
          <w:rFonts w:ascii="Times New Roman" w:hAnsi="Times New Roman" w:cs="Times New Roman"/>
          <w:sz w:val="24"/>
          <w:szCs w:val="24"/>
        </w:rPr>
        <w:t xml:space="preserve"> </w:t>
      </w:r>
      <w:r w:rsidR="00E951D2">
        <w:rPr>
          <w:rFonts w:ascii="Times New Roman" w:hAnsi="Times New Roman" w:cs="Times New Roman"/>
          <w:sz w:val="24"/>
          <w:szCs w:val="24"/>
        </w:rPr>
        <w:t xml:space="preserve">Using </w:t>
      </w:r>
      <w:r w:rsidRPr="00A1240B">
        <w:rPr>
          <w:rFonts w:ascii="Times New Roman" w:hAnsi="Times New Roman" w:cs="Times New Roman"/>
          <w:sz w:val="24"/>
          <w:szCs w:val="24"/>
        </w:rPr>
        <w:t xml:space="preserve">traditional </w:t>
      </w:r>
      <w:r w:rsidR="00E951D2">
        <w:rPr>
          <w:rFonts w:ascii="Times New Roman" w:hAnsi="Times New Roman" w:cs="Times New Roman"/>
          <w:sz w:val="24"/>
          <w:szCs w:val="24"/>
        </w:rPr>
        <w:t>IPOs (</w:t>
      </w:r>
      <w:r w:rsidR="002710EC">
        <w:rPr>
          <w:rFonts w:ascii="Times New Roman" w:hAnsi="Times New Roman" w:cs="Times New Roman"/>
          <w:sz w:val="24"/>
          <w:szCs w:val="24"/>
        </w:rPr>
        <w:t>non-SPAC-IPOs</w:t>
      </w:r>
      <w:r w:rsidR="00E951D2">
        <w:rPr>
          <w:rFonts w:ascii="Times New Roman" w:hAnsi="Times New Roman" w:cs="Times New Roman"/>
          <w:sz w:val="24"/>
          <w:szCs w:val="24"/>
        </w:rPr>
        <w:t>)</w:t>
      </w:r>
      <w:r w:rsidR="002710EC">
        <w:rPr>
          <w:rFonts w:ascii="Times New Roman" w:hAnsi="Times New Roman" w:cs="Times New Roman"/>
          <w:sz w:val="24"/>
          <w:szCs w:val="24"/>
        </w:rPr>
        <w:t xml:space="preserve"> </w:t>
      </w:r>
      <w:r w:rsidRPr="00A1240B">
        <w:rPr>
          <w:rFonts w:ascii="Times New Roman" w:hAnsi="Times New Roman" w:cs="Times New Roman"/>
          <w:sz w:val="24"/>
          <w:szCs w:val="24"/>
        </w:rPr>
        <w:t>as benchmark companies for our empirical tests</w:t>
      </w:r>
      <w:r w:rsidR="00E951D2">
        <w:rPr>
          <w:rFonts w:ascii="Times New Roman" w:hAnsi="Times New Roman" w:cs="Times New Roman"/>
          <w:sz w:val="24"/>
          <w:szCs w:val="24"/>
        </w:rPr>
        <w:t xml:space="preserve">, we document </w:t>
      </w:r>
      <w:r w:rsidR="00AC4F51">
        <w:rPr>
          <w:rFonts w:ascii="Times New Roman" w:hAnsi="Times New Roman" w:cs="Times New Roman"/>
          <w:sz w:val="24"/>
          <w:szCs w:val="24"/>
        </w:rPr>
        <w:t xml:space="preserve">that SPAC-IPOs’ </w:t>
      </w:r>
      <w:r w:rsidR="003363AE">
        <w:rPr>
          <w:rFonts w:ascii="Times New Roman" w:hAnsi="Times New Roman" w:cs="Times New Roman"/>
          <w:sz w:val="24"/>
          <w:szCs w:val="24"/>
        </w:rPr>
        <w:t xml:space="preserve">financial reporting problems are much </w:t>
      </w:r>
      <w:r w:rsidR="00AC4F51">
        <w:rPr>
          <w:rFonts w:ascii="Times New Roman" w:hAnsi="Times New Roman" w:cs="Times New Roman"/>
          <w:sz w:val="24"/>
          <w:szCs w:val="24"/>
        </w:rPr>
        <w:t xml:space="preserve">more severe than </w:t>
      </w:r>
      <w:r w:rsidR="003363AE">
        <w:rPr>
          <w:rFonts w:ascii="Times New Roman" w:hAnsi="Times New Roman" w:cs="Times New Roman"/>
          <w:sz w:val="24"/>
          <w:szCs w:val="24"/>
        </w:rPr>
        <w:t xml:space="preserve">previously documented. </w:t>
      </w:r>
      <w:r w:rsidR="000D0FC0">
        <w:rPr>
          <w:rFonts w:ascii="Times New Roman" w:hAnsi="Times New Roman" w:cs="Times New Roman"/>
          <w:sz w:val="24"/>
        </w:rPr>
        <w:t xml:space="preserve">We find that a SPAC-IPO is nearly 350% </w:t>
      </w:r>
      <w:r w:rsidR="00E951D2">
        <w:rPr>
          <w:rFonts w:ascii="Times New Roman" w:hAnsi="Times New Roman" w:cs="Times New Roman"/>
          <w:sz w:val="24"/>
        </w:rPr>
        <w:t xml:space="preserve">(900%) </w:t>
      </w:r>
      <w:r w:rsidR="000D0FC0">
        <w:rPr>
          <w:rFonts w:ascii="Times New Roman" w:hAnsi="Times New Roman" w:cs="Times New Roman"/>
          <w:sz w:val="24"/>
        </w:rPr>
        <w:t xml:space="preserve">as likely to be associated with a material weakness </w:t>
      </w:r>
      <w:r w:rsidR="00E951D2">
        <w:rPr>
          <w:rFonts w:ascii="Times New Roman" w:hAnsi="Times New Roman" w:cs="Times New Roman"/>
          <w:sz w:val="24"/>
        </w:rPr>
        <w:t xml:space="preserve">(restatement) </w:t>
      </w:r>
      <w:r w:rsidR="000D0FC0">
        <w:rPr>
          <w:rFonts w:ascii="Times New Roman" w:hAnsi="Times New Roman" w:cs="Times New Roman"/>
          <w:sz w:val="24"/>
        </w:rPr>
        <w:t xml:space="preserve">as a non-SPAC-IPO, while the corresponding number in </w:t>
      </w:r>
      <w:r w:rsidR="003363AE">
        <w:rPr>
          <w:rFonts w:ascii="Times New Roman" w:hAnsi="Times New Roman" w:cs="Times New Roman"/>
          <w:sz w:val="24"/>
        </w:rPr>
        <w:t xml:space="preserve">Kim et </w:t>
      </w:r>
      <w:r w:rsidR="005C6759">
        <w:rPr>
          <w:rFonts w:ascii="Times New Roman" w:hAnsi="Times New Roman" w:cs="Times New Roman"/>
          <w:sz w:val="24"/>
        </w:rPr>
        <w:t>a</w:t>
      </w:r>
      <w:r w:rsidR="003363AE">
        <w:rPr>
          <w:rFonts w:ascii="Times New Roman" w:hAnsi="Times New Roman" w:cs="Times New Roman"/>
          <w:sz w:val="24"/>
        </w:rPr>
        <w:t xml:space="preserve">l. (2022) </w:t>
      </w:r>
      <w:r w:rsidR="000D0FC0">
        <w:rPr>
          <w:rFonts w:ascii="Times New Roman" w:hAnsi="Times New Roman" w:cs="Times New Roman"/>
          <w:sz w:val="24"/>
        </w:rPr>
        <w:t>is 24</w:t>
      </w:r>
      <w:r w:rsidR="00AC4F51">
        <w:rPr>
          <w:rFonts w:ascii="Times New Roman" w:hAnsi="Times New Roman" w:cs="Times New Roman"/>
          <w:sz w:val="24"/>
        </w:rPr>
        <w:t>1</w:t>
      </w:r>
      <w:r w:rsidR="000D0FC0">
        <w:rPr>
          <w:rFonts w:ascii="Times New Roman" w:hAnsi="Times New Roman" w:cs="Times New Roman"/>
          <w:sz w:val="24"/>
        </w:rPr>
        <w:t>%</w:t>
      </w:r>
      <w:r w:rsidR="00E951D2">
        <w:rPr>
          <w:rFonts w:ascii="Times New Roman" w:hAnsi="Times New Roman" w:cs="Times New Roman"/>
          <w:sz w:val="24"/>
        </w:rPr>
        <w:t xml:space="preserve"> (293%)</w:t>
      </w:r>
      <w:r w:rsidR="000D0FC0">
        <w:rPr>
          <w:rFonts w:ascii="Times New Roman" w:hAnsi="Times New Roman" w:cs="Times New Roman"/>
          <w:sz w:val="24"/>
        </w:rPr>
        <w:t>.</w:t>
      </w:r>
      <w:r w:rsidR="00AC4F51">
        <w:rPr>
          <w:rStyle w:val="FootnoteReference"/>
          <w:rFonts w:ascii="Times New Roman" w:hAnsi="Times New Roman" w:cs="Times New Roman"/>
          <w:sz w:val="24"/>
        </w:rPr>
        <w:footnoteReference w:id="6"/>
      </w:r>
      <w:r w:rsidR="00AC4F51">
        <w:rPr>
          <w:rFonts w:ascii="Times New Roman" w:hAnsi="Times New Roman" w:cs="Times New Roman"/>
          <w:sz w:val="24"/>
        </w:rPr>
        <w:t xml:space="preserve"> </w:t>
      </w:r>
      <w:r w:rsidR="00004768">
        <w:rPr>
          <w:rFonts w:ascii="Times New Roman" w:hAnsi="Times New Roman" w:cs="Times New Roman"/>
          <w:sz w:val="24"/>
        </w:rPr>
        <w:t>For the IPO year, w</w:t>
      </w:r>
      <w:r w:rsidR="00765ECD">
        <w:rPr>
          <w:rFonts w:ascii="Times New Roman" w:hAnsi="Times New Roman" w:cs="Times New Roman"/>
          <w:sz w:val="24"/>
        </w:rPr>
        <w:t xml:space="preserve">e find no instances of non-timely annual filings by non-SPAC-IPOs, but 19% of the SPAC-IPOs are associated with delays in their annual filings </w:t>
      </w:r>
      <w:r w:rsidR="003F3C1A">
        <w:rPr>
          <w:rFonts w:ascii="Times New Roman" w:hAnsi="Times New Roman" w:cs="Times New Roman"/>
          <w:sz w:val="24"/>
        </w:rPr>
        <w:t>(the corresponding number in Kim et al. is 14.6%)</w:t>
      </w:r>
      <w:r w:rsidR="00765ECD">
        <w:rPr>
          <w:rFonts w:ascii="Times New Roman" w:hAnsi="Times New Roman" w:cs="Times New Roman"/>
          <w:sz w:val="24"/>
        </w:rPr>
        <w:t>.</w:t>
      </w:r>
      <w:r w:rsidR="0000280B">
        <w:rPr>
          <w:rStyle w:val="FootnoteReference"/>
          <w:rFonts w:ascii="Times New Roman" w:hAnsi="Times New Roman" w:cs="Times New Roman"/>
          <w:sz w:val="24"/>
        </w:rPr>
        <w:footnoteReference w:id="7"/>
      </w:r>
      <w:r w:rsidR="0000280B">
        <w:rPr>
          <w:rFonts w:ascii="Times New Roman" w:hAnsi="Times New Roman" w:cs="Times New Roman"/>
          <w:sz w:val="24"/>
        </w:rPr>
        <w:t xml:space="preserve"> </w:t>
      </w:r>
      <w:r w:rsidR="00765ECD">
        <w:rPr>
          <w:rFonts w:ascii="Times New Roman" w:hAnsi="Times New Roman" w:cs="Times New Roman"/>
          <w:sz w:val="24"/>
        </w:rPr>
        <w:t xml:space="preserve"> </w:t>
      </w:r>
    </w:p>
    <w:p w14:paraId="182C00E3" w14:textId="49206BD3" w:rsidR="00B15892" w:rsidRDefault="001317FA" w:rsidP="00B15892">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C</w:t>
      </w:r>
      <w:r w:rsidRPr="00A1240B">
        <w:rPr>
          <w:rFonts w:ascii="Times New Roman" w:hAnsi="Times New Roman" w:cs="Times New Roman"/>
          <w:sz w:val="24"/>
          <w:szCs w:val="24"/>
        </w:rPr>
        <w:t xml:space="preserve">onsistent with </w:t>
      </w:r>
      <w:r>
        <w:rPr>
          <w:rFonts w:ascii="Times New Roman" w:hAnsi="Times New Roman" w:cs="Times New Roman"/>
          <w:sz w:val="24"/>
          <w:szCs w:val="24"/>
        </w:rPr>
        <w:t>the</w:t>
      </w:r>
      <w:r w:rsidRPr="00A1240B">
        <w:rPr>
          <w:rFonts w:ascii="Times New Roman" w:hAnsi="Times New Roman" w:cs="Times New Roman"/>
          <w:sz w:val="24"/>
          <w:szCs w:val="24"/>
        </w:rPr>
        <w:t xml:space="preserve"> first hypothesis, we </w:t>
      </w:r>
      <w:r>
        <w:rPr>
          <w:rFonts w:ascii="Times New Roman" w:hAnsi="Times New Roman" w:cs="Times New Roman"/>
          <w:sz w:val="24"/>
          <w:szCs w:val="24"/>
        </w:rPr>
        <w:t xml:space="preserve">find </w:t>
      </w:r>
      <w:r w:rsidRPr="00A1240B">
        <w:rPr>
          <w:rFonts w:ascii="Times New Roman" w:hAnsi="Times New Roman" w:cs="Times New Roman"/>
          <w:sz w:val="24"/>
          <w:szCs w:val="24"/>
        </w:rPr>
        <w:t xml:space="preserve">that SPAC-IPOs </w:t>
      </w:r>
      <w:r>
        <w:rPr>
          <w:rFonts w:ascii="Times New Roman" w:hAnsi="Times New Roman" w:cs="Times New Roman"/>
          <w:sz w:val="24"/>
          <w:szCs w:val="24"/>
        </w:rPr>
        <w:t xml:space="preserve">are more likely to retain non-Big 4 auditors </w:t>
      </w:r>
      <w:r w:rsidRPr="00A1240B">
        <w:rPr>
          <w:rFonts w:ascii="Times New Roman" w:hAnsi="Times New Roman" w:cs="Times New Roman"/>
          <w:sz w:val="24"/>
          <w:szCs w:val="24"/>
        </w:rPr>
        <w:t xml:space="preserve">than non-SPAC-IPOs. </w:t>
      </w:r>
      <w:r>
        <w:rPr>
          <w:rFonts w:ascii="Times New Roman" w:hAnsi="Times New Roman" w:cs="Times New Roman"/>
          <w:sz w:val="24"/>
          <w:szCs w:val="24"/>
        </w:rPr>
        <w:t>H</w:t>
      </w:r>
      <w:r w:rsidR="00FC4862" w:rsidRPr="00A1240B">
        <w:rPr>
          <w:rFonts w:ascii="Times New Roman" w:hAnsi="Times New Roman" w:cs="Times New Roman"/>
          <w:sz w:val="24"/>
          <w:szCs w:val="24"/>
        </w:rPr>
        <w:t>olding other factors constant,</w:t>
      </w:r>
      <w:r w:rsidR="00FF62CE" w:rsidRPr="00A1240B">
        <w:rPr>
          <w:rFonts w:ascii="Times New Roman" w:hAnsi="Times New Roman" w:cs="Times New Roman"/>
          <w:sz w:val="24"/>
          <w:szCs w:val="24"/>
        </w:rPr>
        <w:t xml:space="preserve"> </w:t>
      </w:r>
      <w:r>
        <w:rPr>
          <w:rFonts w:ascii="Times New Roman" w:hAnsi="Times New Roman" w:cs="Times New Roman"/>
          <w:sz w:val="24"/>
          <w:szCs w:val="24"/>
        </w:rPr>
        <w:t>our estim</w:t>
      </w:r>
      <w:r w:rsidR="00F42871">
        <w:rPr>
          <w:rFonts w:ascii="Times New Roman" w:hAnsi="Times New Roman" w:cs="Times New Roman"/>
          <w:sz w:val="24"/>
          <w:szCs w:val="24"/>
        </w:rPr>
        <w:t>a</w:t>
      </w:r>
      <w:r>
        <w:rPr>
          <w:rFonts w:ascii="Times New Roman" w:hAnsi="Times New Roman" w:cs="Times New Roman"/>
          <w:sz w:val="24"/>
          <w:szCs w:val="24"/>
        </w:rPr>
        <w:t xml:space="preserve">tes suggest that a </w:t>
      </w:r>
      <w:r w:rsidR="00FF62CE" w:rsidRPr="00DE6FE8">
        <w:rPr>
          <w:rFonts w:ascii="Times New Roman" w:hAnsi="Times New Roman" w:cs="Times New Roman"/>
          <w:sz w:val="24"/>
          <w:szCs w:val="24"/>
        </w:rPr>
        <w:t xml:space="preserve">SPAC-IPO </w:t>
      </w:r>
      <w:r w:rsidR="00DE6FE8" w:rsidRPr="00DE6FE8">
        <w:rPr>
          <w:rFonts w:ascii="Times New Roman" w:hAnsi="Times New Roman" w:cs="Times New Roman"/>
          <w:sz w:val="24"/>
          <w:szCs w:val="24"/>
        </w:rPr>
        <w:t xml:space="preserve">is eleven times as </w:t>
      </w:r>
      <w:r w:rsidR="00FF62CE" w:rsidRPr="00DE6FE8">
        <w:rPr>
          <w:rFonts w:ascii="Times New Roman" w:hAnsi="Times New Roman" w:cs="Times New Roman"/>
          <w:sz w:val="24"/>
          <w:szCs w:val="24"/>
        </w:rPr>
        <w:t xml:space="preserve">likely to retain a </w:t>
      </w:r>
      <w:r w:rsidR="007648C9" w:rsidRPr="00DE6FE8">
        <w:rPr>
          <w:rFonts w:ascii="Times New Roman" w:hAnsi="Times New Roman" w:cs="Times New Roman"/>
          <w:sz w:val="24"/>
          <w:szCs w:val="24"/>
        </w:rPr>
        <w:t>non-</w:t>
      </w:r>
      <w:r w:rsidR="00FF62CE" w:rsidRPr="00DE6FE8">
        <w:rPr>
          <w:rFonts w:ascii="Times New Roman" w:hAnsi="Times New Roman" w:cs="Times New Roman"/>
          <w:sz w:val="24"/>
          <w:szCs w:val="24"/>
        </w:rPr>
        <w:t xml:space="preserve">Big 4 auditor as </w:t>
      </w:r>
      <w:r>
        <w:rPr>
          <w:rFonts w:ascii="Times New Roman" w:hAnsi="Times New Roman" w:cs="Times New Roman"/>
          <w:sz w:val="24"/>
          <w:szCs w:val="24"/>
        </w:rPr>
        <w:t xml:space="preserve">a </w:t>
      </w:r>
      <w:r w:rsidR="00FF62CE" w:rsidRPr="00DE6FE8">
        <w:rPr>
          <w:rFonts w:ascii="Times New Roman" w:hAnsi="Times New Roman" w:cs="Times New Roman"/>
          <w:sz w:val="24"/>
          <w:szCs w:val="24"/>
        </w:rPr>
        <w:t xml:space="preserve">non-SPAC-IPO. </w:t>
      </w:r>
      <w:r w:rsidR="00705247">
        <w:rPr>
          <w:rFonts w:ascii="Times New Roman" w:hAnsi="Times New Roman" w:cs="Times New Roman"/>
          <w:sz w:val="24"/>
        </w:rPr>
        <w:t xml:space="preserve">We find that earnings persistence of SPAC-IPO firms is only </w:t>
      </w:r>
      <w:r w:rsidR="00AF4E53">
        <w:rPr>
          <w:rFonts w:ascii="Times New Roman" w:hAnsi="Times New Roman" w:cs="Times New Roman"/>
          <w:sz w:val="24"/>
        </w:rPr>
        <w:t>81</w:t>
      </w:r>
      <w:r w:rsidR="00705247">
        <w:rPr>
          <w:rFonts w:ascii="Times New Roman" w:hAnsi="Times New Roman" w:cs="Times New Roman"/>
          <w:sz w:val="24"/>
        </w:rPr>
        <w:t>% of th</w:t>
      </w:r>
      <w:r w:rsidR="00FD6602">
        <w:rPr>
          <w:rFonts w:ascii="Times New Roman" w:hAnsi="Times New Roman" w:cs="Times New Roman"/>
          <w:sz w:val="24"/>
        </w:rPr>
        <w:t xml:space="preserve">at </w:t>
      </w:r>
      <w:r w:rsidR="00705247">
        <w:rPr>
          <w:rFonts w:ascii="Times New Roman" w:hAnsi="Times New Roman" w:cs="Times New Roman"/>
          <w:sz w:val="24"/>
        </w:rPr>
        <w:t xml:space="preserve">of </w:t>
      </w:r>
      <w:r w:rsidR="00FD6602">
        <w:rPr>
          <w:rFonts w:ascii="Times New Roman" w:hAnsi="Times New Roman" w:cs="Times New Roman"/>
          <w:sz w:val="24"/>
        </w:rPr>
        <w:t>non-SPAC-</w:t>
      </w:r>
      <w:r w:rsidR="00705247">
        <w:rPr>
          <w:rFonts w:ascii="Times New Roman" w:hAnsi="Times New Roman" w:cs="Times New Roman"/>
          <w:sz w:val="24"/>
        </w:rPr>
        <w:t>IPO</w:t>
      </w:r>
      <w:r w:rsidR="00FD6602">
        <w:rPr>
          <w:rFonts w:ascii="Times New Roman" w:hAnsi="Times New Roman" w:cs="Times New Roman"/>
          <w:sz w:val="24"/>
        </w:rPr>
        <w:t xml:space="preserve"> firms</w:t>
      </w:r>
      <w:r w:rsidR="00705247">
        <w:rPr>
          <w:rFonts w:ascii="Times New Roman" w:hAnsi="Times New Roman" w:cs="Times New Roman"/>
          <w:sz w:val="24"/>
        </w:rPr>
        <w:t xml:space="preserve">. When we decompose earnings into cash flows and accruals, we find that the cash flows (accruals) persistence of SPAC-IPO firms is only </w:t>
      </w:r>
      <w:r w:rsidR="00AF4E53">
        <w:rPr>
          <w:rFonts w:ascii="Times New Roman" w:hAnsi="Times New Roman" w:cs="Times New Roman"/>
          <w:sz w:val="24"/>
        </w:rPr>
        <w:t>87</w:t>
      </w:r>
      <w:r w:rsidR="00705247">
        <w:rPr>
          <w:rFonts w:ascii="Times New Roman" w:hAnsi="Times New Roman" w:cs="Times New Roman"/>
          <w:sz w:val="24"/>
        </w:rPr>
        <w:t>% (</w:t>
      </w:r>
      <w:r w:rsidR="00AF4E53">
        <w:rPr>
          <w:rFonts w:ascii="Times New Roman" w:hAnsi="Times New Roman" w:cs="Times New Roman"/>
          <w:sz w:val="24"/>
        </w:rPr>
        <w:t>46</w:t>
      </w:r>
      <w:r w:rsidR="00705247">
        <w:rPr>
          <w:rFonts w:ascii="Times New Roman" w:hAnsi="Times New Roman" w:cs="Times New Roman"/>
          <w:sz w:val="24"/>
        </w:rPr>
        <w:t xml:space="preserve">%) of that of </w:t>
      </w:r>
      <w:r w:rsidR="00FD6602">
        <w:rPr>
          <w:rFonts w:ascii="Times New Roman" w:hAnsi="Times New Roman" w:cs="Times New Roman"/>
          <w:sz w:val="24"/>
        </w:rPr>
        <w:t>non-SPAC-IP</w:t>
      </w:r>
      <w:r w:rsidR="00705247">
        <w:rPr>
          <w:rFonts w:ascii="Times New Roman" w:hAnsi="Times New Roman" w:cs="Times New Roman"/>
          <w:sz w:val="24"/>
        </w:rPr>
        <w:t xml:space="preserve">O firms. Therefore, </w:t>
      </w:r>
      <w:r w:rsidR="00FD6602">
        <w:rPr>
          <w:rFonts w:ascii="Times New Roman" w:hAnsi="Times New Roman" w:cs="Times New Roman"/>
          <w:sz w:val="24"/>
        </w:rPr>
        <w:lastRenderedPageBreak/>
        <w:t xml:space="preserve">consistent with </w:t>
      </w:r>
      <w:r w:rsidR="00653480">
        <w:rPr>
          <w:rFonts w:ascii="Times New Roman" w:hAnsi="Times New Roman" w:cs="Times New Roman"/>
          <w:sz w:val="24"/>
        </w:rPr>
        <w:t>the</w:t>
      </w:r>
      <w:r w:rsidR="00FD6602">
        <w:rPr>
          <w:rFonts w:ascii="Times New Roman" w:hAnsi="Times New Roman" w:cs="Times New Roman"/>
          <w:sz w:val="24"/>
        </w:rPr>
        <w:t xml:space="preserve"> </w:t>
      </w:r>
      <w:r w:rsidR="00765ECD">
        <w:rPr>
          <w:rFonts w:ascii="Times New Roman" w:hAnsi="Times New Roman" w:cs="Times New Roman"/>
          <w:sz w:val="24"/>
        </w:rPr>
        <w:t xml:space="preserve">second </w:t>
      </w:r>
      <w:r w:rsidR="00FD6602">
        <w:rPr>
          <w:rFonts w:ascii="Times New Roman" w:hAnsi="Times New Roman" w:cs="Times New Roman"/>
          <w:sz w:val="24"/>
        </w:rPr>
        <w:t>hypothesis</w:t>
      </w:r>
      <w:r w:rsidR="00765ECD">
        <w:rPr>
          <w:rFonts w:ascii="Times New Roman" w:hAnsi="Times New Roman" w:cs="Times New Roman"/>
          <w:sz w:val="24"/>
        </w:rPr>
        <w:t xml:space="preserve">, </w:t>
      </w:r>
      <w:r w:rsidR="00FD6602">
        <w:rPr>
          <w:rFonts w:ascii="Times New Roman" w:hAnsi="Times New Roman" w:cs="Times New Roman"/>
          <w:sz w:val="24"/>
        </w:rPr>
        <w:t xml:space="preserve">we find </w:t>
      </w:r>
      <w:r w:rsidR="00705247">
        <w:rPr>
          <w:rFonts w:ascii="Times New Roman" w:hAnsi="Times New Roman" w:cs="Times New Roman"/>
          <w:sz w:val="24"/>
        </w:rPr>
        <w:t xml:space="preserve">that SPAC-IPOs are associated with lower </w:t>
      </w:r>
      <w:r w:rsidR="00765ECD">
        <w:rPr>
          <w:rFonts w:ascii="Times New Roman" w:hAnsi="Times New Roman" w:cs="Times New Roman"/>
          <w:sz w:val="24"/>
        </w:rPr>
        <w:t xml:space="preserve">earnings/accruals persistence </w:t>
      </w:r>
      <w:r w:rsidR="00705247">
        <w:rPr>
          <w:rFonts w:ascii="Times New Roman" w:hAnsi="Times New Roman" w:cs="Times New Roman"/>
          <w:sz w:val="24"/>
        </w:rPr>
        <w:t>than non-SPAC-IPOs.</w:t>
      </w:r>
      <w:r w:rsidR="00705247" w:rsidRPr="00A05F29">
        <w:rPr>
          <w:rFonts w:ascii="Times New Roman" w:hAnsi="Times New Roman" w:cs="Times New Roman"/>
          <w:sz w:val="24"/>
        </w:rPr>
        <w:t xml:space="preserve"> </w:t>
      </w:r>
      <w:r w:rsidR="00765ECD">
        <w:rPr>
          <w:rFonts w:ascii="Times New Roman" w:hAnsi="Times New Roman" w:cs="Times New Roman"/>
          <w:sz w:val="24"/>
        </w:rPr>
        <w:t>C</w:t>
      </w:r>
      <w:r w:rsidR="005D50C0">
        <w:rPr>
          <w:rFonts w:ascii="Times New Roman" w:hAnsi="Times New Roman" w:cs="Times New Roman"/>
          <w:sz w:val="24"/>
        </w:rPr>
        <w:t xml:space="preserve">onsistent with </w:t>
      </w:r>
      <w:r w:rsidR="00653480">
        <w:rPr>
          <w:rFonts w:ascii="Times New Roman" w:hAnsi="Times New Roman" w:cs="Times New Roman"/>
          <w:sz w:val="24"/>
        </w:rPr>
        <w:t>the</w:t>
      </w:r>
      <w:r w:rsidR="005D50C0">
        <w:rPr>
          <w:rFonts w:ascii="Times New Roman" w:hAnsi="Times New Roman" w:cs="Times New Roman"/>
          <w:sz w:val="24"/>
        </w:rPr>
        <w:t xml:space="preserve"> </w:t>
      </w:r>
      <w:r w:rsidR="00DD44D6">
        <w:rPr>
          <w:rFonts w:ascii="Times New Roman" w:hAnsi="Times New Roman" w:cs="Times New Roman"/>
          <w:sz w:val="24"/>
        </w:rPr>
        <w:t xml:space="preserve">third </w:t>
      </w:r>
      <w:r w:rsidR="00004768">
        <w:rPr>
          <w:rFonts w:ascii="Times New Roman" w:hAnsi="Times New Roman" w:cs="Times New Roman"/>
          <w:sz w:val="24"/>
        </w:rPr>
        <w:t xml:space="preserve">and fourth </w:t>
      </w:r>
      <w:r w:rsidR="005D50C0">
        <w:rPr>
          <w:rFonts w:ascii="Times New Roman" w:hAnsi="Times New Roman" w:cs="Times New Roman"/>
          <w:sz w:val="24"/>
        </w:rPr>
        <w:t>hypothes</w:t>
      </w:r>
      <w:r w:rsidR="00004768">
        <w:rPr>
          <w:rFonts w:ascii="Times New Roman" w:hAnsi="Times New Roman" w:cs="Times New Roman"/>
          <w:sz w:val="24"/>
        </w:rPr>
        <w:t>e</w:t>
      </w:r>
      <w:r w:rsidR="005D50C0">
        <w:rPr>
          <w:rFonts w:ascii="Times New Roman" w:hAnsi="Times New Roman" w:cs="Times New Roman"/>
          <w:sz w:val="24"/>
        </w:rPr>
        <w:t xml:space="preserve">s, we find </w:t>
      </w:r>
      <w:r w:rsidR="004641BE">
        <w:rPr>
          <w:rFonts w:ascii="Times New Roman" w:hAnsi="Times New Roman" w:cs="Times New Roman"/>
          <w:sz w:val="24"/>
        </w:rPr>
        <w:t xml:space="preserve">that SPAC-IPOs are </w:t>
      </w:r>
      <w:r w:rsidR="00F42871">
        <w:rPr>
          <w:rFonts w:ascii="Times New Roman" w:hAnsi="Times New Roman" w:cs="Times New Roman"/>
          <w:sz w:val="24"/>
        </w:rPr>
        <w:t xml:space="preserve">five times </w:t>
      </w:r>
      <w:r w:rsidR="00AF4322">
        <w:rPr>
          <w:rFonts w:ascii="Times New Roman" w:hAnsi="Times New Roman" w:cs="Times New Roman"/>
          <w:sz w:val="24"/>
        </w:rPr>
        <w:t xml:space="preserve">more </w:t>
      </w:r>
      <w:r w:rsidR="004641BE">
        <w:rPr>
          <w:rFonts w:ascii="Times New Roman" w:hAnsi="Times New Roman" w:cs="Times New Roman"/>
          <w:sz w:val="24"/>
        </w:rPr>
        <w:t xml:space="preserve">likely to </w:t>
      </w:r>
      <w:r w:rsidR="00A451D5">
        <w:rPr>
          <w:rFonts w:ascii="Times New Roman" w:hAnsi="Times New Roman" w:cs="Times New Roman"/>
          <w:sz w:val="24"/>
        </w:rPr>
        <w:t xml:space="preserve">avoid </w:t>
      </w:r>
      <w:r w:rsidR="004641BE">
        <w:rPr>
          <w:rFonts w:ascii="Times New Roman" w:hAnsi="Times New Roman" w:cs="Times New Roman"/>
          <w:sz w:val="24"/>
        </w:rPr>
        <w:t>list</w:t>
      </w:r>
      <w:r w:rsidR="00A451D5">
        <w:rPr>
          <w:rFonts w:ascii="Times New Roman" w:hAnsi="Times New Roman" w:cs="Times New Roman"/>
          <w:sz w:val="24"/>
        </w:rPr>
        <w:t>ing</w:t>
      </w:r>
      <w:r w:rsidR="004641BE">
        <w:rPr>
          <w:rFonts w:ascii="Times New Roman" w:hAnsi="Times New Roman" w:cs="Times New Roman"/>
          <w:sz w:val="24"/>
        </w:rPr>
        <w:t xml:space="preserve"> on </w:t>
      </w:r>
      <w:r w:rsidR="00A451D5">
        <w:rPr>
          <w:rFonts w:ascii="Times New Roman" w:hAnsi="Times New Roman" w:cs="Times New Roman"/>
          <w:sz w:val="24"/>
        </w:rPr>
        <w:t xml:space="preserve">the </w:t>
      </w:r>
      <w:r w:rsidR="00AF4322">
        <w:rPr>
          <w:rFonts w:ascii="Times New Roman" w:hAnsi="Times New Roman" w:cs="Times New Roman"/>
          <w:sz w:val="24"/>
        </w:rPr>
        <w:t xml:space="preserve">NYSE </w:t>
      </w:r>
      <w:r w:rsidR="00004768">
        <w:rPr>
          <w:rFonts w:ascii="Times New Roman" w:hAnsi="Times New Roman" w:cs="Times New Roman"/>
          <w:sz w:val="24"/>
        </w:rPr>
        <w:t xml:space="preserve">and to get delisted from a stock exchange </w:t>
      </w:r>
      <w:r w:rsidR="004641BE">
        <w:rPr>
          <w:rFonts w:ascii="Times New Roman" w:hAnsi="Times New Roman" w:cs="Times New Roman"/>
          <w:sz w:val="24"/>
        </w:rPr>
        <w:t>than non-SPAC-IPOs.</w:t>
      </w:r>
      <w:r w:rsidR="00705247" w:rsidRPr="00A05F29">
        <w:rPr>
          <w:rFonts w:ascii="Times New Roman" w:hAnsi="Times New Roman" w:cs="Times New Roman"/>
          <w:sz w:val="24"/>
        </w:rPr>
        <w:t xml:space="preserve"> </w:t>
      </w:r>
    </w:p>
    <w:p w14:paraId="71BDA5A7" w14:textId="33F3E9BF" w:rsidR="00C83839" w:rsidRDefault="00BC63E5" w:rsidP="00CF70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w:t>
      </w:r>
      <w:r w:rsidR="00CF70F6">
        <w:rPr>
          <w:rFonts w:ascii="Times New Roman" w:hAnsi="Times New Roman" w:cs="Times New Roman"/>
          <w:sz w:val="24"/>
          <w:szCs w:val="24"/>
        </w:rPr>
        <w:t xml:space="preserve">omitted correlated variables or differences </w:t>
      </w:r>
      <w:r w:rsidR="00C83839">
        <w:rPr>
          <w:rFonts w:ascii="Times New Roman" w:hAnsi="Times New Roman" w:cs="Times New Roman"/>
          <w:sz w:val="24"/>
          <w:szCs w:val="24"/>
        </w:rPr>
        <w:t xml:space="preserve">in </w:t>
      </w:r>
      <w:r w:rsidR="00C83839" w:rsidRPr="001A29B0">
        <w:rPr>
          <w:rFonts w:ascii="Times New Roman" w:hAnsi="Times New Roman" w:cs="Times New Roman"/>
          <w:sz w:val="24"/>
          <w:szCs w:val="24"/>
        </w:rPr>
        <w:t xml:space="preserve">firm characteristics </w:t>
      </w:r>
      <w:r w:rsidR="00C83839">
        <w:rPr>
          <w:rFonts w:ascii="Times New Roman" w:hAnsi="Times New Roman" w:cs="Times New Roman"/>
          <w:sz w:val="24"/>
          <w:szCs w:val="24"/>
        </w:rPr>
        <w:t>might also explain our results</w:t>
      </w:r>
      <w:r>
        <w:rPr>
          <w:rFonts w:ascii="Times New Roman" w:hAnsi="Times New Roman" w:cs="Times New Roman"/>
          <w:sz w:val="24"/>
          <w:szCs w:val="24"/>
        </w:rPr>
        <w:t>,</w:t>
      </w:r>
      <w:r w:rsidR="00C83839">
        <w:rPr>
          <w:rFonts w:ascii="Times New Roman" w:hAnsi="Times New Roman" w:cs="Times New Roman"/>
          <w:sz w:val="24"/>
          <w:szCs w:val="24"/>
        </w:rPr>
        <w:t xml:space="preserve"> we </w:t>
      </w:r>
      <w:r w:rsidR="00CF70F6">
        <w:rPr>
          <w:rFonts w:ascii="Times New Roman" w:hAnsi="Times New Roman" w:cs="Times New Roman"/>
          <w:sz w:val="24"/>
          <w:szCs w:val="24"/>
        </w:rPr>
        <w:t xml:space="preserve">perform </w:t>
      </w:r>
      <w:r w:rsidR="00765ECD">
        <w:rPr>
          <w:rFonts w:ascii="Times New Roman" w:hAnsi="Times New Roman" w:cs="Times New Roman"/>
          <w:sz w:val="24"/>
          <w:szCs w:val="24"/>
        </w:rPr>
        <w:t xml:space="preserve">two </w:t>
      </w:r>
      <w:r w:rsidR="00AB3B72">
        <w:rPr>
          <w:rFonts w:ascii="Times New Roman" w:hAnsi="Times New Roman" w:cs="Times New Roman"/>
          <w:sz w:val="24"/>
          <w:szCs w:val="24"/>
        </w:rPr>
        <w:t xml:space="preserve">distinct </w:t>
      </w:r>
      <w:r w:rsidR="00CF70F6">
        <w:rPr>
          <w:rFonts w:ascii="Times New Roman" w:hAnsi="Times New Roman" w:cs="Times New Roman"/>
          <w:sz w:val="24"/>
          <w:szCs w:val="24"/>
        </w:rPr>
        <w:t xml:space="preserve">tests. First, we </w:t>
      </w:r>
      <w:r w:rsidR="002F3930">
        <w:rPr>
          <w:rFonts w:ascii="Times New Roman" w:hAnsi="Times New Roman" w:cs="Times New Roman"/>
          <w:sz w:val="24"/>
          <w:szCs w:val="24"/>
        </w:rPr>
        <w:t xml:space="preserve">investigate </w:t>
      </w:r>
      <w:r w:rsidR="00D046A6">
        <w:rPr>
          <w:rFonts w:ascii="Times New Roman" w:hAnsi="Times New Roman" w:cs="Times New Roman"/>
          <w:sz w:val="24"/>
          <w:szCs w:val="24"/>
        </w:rPr>
        <w:t>cross</w:t>
      </w:r>
      <w:r w:rsidR="001C6730">
        <w:rPr>
          <w:rFonts w:ascii="Times New Roman" w:hAnsi="Times New Roman" w:cs="Times New Roman"/>
          <w:sz w:val="24"/>
          <w:szCs w:val="24"/>
        </w:rPr>
        <w:t>-</w:t>
      </w:r>
      <w:r w:rsidR="00D046A6">
        <w:rPr>
          <w:rFonts w:ascii="Times New Roman" w:hAnsi="Times New Roman" w:cs="Times New Roman"/>
          <w:sz w:val="24"/>
          <w:szCs w:val="24"/>
        </w:rPr>
        <w:t>sectional variations within the SPAC-IPO sample</w:t>
      </w:r>
      <w:r w:rsidR="00AB3B72">
        <w:rPr>
          <w:rFonts w:ascii="Times New Roman" w:hAnsi="Times New Roman" w:cs="Times New Roman"/>
          <w:sz w:val="24"/>
          <w:szCs w:val="24"/>
        </w:rPr>
        <w:t xml:space="preserve"> by drawing on agency </w:t>
      </w:r>
      <w:r w:rsidR="00006169">
        <w:rPr>
          <w:rFonts w:ascii="Times New Roman" w:hAnsi="Times New Roman" w:cs="Times New Roman"/>
          <w:sz w:val="24"/>
          <w:szCs w:val="24"/>
        </w:rPr>
        <w:t xml:space="preserve">and risk </w:t>
      </w:r>
      <w:r w:rsidR="00AB3B72">
        <w:rPr>
          <w:rFonts w:ascii="Times New Roman" w:hAnsi="Times New Roman" w:cs="Times New Roman"/>
          <w:sz w:val="24"/>
          <w:szCs w:val="24"/>
        </w:rPr>
        <w:t>considerations</w:t>
      </w:r>
      <w:r w:rsidR="00D046A6">
        <w:rPr>
          <w:rFonts w:ascii="Times New Roman" w:hAnsi="Times New Roman" w:cs="Times New Roman"/>
          <w:sz w:val="24"/>
          <w:szCs w:val="24"/>
        </w:rPr>
        <w:t>.</w:t>
      </w:r>
      <w:r w:rsidR="00CF70F6">
        <w:rPr>
          <w:rFonts w:ascii="Times New Roman" w:hAnsi="Times New Roman" w:cs="Times New Roman"/>
          <w:sz w:val="24"/>
          <w:szCs w:val="24"/>
        </w:rPr>
        <w:t xml:space="preserve"> </w:t>
      </w:r>
      <w:r w:rsidR="002F3930">
        <w:rPr>
          <w:rFonts w:ascii="Times New Roman" w:hAnsi="Times New Roman" w:cs="Times New Roman"/>
          <w:sz w:val="24"/>
          <w:szCs w:val="24"/>
        </w:rPr>
        <w:t xml:space="preserve">Agency and information problems </w:t>
      </w:r>
      <w:r>
        <w:rPr>
          <w:rFonts w:ascii="Times New Roman" w:hAnsi="Times New Roman" w:cs="Times New Roman"/>
          <w:sz w:val="24"/>
          <w:szCs w:val="24"/>
        </w:rPr>
        <w:t xml:space="preserve">are expected to be lower in </w:t>
      </w:r>
      <w:r w:rsidR="002F3930">
        <w:rPr>
          <w:rFonts w:ascii="Times New Roman" w:hAnsi="Times New Roman" w:cs="Times New Roman"/>
          <w:sz w:val="24"/>
          <w:szCs w:val="24"/>
        </w:rPr>
        <w:t xml:space="preserve">SPAC-IPOs when </w:t>
      </w:r>
      <w:r w:rsidR="00AB3B72">
        <w:rPr>
          <w:rFonts w:ascii="Times New Roman" w:hAnsi="Times New Roman" w:cs="Times New Roman"/>
          <w:sz w:val="24"/>
          <w:szCs w:val="24"/>
        </w:rPr>
        <w:t>sp</w:t>
      </w:r>
      <w:r w:rsidR="00CF70F6">
        <w:rPr>
          <w:rFonts w:ascii="Times New Roman" w:hAnsi="Times New Roman" w:cs="Times New Roman"/>
          <w:sz w:val="24"/>
          <w:szCs w:val="24"/>
        </w:rPr>
        <w:t>onsors serv</w:t>
      </w:r>
      <w:r w:rsidR="002F3930">
        <w:rPr>
          <w:rFonts w:ascii="Times New Roman" w:hAnsi="Times New Roman" w:cs="Times New Roman"/>
          <w:sz w:val="24"/>
          <w:szCs w:val="24"/>
        </w:rPr>
        <w:t xml:space="preserve">e </w:t>
      </w:r>
      <w:r w:rsidR="00AB3B72">
        <w:rPr>
          <w:rFonts w:ascii="Times New Roman" w:hAnsi="Times New Roman" w:cs="Times New Roman"/>
          <w:sz w:val="24"/>
          <w:szCs w:val="24"/>
        </w:rPr>
        <w:t>on the</w:t>
      </w:r>
      <w:r>
        <w:rPr>
          <w:rFonts w:ascii="Times New Roman" w:hAnsi="Times New Roman" w:cs="Times New Roman"/>
          <w:sz w:val="24"/>
          <w:szCs w:val="24"/>
        </w:rPr>
        <w:t>ir</w:t>
      </w:r>
      <w:r w:rsidR="00AB3B72">
        <w:rPr>
          <w:rFonts w:ascii="Times New Roman" w:hAnsi="Times New Roman" w:cs="Times New Roman"/>
          <w:sz w:val="24"/>
          <w:szCs w:val="24"/>
        </w:rPr>
        <w:t xml:space="preserve"> board</w:t>
      </w:r>
      <w:r>
        <w:rPr>
          <w:rFonts w:ascii="Times New Roman" w:hAnsi="Times New Roman" w:cs="Times New Roman"/>
          <w:sz w:val="24"/>
          <w:szCs w:val="24"/>
        </w:rPr>
        <w:t>s</w:t>
      </w:r>
      <w:r w:rsidR="00AB3B72">
        <w:rPr>
          <w:rFonts w:ascii="Times New Roman" w:hAnsi="Times New Roman" w:cs="Times New Roman"/>
          <w:sz w:val="24"/>
          <w:szCs w:val="24"/>
        </w:rPr>
        <w:t xml:space="preserve"> </w:t>
      </w:r>
      <w:r w:rsidR="004E58F9">
        <w:rPr>
          <w:rFonts w:ascii="Times New Roman" w:hAnsi="Times New Roman" w:cs="Times New Roman"/>
          <w:sz w:val="24"/>
          <w:szCs w:val="24"/>
        </w:rPr>
        <w:t xml:space="preserve">and act as internal monitors </w:t>
      </w:r>
      <w:r w:rsidR="002F3930">
        <w:rPr>
          <w:rFonts w:ascii="Times New Roman" w:hAnsi="Times New Roman" w:cs="Times New Roman"/>
          <w:sz w:val="24"/>
          <w:szCs w:val="24"/>
        </w:rPr>
        <w:t xml:space="preserve">than when they do not. </w:t>
      </w:r>
      <w:r w:rsidR="004E58F9">
        <w:rPr>
          <w:rFonts w:ascii="Times New Roman" w:hAnsi="Times New Roman" w:cs="Times New Roman"/>
          <w:sz w:val="24"/>
          <w:szCs w:val="24"/>
        </w:rPr>
        <w:t>Similarly, agency</w:t>
      </w:r>
      <w:r w:rsidR="00EF2F96">
        <w:rPr>
          <w:rFonts w:ascii="Times New Roman" w:hAnsi="Times New Roman" w:cs="Times New Roman"/>
          <w:sz w:val="24"/>
          <w:szCs w:val="24"/>
        </w:rPr>
        <w:t>/</w:t>
      </w:r>
      <w:r w:rsidR="004E58F9">
        <w:rPr>
          <w:rFonts w:ascii="Times New Roman" w:hAnsi="Times New Roman" w:cs="Times New Roman"/>
          <w:sz w:val="24"/>
          <w:szCs w:val="24"/>
        </w:rPr>
        <w:t xml:space="preserve">information problems </w:t>
      </w:r>
      <w:r>
        <w:rPr>
          <w:rFonts w:ascii="Times New Roman" w:hAnsi="Times New Roman" w:cs="Times New Roman"/>
          <w:sz w:val="24"/>
          <w:szCs w:val="24"/>
        </w:rPr>
        <w:t xml:space="preserve">are expected to be lower in </w:t>
      </w:r>
      <w:r w:rsidR="004E58F9">
        <w:rPr>
          <w:rFonts w:ascii="Times New Roman" w:hAnsi="Times New Roman" w:cs="Times New Roman"/>
          <w:sz w:val="24"/>
          <w:szCs w:val="24"/>
        </w:rPr>
        <w:t xml:space="preserve">SPAC-IPOs when </w:t>
      </w:r>
      <w:r w:rsidR="00EF2F96">
        <w:rPr>
          <w:rFonts w:ascii="Times New Roman" w:hAnsi="Times New Roman" w:cs="Times New Roman"/>
          <w:sz w:val="24"/>
          <w:szCs w:val="24"/>
        </w:rPr>
        <w:t xml:space="preserve">a </w:t>
      </w:r>
      <w:r>
        <w:rPr>
          <w:rFonts w:ascii="Times New Roman" w:hAnsi="Times New Roman" w:cs="Times New Roman"/>
          <w:sz w:val="24"/>
          <w:szCs w:val="24"/>
        </w:rPr>
        <w:t xml:space="preserve">de-SPAC involves </w:t>
      </w:r>
      <w:r w:rsidR="004E58F9">
        <w:rPr>
          <w:rFonts w:ascii="Times New Roman" w:hAnsi="Times New Roman" w:cs="Times New Roman"/>
          <w:sz w:val="24"/>
          <w:szCs w:val="24"/>
        </w:rPr>
        <w:t>PIPE</w:t>
      </w:r>
      <w:r w:rsidR="008F2058">
        <w:rPr>
          <w:rFonts w:ascii="Times New Roman" w:hAnsi="Times New Roman" w:cs="Times New Roman"/>
          <w:sz w:val="24"/>
          <w:szCs w:val="24"/>
        </w:rPr>
        <w:t xml:space="preserve"> (</w:t>
      </w:r>
      <w:r w:rsidR="008F2058" w:rsidRPr="008F2058">
        <w:rPr>
          <w:rFonts w:ascii="Times New Roman" w:hAnsi="Times New Roman" w:cs="Times New Roman"/>
          <w:sz w:val="24"/>
          <w:szCs w:val="24"/>
        </w:rPr>
        <w:t>private investment in public equity</w:t>
      </w:r>
      <w:r w:rsidR="008F2058">
        <w:rPr>
          <w:rFonts w:ascii="Times New Roman" w:hAnsi="Times New Roman" w:cs="Times New Roman"/>
          <w:sz w:val="24"/>
          <w:szCs w:val="24"/>
        </w:rPr>
        <w:t>)</w:t>
      </w:r>
      <w:r w:rsidR="004E58F9">
        <w:rPr>
          <w:rFonts w:ascii="Times New Roman" w:hAnsi="Times New Roman" w:cs="Times New Roman"/>
          <w:sz w:val="24"/>
          <w:szCs w:val="24"/>
        </w:rPr>
        <w:t xml:space="preserve"> </w:t>
      </w:r>
      <w:r w:rsidR="00653480">
        <w:rPr>
          <w:rFonts w:ascii="Times New Roman" w:hAnsi="Times New Roman" w:cs="Times New Roman"/>
          <w:sz w:val="24"/>
          <w:szCs w:val="24"/>
        </w:rPr>
        <w:t>transactions</w:t>
      </w:r>
      <w:r>
        <w:rPr>
          <w:rFonts w:ascii="Times New Roman" w:hAnsi="Times New Roman" w:cs="Times New Roman"/>
          <w:sz w:val="24"/>
          <w:szCs w:val="24"/>
        </w:rPr>
        <w:t xml:space="preserve">. </w:t>
      </w:r>
      <w:r w:rsidR="004E58F9">
        <w:rPr>
          <w:rFonts w:ascii="Times New Roman" w:hAnsi="Times New Roman" w:cs="Times New Roman"/>
          <w:sz w:val="24"/>
          <w:szCs w:val="24"/>
        </w:rPr>
        <w:t>PIPE</w:t>
      </w:r>
      <w:r>
        <w:rPr>
          <w:rFonts w:ascii="Times New Roman" w:hAnsi="Times New Roman" w:cs="Times New Roman"/>
          <w:sz w:val="24"/>
          <w:szCs w:val="24"/>
        </w:rPr>
        <w:t>s</w:t>
      </w:r>
      <w:r w:rsidR="004E58F9">
        <w:rPr>
          <w:rFonts w:ascii="Times New Roman" w:hAnsi="Times New Roman" w:cs="Times New Roman"/>
          <w:sz w:val="24"/>
          <w:szCs w:val="24"/>
        </w:rPr>
        <w:t xml:space="preserve"> </w:t>
      </w:r>
      <w:r w:rsidR="00EF2F96">
        <w:rPr>
          <w:rFonts w:ascii="Times New Roman" w:hAnsi="Times New Roman" w:cs="Times New Roman"/>
          <w:sz w:val="24"/>
          <w:szCs w:val="24"/>
        </w:rPr>
        <w:t xml:space="preserve">can act </w:t>
      </w:r>
      <w:r w:rsidR="004E58F9">
        <w:rPr>
          <w:rFonts w:ascii="Times New Roman" w:hAnsi="Times New Roman" w:cs="Times New Roman"/>
          <w:sz w:val="24"/>
          <w:szCs w:val="24"/>
        </w:rPr>
        <w:t xml:space="preserve">as external monitors </w:t>
      </w:r>
      <w:r w:rsidR="001317FA">
        <w:rPr>
          <w:rFonts w:ascii="Times New Roman" w:hAnsi="Times New Roman" w:cs="Times New Roman"/>
          <w:sz w:val="24"/>
          <w:szCs w:val="24"/>
        </w:rPr>
        <w:t xml:space="preserve">and </w:t>
      </w:r>
      <w:r w:rsidR="000248AA" w:rsidRPr="00353B62">
        <w:rPr>
          <w:rFonts w:ascii="Times New Roman" w:hAnsi="Times New Roman" w:cs="Times New Roman"/>
          <w:sz w:val="24"/>
          <w:szCs w:val="24"/>
        </w:rPr>
        <w:t>demand greater transparency/higher quality from SPAC-IPO management</w:t>
      </w:r>
      <w:r w:rsidR="004E58F9">
        <w:rPr>
          <w:rFonts w:ascii="Times New Roman" w:hAnsi="Times New Roman" w:cs="Times New Roman"/>
          <w:sz w:val="24"/>
          <w:szCs w:val="24"/>
        </w:rPr>
        <w:t xml:space="preserve">. </w:t>
      </w:r>
      <w:r w:rsidR="00F16902">
        <w:rPr>
          <w:rFonts w:ascii="Times New Roman" w:hAnsi="Times New Roman" w:cs="Times New Roman"/>
          <w:sz w:val="24"/>
          <w:szCs w:val="24"/>
        </w:rPr>
        <w:t xml:space="preserve">Also, because a SPAC must find a merger target within two years of its formation, a target merging soon after </w:t>
      </w:r>
      <w:r w:rsidR="003C70FA">
        <w:rPr>
          <w:rFonts w:ascii="Times New Roman" w:hAnsi="Times New Roman" w:cs="Times New Roman"/>
          <w:sz w:val="24"/>
          <w:szCs w:val="24"/>
        </w:rPr>
        <w:t xml:space="preserve">the </w:t>
      </w:r>
      <w:r w:rsidR="00F16902">
        <w:rPr>
          <w:rFonts w:ascii="Times New Roman" w:hAnsi="Times New Roman" w:cs="Times New Roman"/>
          <w:sz w:val="24"/>
          <w:szCs w:val="24"/>
        </w:rPr>
        <w:t>formation of a SPAC is likely to be less risky than one that merg</w:t>
      </w:r>
      <w:r w:rsidR="00006169">
        <w:rPr>
          <w:rFonts w:ascii="Times New Roman" w:hAnsi="Times New Roman" w:cs="Times New Roman"/>
          <w:sz w:val="24"/>
          <w:szCs w:val="24"/>
        </w:rPr>
        <w:t xml:space="preserve">es </w:t>
      </w:r>
      <w:r w:rsidR="006E5047">
        <w:rPr>
          <w:rFonts w:ascii="Times New Roman" w:hAnsi="Times New Roman" w:cs="Times New Roman"/>
          <w:sz w:val="24"/>
          <w:szCs w:val="24"/>
        </w:rPr>
        <w:t xml:space="preserve">with </w:t>
      </w:r>
      <w:r w:rsidR="00006169">
        <w:rPr>
          <w:rFonts w:ascii="Times New Roman" w:hAnsi="Times New Roman" w:cs="Times New Roman"/>
          <w:sz w:val="24"/>
          <w:szCs w:val="24"/>
        </w:rPr>
        <w:t xml:space="preserve">a </w:t>
      </w:r>
      <w:r w:rsidR="006E5047">
        <w:rPr>
          <w:rFonts w:ascii="Times New Roman" w:hAnsi="Times New Roman" w:cs="Times New Roman"/>
          <w:sz w:val="24"/>
          <w:szCs w:val="24"/>
        </w:rPr>
        <w:t>SPAC at a l</w:t>
      </w:r>
      <w:r w:rsidR="003C70FA">
        <w:rPr>
          <w:rFonts w:ascii="Times New Roman" w:hAnsi="Times New Roman" w:cs="Times New Roman"/>
          <w:sz w:val="24"/>
          <w:szCs w:val="24"/>
        </w:rPr>
        <w:t>ater</w:t>
      </w:r>
      <w:r w:rsidR="006E5047">
        <w:rPr>
          <w:rFonts w:ascii="Times New Roman" w:hAnsi="Times New Roman" w:cs="Times New Roman"/>
          <w:sz w:val="24"/>
          <w:szCs w:val="24"/>
        </w:rPr>
        <w:t xml:space="preserve"> date</w:t>
      </w:r>
      <w:r w:rsidR="003C70FA">
        <w:rPr>
          <w:rFonts w:ascii="Times New Roman" w:hAnsi="Times New Roman" w:cs="Times New Roman"/>
          <w:sz w:val="24"/>
          <w:szCs w:val="24"/>
        </w:rPr>
        <w:t xml:space="preserve">. </w:t>
      </w:r>
      <w:r w:rsidR="00006169">
        <w:rPr>
          <w:rFonts w:ascii="Times New Roman" w:hAnsi="Times New Roman" w:cs="Times New Roman"/>
          <w:sz w:val="24"/>
          <w:szCs w:val="24"/>
        </w:rPr>
        <w:t>Our expectation is that t</w:t>
      </w:r>
      <w:r w:rsidR="003C70FA">
        <w:rPr>
          <w:rFonts w:ascii="Times New Roman" w:hAnsi="Times New Roman" w:cs="Times New Roman"/>
          <w:sz w:val="24"/>
          <w:szCs w:val="24"/>
        </w:rPr>
        <w:t>he demand for audit</w:t>
      </w:r>
      <w:r w:rsidR="00006169">
        <w:rPr>
          <w:rFonts w:ascii="Times New Roman" w:hAnsi="Times New Roman" w:cs="Times New Roman"/>
          <w:sz w:val="24"/>
          <w:szCs w:val="24"/>
        </w:rPr>
        <w:t>-,</w:t>
      </w:r>
      <w:r w:rsidR="003C70FA">
        <w:rPr>
          <w:rFonts w:ascii="Times New Roman" w:hAnsi="Times New Roman" w:cs="Times New Roman"/>
          <w:sz w:val="24"/>
          <w:szCs w:val="24"/>
        </w:rPr>
        <w:t xml:space="preserve"> control</w:t>
      </w:r>
      <w:r w:rsidR="00006169">
        <w:rPr>
          <w:rFonts w:ascii="Times New Roman" w:hAnsi="Times New Roman" w:cs="Times New Roman"/>
          <w:sz w:val="24"/>
          <w:szCs w:val="24"/>
        </w:rPr>
        <w:t>-</w:t>
      </w:r>
      <w:r w:rsidR="003C70FA">
        <w:rPr>
          <w:rFonts w:ascii="Times New Roman" w:hAnsi="Times New Roman" w:cs="Times New Roman"/>
          <w:sz w:val="24"/>
          <w:szCs w:val="24"/>
        </w:rPr>
        <w:t xml:space="preserve"> and reporting</w:t>
      </w:r>
      <w:r w:rsidR="00006169">
        <w:rPr>
          <w:rFonts w:ascii="Times New Roman" w:hAnsi="Times New Roman" w:cs="Times New Roman"/>
          <w:sz w:val="24"/>
          <w:szCs w:val="24"/>
        </w:rPr>
        <w:t>-quality</w:t>
      </w:r>
      <w:r w:rsidR="003C70FA">
        <w:rPr>
          <w:rFonts w:ascii="Times New Roman" w:hAnsi="Times New Roman" w:cs="Times New Roman"/>
          <w:sz w:val="24"/>
          <w:szCs w:val="24"/>
        </w:rPr>
        <w:t xml:space="preserve"> vary with differences in agency</w:t>
      </w:r>
      <w:r w:rsidR="006E5047">
        <w:rPr>
          <w:rFonts w:ascii="Times New Roman" w:hAnsi="Times New Roman" w:cs="Times New Roman"/>
          <w:sz w:val="24"/>
          <w:szCs w:val="24"/>
        </w:rPr>
        <w:t xml:space="preserve"> problems</w:t>
      </w:r>
      <w:r w:rsidR="003C70FA">
        <w:rPr>
          <w:rFonts w:ascii="Times New Roman" w:hAnsi="Times New Roman" w:cs="Times New Roman"/>
          <w:sz w:val="24"/>
          <w:szCs w:val="24"/>
        </w:rPr>
        <w:t xml:space="preserve"> and risk. </w:t>
      </w:r>
      <w:r w:rsidR="00CF70F6">
        <w:rPr>
          <w:rFonts w:ascii="Times New Roman" w:hAnsi="Times New Roman" w:cs="Times New Roman"/>
          <w:sz w:val="24"/>
          <w:szCs w:val="24"/>
        </w:rPr>
        <w:t xml:space="preserve">Second, we replicate our results using </w:t>
      </w:r>
      <w:r w:rsidR="00C83839">
        <w:rPr>
          <w:rFonts w:ascii="Times New Roman" w:hAnsi="Times New Roman" w:cs="Times New Roman"/>
          <w:sz w:val="24"/>
          <w:szCs w:val="24"/>
        </w:rPr>
        <w:t>entropy balancing</w:t>
      </w:r>
      <w:r w:rsidR="00CF70F6">
        <w:rPr>
          <w:rFonts w:ascii="Times New Roman" w:hAnsi="Times New Roman" w:cs="Times New Roman"/>
          <w:sz w:val="24"/>
          <w:szCs w:val="24"/>
        </w:rPr>
        <w:t xml:space="preserve"> </w:t>
      </w:r>
      <w:r w:rsidR="00C83839" w:rsidRPr="001A29B0">
        <w:rPr>
          <w:rFonts w:ascii="Times New Roman" w:hAnsi="Times New Roman" w:cs="Times New Roman"/>
          <w:sz w:val="24"/>
          <w:szCs w:val="24"/>
        </w:rPr>
        <w:t>(e.g., Chapman</w:t>
      </w:r>
      <w:r w:rsidR="00C83839">
        <w:rPr>
          <w:rFonts w:ascii="Times New Roman" w:hAnsi="Times New Roman" w:cs="Times New Roman"/>
          <w:sz w:val="24"/>
          <w:szCs w:val="24"/>
        </w:rPr>
        <w:t xml:space="preserve"> et al.</w:t>
      </w:r>
      <w:r w:rsidR="00C83839" w:rsidRPr="001A29B0">
        <w:rPr>
          <w:rFonts w:ascii="Times New Roman" w:hAnsi="Times New Roman" w:cs="Times New Roman"/>
          <w:sz w:val="24"/>
          <w:szCs w:val="24"/>
        </w:rPr>
        <w:t xml:space="preserve"> 2019; Francis and Wang 2021; McMullin and Schonberger 2020). </w:t>
      </w:r>
      <w:r w:rsidR="00CF70F6">
        <w:rPr>
          <w:rFonts w:ascii="Times New Roman" w:hAnsi="Times New Roman" w:cs="Times New Roman"/>
          <w:sz w:val="24"/>
          <w:szCs w:val="24"/>
        </w:rPr>
        <w:t xml:space="preserve">We find </w:t>
      </w:r>
      <w:r w:rsidR="006E5047">
        <w:rPr>
          <w:rFonts w:ascii="Times New Roman" w:hAnsi="Times New Roman" w:cs="Times New Roman"/>
          <w:sz w:val="24"/>
          <w:szCs w:val="24"/>
        </w:rPr>
        <w:t xml:space="preserve">mostly </w:t>
      </w:r>
      <w:r w:rsidR="00CF70F6">
        <w:rPr>
          <w:rFonts w:ascii="Times New Roman" w:hAnsi="Times New Roman" w:cs="Times New Roman"/>
          <w:sz w:val="24"/>
          <w:szCs w:val="24"/>
        </w:rPr>
        <w:t>consistent results from the added tests.</w:t>
      </w:r>
    </w:p>
    <w:p w14:paraId="7EAC67DC" w14:textId="11C35C6E" w:rsidR="0090110A" w:rsidRDefault="00365BA5" w:rsidP="009011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To </w:t>
      </w:r>
      <w:r w:rsidR="00653480">
        <w:rPr>
          <w:rFonts w:ascii="Times New Roman" w:hAnsi="Times New Roman" w:cs="Times New Roman"/>
          <w:sz w:val="24"/>
        </w:rPr>
        <w:t>assess</w:t>
      </w:r>
      <w:r>
        <w:rPr>
          <w:rFonts w:ascii="Times New Roman" w:hAnsi="Times New Roman" w:cs="Times New Roman"/>
          <w:sz w:val="24"/>
        </w:rPr>
        <w:t xml:space="preserve"> the magnitude of the information risk confronting SPACs</w:t>
      </w:r>
      <w:r w:rsidR="0073150E">
        <w:rPr>
          <w:rFonts w:ascii="Times New Roman" w:hAnsi="Times New Roman" w:cs="Times New Roman"/>
          <w:sz w:val="24"/>
        </w:rPr>
        <w:t xml:space="preserve"> across all the risk metrics</w:t>
      </w:r>
      <w:r>
        <w:rPr>
          <w:rFonts w:ascii="Times New Roman" w:hAnsi="Times New Roman" w:cs="Times New Roman"/>
          <w:sz w:val="24"/>
        </w:rPr>
        <w:t>, w</w:t>
      </w:r>
      <w:r w:rsidR="007F0135">
        <w:rPr>
          <w:rFonts w:ascii="Times New Roman" w:hAnsi="Times New Roman" w:cs="Times New Roman"/>
          <w:sz w:val="24"/>
        </w:rPr>
        <w:t>e construct an aggregate information risk score (</w:t>
      </w:r>
      <w:r w:rsidR="007F0135" w:rsidRPr="00625EAF">
        <w:rPr>
          <w:rFonts w:ascii="Times New Roman" w:hAnsi="Times New Roman" w:cs="Times New Roman"/>
          <w:i/>
          <w:sz w:val="24"/>
        </w:rPr>
        <w:t>RISK</w:t>
      </w:r>
      <w:r w:rsidR="007F0135">
        <w:rPr>
          <w:rFonts w:ascii="Times New Roman" w:hAnsi="Times New Roman" w:cs="Times New Roman"/>
          <w:sz w:val="24"/>
        </w:rPr>
        <w:t xml:space="preserve">) by combining </w:t>
      </w:r>
      <w:r w:rsidR="007F0135">
        <w:rPr>
          <w:rFonts w:ascii="Times New Roman" w:hAnsi="Times New Roman" w:cs="Times New Roman"/>
          <w:sz w:val="24"/>
          <w:szCs w:val="24"/>
        </w:rPr>
        <w:t xml:space="preserve">our </w:t>
      </w:r>
      <w:r w:rsidR="00B15892">
        <w:rPr>
          <w:rFonts w:ascii="Times New Roman" w:hAnsi="Times New Roman" w:cs="Times New Roman"/>
          <w:sz w:val="24"/>
          <w:szCs w:val="24"/>
        </w:rPr>
        <w:t xml:space="preserve">individual </w:t>
      </w:r>
      <w:r w:rsidR="007F0135">
        <w:rPr>
          <w:rFonts w:ascii="Times New Roman" w:hAnsi="Times New Roman" w:cs="Times New Roman"/>
          <w:sz w:val="24"/>
          <w:szCs w:val="24"/>
        </w:rPr>
        <w:t>information risk proxies.</w:t>
      </w:r>
      <w:r w:rsidR="00FD11C8">
        <w:rPr>
          <w:rStyle w:val="FootnoteReference"/>
          <w:rFonts w:ascii="Times New Roman" w:hAnsi="Times New Roman" w:cs="Times New Roman"/>
          <w:sz w:val="24"/>
          <w:szCs w:val="24"/>
        </w:rPr>
        <w:footnoteReference w:id="8"/>
      </w:r>
      <w:r w:rsidR="007F0135">
        <w:rPr>
          <w:rFonts w:ascii="Times New Roman" w:hAnsi="Times New Roman" w:cs="Times New Roman"/>
          <w:sz w:val="24"/>
          <w:szCs w:val="24"/>
        </w:rPr>
        <w:t xml:space="preserve"> </w:t>
      </w:r>
      <w:r w:rsidR="007F0135" w:rsidRPr="007F0135">
        <w:rPr>
          <w:rFonts w:ascii="Times New Roman" w:hAnsi="Times New Roman" w:cs="Times New Roman"/>
          <w:i/>
          <w:sz w:val="24"/>
          <w:szCs w:val="24"/>
        </w:rPr>
        <w:t>RISK</w:t>
      </w:r>
      <w:r w:rsidR="007F0135">
        <w:rPr>
          <w:rFonts w:ascii="Times New Roman" w:hAnsi="Times New Roman" w:cs="Times New Roman"/>
          <w:sz w:val="24"/>
          <w:szCs w:val="24"/>
        </w:rPr>
        <w:t xml:space="preserve"> is </w:t>
      </w:r>
      <w:r w:rsidR="006817C2">
        <w:rPr>
          <w:rFonts w:ascii="Times New Roman" w:hAnsi="Times New Roman" w:cs="Times New Roman"/>
          <w:sz w:val="24"/>
          <w:szCs w:val="24"/>
        </w:rPr>
        <w:t>71</w:t>
      </w:r>
      <w:r w:rsidR="007F0135">
        <w:rPr>
          <w:rFonts w:ascii="Times New Roman" w:hAnsi="Times New Roman" w:cs="Times New Roman"/>
          <w:sz w:val="24"/>
        </w:rPr>
        <w:t xml:space="preserve">% higher for SPAC-IPOs than for non-SPAC-IPO for the </w:t>
      </w:r>
      <w:r w:rsidR="00653480">
        <w:rPr>
          <w:rFonts w:ascii="Times New Roman" w:hAnsi="Times New Roman" w:cs="Times New Roman"/>
          <w:sz w:val="24"/>
        </w:rPr>
        <w:t xml:space="preserve">initial </w:t>
      </w:r>
      <w:r w:rsidR="007F0135">
        <w:rPr>
          <w:rFonts w:ascii="Times New Roman" w:hAnsi="Times New Roman" w:cs="Times New Roman"/>
          <w:sz w:val="24"/>
        </w:rPr>
        <w:t xml:space="preserve">year (Year t). For the Year t+1 (t+2), </w:t>
      </w:r>
      <w:r w:rsidR="007F0135" w:rsidRPr="007F0135">
        <w:rPr>
          <w:rFonts w:ascii="Times New Roman" w:hAnsi="Times New Roman" w:cs="Times New Roman"/>
          <w:i/>
          <w:sz w:val="24"/>
        </w:rPr>
        <w:t>RISK</w:t>
      </w:r>
      <w:r w:rsidR="007F0135">
        <w:rPr>
          <w:rFonts w:ascii="Times New Roman" w:hAnsi="Times New Roman" w:cs="Times New Roman"/>
          <w:sz w:val="24"/>
        </w:rPr>
        <w:t xml:space="preserve"> is </w:t>
      </w:r>
      <w:r w:rsidR="006817C2">
        <w:rPr>
          <w:rFonts w:ascii="Times New Roman" w:hAnsi="Times New Roman" w:cs="Times New Roman"/>
          <w:sz w:val="24"/>
        </w:rPr>
        <w:t>77</w:t>
      </w:r>
      <w:r w:rsidR="007F0135">
        <w:rPr>
          <w:rFonts w:ascii="Times New Roman" w:hAnsi="Times New Roman" w:cs="Times New Roman"/>
          <w:sz w:val="24"/>
        </w:rPr>
        <w:t>% (</w:t>
      </w:r>
      <w:r w:rsidR="006817C2">
        <w:rPr>
          <w:rFonts w:ascii="Times New Roman" w:hAnsi="Times New Roman" w:cs="Times New Roman"/>
          <w:sz w:val="24"/>
        </w:rPr>
        <w:t>82</w:t>
      </w:r>
      <w:r w:rsidR="007F0135">
        <w:rPr>
          <w:rFonts w:ascii="Times New Roman" w:hAnsi="Times New Roman" w:cs="Times New Roman"/>
          <w:sz w:val="24"/>
        </w:rPr>
        <w:t xml:space="preserve">%) higher for SPAC-IPOs than for </w:t>
      </w:r>
      <w:r w:rsidR="007F0135">
        <w:rPr>
          <w:rFonts w:ascii="Times New Roman" w:hAnsi="Times New Roman" w:cs="Times New Roman"/>
          <w:sz w:val="24"/>
        </w:rPr>
        <w:lastRenderedPageBreak/>
        <w:t xml:space="preserve">non-SPAC-IPO. </w:t>
      </w:r>
      <w:r w:rsidR="006817C2">
        <w:rPr>
          <w:rFonts w:ascii="Times New Roman" w:hAnsi="Times New Roman" w:cs="Times New Roman"/>
          <w:sz w:val="24"/>
        </w:rPr>
        <w:t xml:space="preserve">Thus, </w:t>
      </w:r>
      <w:r w:rsidR="007F0135">
        <w:rPr>
          <w:rFonts w:ascii="Times New Roman" w:hAnsi="Times New Roman" w:cs="Times New Roman"/>
          <w:sz w:val="24"/>
        </w:rPr>
        <w:t xml:space="preserve">the heightened </w:t>
      </w:r>
      <w:r w:rsidR="006817C2">
        <w:rPr>
          <w:rFonts w:ascii="Times New Roman" w:hAnsi="Times New Roman" w:cs="Times New Roman"/>
          <w:sz w:val="24"/>
        </w:rPr>
        <w:t xml:space="preserve">SPAC-IPO </w:t>
      </w:r>
      <w:r w:rsidR="007F0135">
        <w:rPr>
          <w:rFonts w:ascii="Times New Roman" w:hAnsi="Times New Roman" w:cs="Times New Roman"/>
          <w:sz w:val="24"/>
        </w:rPr>
        <w:t>information risk does not dissipate</w:t>
      </w:r>
      <w:r w:rsidR="006817C2">
        <w:rPr>
          <w:rFonts w:ascii="Times New Roman" w:hAnsi="Times New Roman" w:cs="Times New Roman"/>
          <w:sz w:val="24"/>
        </w:rPr>
        <w:t xml:space="preserve">, rather it increases </w:t>
      </w:r>
      <w:r w:rsidR="009B6F16">
        <w:rPr>
          <w:rFonts w:ascii="Times New Roman" w:hAnsi="Times New Roman" w:cs="Times New Roman"/>
          <w:sz w:val="24"/>
        </w:rPr>
        <w:t xml:space="preserve">monotonically </w:t>
      </w:r>
      <w:r w:rsidR="007F0135">
        <w:rPr>
          <w:rFonts w:ascii="Times New Roman" w:hAnsi="Times New Roman" w:cs="Times New Roman"/>
          <w:sz w:val="24"/>
        </w:rPr>
        <w:t xml:space="preserve">for </w:t>
      </w:r>
      <w:r w:rsidR="006817C2">
        <w:rPr>
          <w:rFonts w:ascii="Times New Roman" w:hAnsi="Times New Roman" w:cs="Times New Roman"/>
          <w:sz w:val="24"/>
        </w:rPr>
        <w:t xml:space="preserve">the three </w:t>
      </w:r>
      <w:r w:rsidR="007F0135">
        <w:rPr>
          <w:rFonts w:ascii="Times New Roman" w:hAnsi="Times New Roman" w:cs="Times New Roman"/>
          <w:sz w:val="24"/>
        </w:rPr>
        <w:t xml:space="preserve">post-IPO years. </w:t>
      </w:r>
      <w:r w:rsidR="00956AE3">
        <w:rPr>
          <w:rFonts w:ascii="Times New Roman" w:hAnsi="Times New Roman" w:cs="Times New Roman"/>
          <w:sz w:val="24"/>
        </w:rPr>
        <w:t xml:space="preserve">Finally, </w:t>
      </w:r>
      <w:r w:rsidR="00F65640">
        <w:rPr>
          <w:rFonts w:ascii="Times New Roman" w:hAnsi="Times New Roman" w:cs="Times New Roman"/>
          <w:sz w:val="24"/>
        </w:rPr>
        <w:t xml:space="preserve">as in prior studies, </w:t>
      </w:r>
      <w:r w:rsidR="007F0135">
        <w:rPr>
          <w:rFonts w:ascii="Times New Roman" w:hAnsi="Times New Roman" w:cs="Times New Roman"/>
          <w:sz w:val="24"/>
          <w:szCs w:val="24"/>
        </w:rPr>
        <w:t>we find t</w:t>
      </w:r>
      <w:r w:rsidR="00822675">
        <w:rPr>
          <w:rFonts w:ascii="Times New Roman" w:hAnsi="Times New Roman" w:cs="Times New Roman"/>
          <w:sz w:val="24"/>
          <w:szCs w:val="24"/>
        </w:rPr>
        <w:t xml:space="preserve">hat </w:t>
      </w:r>
      <w:r w:rsidR="007F0135">
        <w:rPr>
          <w:rFonts w:ascii="Times New Roman" w:hAnsi="Times New Roman" w:cs="Times New Roman"/>
          <w:sz w:val="24"/>
          <w:szCs w:val="24"/>
        </w:rPr>
        <w:t xml:space="preserve">SPAC-IPOs underperform following their merger with SPACs. </w:t>
      </w:r>
      <w:r w:rsidR="0090110A">
        <w:rPr>
          <w:rFonts w:ascii="Times New Roman" w:hAnsi="Times New Roman" w:cs="Times New Roman"/>
          <w:sz w:val="24"/>
          <w:szCs w:val="24"/>
        </w:rPr>
        <w:t xml:space="preserve">More importantly, we document a robust relationship between </w:t>
      </w:r>
      <w:r w:rsidR="001317FA" w:rsidRPr="007F0135">
        <w:rPr>
          <w:rFonts w:ascii="Times New Roman" w:hAnsi="Times New Roman" w:cs="Times New Roman"/>
          <w:i/>
          <w:sz w:val="24"/>
          <w:szCs w:val="24"/>
        </w:rPr>
        <w:t>RISK</w:t>
      </w:r>
      <w:r w:rsidR="001317FA">
        <w:rPr>
          <w:rFonts w:ascii="Times New Roman" w:hAnsi="Times New Roman" w:cs="Times New Roman"/>
          <w:sz w:val="24"/>
          <w:szCs w:val="24"/>
        </w:rPr>
        <w:t xml:space="preserve"> </w:t>
      </w:r>
      <w:r w:rsidR="0090110A">
        <w:rPr>
          <w:rFonts w:ascii="Times New Roman" w:hAnsi="Times New Roman" w:cs="Times New Roman"/>
          <w:sz w:val="24"/>
          <w:szCs w:val="24"/>
        </w:rPr>
        <w:t xml:space="preserve">and SPAC-IPO </w:t>
      </w:r>
      <w:r w:rsidR="00B40D54">
        <w:rPr>
          <w:rFonts w:ascii="Times New Roman" w:hAnsi="Times New Roman" w:cs="Times New Roman"/>
          <w:sz w:val="24"/>
          <w:szCs w:val="24"/>
        </w:rPr>
        <w:t xml:space="preserve">stock </w:t>
      </w:r>
      <w:r w:rsidR="0090110A">
        <w:rPr>
          <w:rFonts w:ascii="Times New Roman" w:hAnsi="Times New Roman" w:cs="Times New Roman"/>
          <w:sz w:val="24"/>
          <w:szCs w:val="24"/>
        </w:rPr>
        <w:t>return</w:t>
      </w:r>
      <w:r w:rsidR="00EC5AF3">
        <w:rPr>
          <w:rFonts w:ascii="Times New Roman" w:hAnsi="Times New Roman" w:cs="Times New Roman"/>
          <w:sz w:val="24"/>
          <w:szCs w:val="24"/>
        </w:rPr>
        <w:t>s</w:t>
      </w:r>
      <w:r w:rsidR="0090110A">
        <w:rPr>
          <w:rFonts w:ascii="Times New Roman" w:hAnsi="Times New Roman" w:cs="Times New Roman"/>
          <w:sz w:val="24"/>
          <w:szCs w:val="24"/>
        </w:rPr>
        <w:t xml:space="preserve"> for the post</w:t>
      </w:r>
      <w:r w:rsidR="00AF4E53">
        <w:rPr>
          <w:rFonts w:ascii="Times New Roman" w:hAnsi="Times New Roman" w:cs="Times New Roman"/>
          <w:sz w:val="24"/>
          <w:szCs w:val="24"/>
        </w:rPr>
        <w:t>-merger</w:t>
      </w:r>
      <w:r w:rsidR="0090110A">
        <w:rPr>
          <w:rFonts w:ascii="Times New Roman" w:hAnsi="Times New Roman" w:cs="Times New Roman"/>
          <w:sz w:val="24"/>
          <w:szCs w:val="24"/>
        </w:rPr>
        <w:t xml:space="preserve"> periods. </w:t>
      </w:r>
      <w:r w:rsidR="00F65640">
        <w:rPr>
          <w:rFonts w:ascii="Times New Roman" w:hAnsi="Times New Roman" w:cs="Times New Roman"/>
          <w:sz w:val="24"/>
          <w:szCs w:val="24"/>
        </w:rPr>
        <w:t xml:space="preserve">The </w:t>
      </w:r>
      <w:r w:rsidR="0090110A">
        <w:rPr>
          <w:rFonts w:ascii="Times New Roman" w:hAnsi="Times New Roman" w:cs="Times New Roman"/>
          <w:sz w:val="24"/>
          <w:szCs w:val="24"/>
        </w:rPr>
        <w:t xml:space="preserve">results suggest that </w:t>
      </w:r>
      <w:r w:rsidR="00F65640">
        <w:rPr>
          <w:rFonts w:ascii="Times New Roman" w:hAnsi="Times New Roman" w:cs="Times New Roman"/>
          <w:sz w:val="24"/>
          <w:szCs w:val="24"/>
        </w:rPr>
        <w:t xml:space="preserve">our </w:t>
      </w:r>
      <w:r w:rsidR="0090110A">
        <w:rPr>
          <w:rFonts w:ascii="Times New Roman" w:hAnsi="Times New Roman" w:cs="Times New Roman"/>
          <w:sz w:val="24"/>
          <w:szCs w:val="24"/>
        </w:rPr>
        <w:t xml:space="preserve">information risk </w:t>
      </w:r>
      <w:r w:rsidR="00F65640">
        <w:rPr>
          <w:rFonts w:ascii="Times New Roman" w:hAnsi="Times New Roman" w:cs="Times New Roman"/>
          <w:sz w:val="24"/>
          <w:szCs w:val="24"/>
        </w:rPr>
        <w:t xml:space="preserve">proxy </w:t>
      </w:r>
      <w:r w:rsidR="0090110A">
        <w:rPr>
          <w:rFonts w:ascii="Times New Roman" w:hAnsi="Times New Roman" w:cs="Times New Roman"/>
          <w:sz w:val="24"/>
          <w:szCs w:val="24"/>
        </w:rPr>
        <w:t xml:space="preserve">is priced by investors.   </w:t>
      </w:r>
    </w:p>
    <w:p w14:paraId="33C49DC2" w14:textId="0D924DCD" w:rsidR="00EE351F" w:rsidRPr="00E45800" w:rsidRDefault="00DF1F6B" w:rsidP="00E45800">
      <w:pPr>
        <w:spacing w:after="0" w:line="480" w:lineRule="auto"/>
        <w:ind w:firstLine="720"/>
        <w:jc w:val="both"/>
        <w:rPr>
          <w:rFonts w:ascii="Times New Roman" w:hAnsi="Times New Roman" w:cs="Times New Roman"/>
          <w:sz w:val="24"/>
          <w:szCs w:val="24"/>
        </w:rPr>
      </w:pPr>
      <w:r w:rsidRPr="00EE351F">
        <w:rPr>
          <w:rFonts w:ascii="Times New Roman" w:hAnsi="Times New Roman" w:cs="Times New Roman"/>
          <w:sz w:val="24"/>
          <w:szCs w:val="24"/>
        </w:rPr>
        <w:t xml:space="preserve">The SEC (2022) proposed new rules </w:t>
      </w:r>
      <w:r w:rsidR="00D35F62">
        <w:rPr>
          <w:rFonts w:ascii="Times New Roman" w:hAnsi="Times New Roman" w:cs="Times New Roman"/>
          <w:sz w:val="24"/>
          <w:szCs w:val="24"/>
        </w:rPr>
        <w:t xml:space="preserve">suggest that the </w:t>
      </w:r>
      <w:r w:rsidRPr="00EE351F">
        <w:rPr>
          <w:rFonts w:ascii="Times New Roman" w:hAnsi="Times New Roman" w:cs="Times New Roman"/>
          <w:sz w:val="24"/>
          <w:szCs w:val="24"/>
        </w:rPr>
        <w:t>SPAC</w:t>
      </w:r>
      <w:r w:rsidR="00D35F62">
        <w:rPr>
          <w:rFonts w:ascii="Times New Roman" w:hAnsi="Times New Roman" w:cs="Times New Roman"/>
          <w:sz w:val="24"/>
          <w:szCs w:val="24"/>
        </w:rPr>
        <w:t xml:space="preserve"> and de-SPAC </w:t>
      </w:r>
      <w:r w:rsidR="006E74C4">
        <w:rPr>
          <w:rFonts w:ascii="Times New Roman" w:hAnsi="Times New Roman" w:cs="Times New Roman"/>
          <w:sz w:val="24"/>
          <w:szCs w:val="24"/>
        </w:rPr>
        <w:t xml:space="preserve">transactions entail </w:t>
      </w:r>
      <w:r w:rsidR="0005083C">
        <w:rPr>
          <w:rFonts w:ascii="Times New Roman" w:hAnsi="Times New Roman" w:cs="Times New Roman"/>
          <w:sz w:val="24"/>
          <w:szCs w:val="24"/>
        </w:rPr>
        <w:t xml:space="preserve">higher </w:t>
      </w:r>
      <w:r w:rsidRPr="00EE351F">
        <w:rPr>
          <w:rFonts w:ascii="Times New Roman" w:hAnsi="Times New Roman" w:cs="Times New Roman"/>
          <w:sz w:val="24"/>
          <w:szCs w:val="24"/>
        </w:rPr>
        <w:t>information risk</w:t>
      </w:r>
      <w:r w:rsidR="00D35F62">
        <w:rPr>
          <w:rFonts w:ascii="Times New Roman" w:hAnsi="Times New Roman" w:cs="Times New Roman"/>
          <w:sz w:val="24"/>
          <w:szCs w:val="24"/>
        </w:rPr>
        <w:t xml:space="preserve"> than traditional IPO transactions</w:t>
      </w:r>
      <w:r w:rsidR="00FE75A6" w:rsidRPr="00EE351F">
        <w:rPr>
          <w:rFonts w:ascii="Times New Roman" w:hAnsi="Times New Roman" w:cs="Times New Roman"/>
          <w:sz w:val="24"/>
          <w:szCs w:val="24"/>
        </w:rPr>
        <w:t xml:space="preserve">. </w:t>
      </w:r>
      <w:r w:rsidR="00D35F62">
        <w:rPr>
          <w:rFonts w:ascii="Times New Roman" w:hAnsi="Times New Roman" w:cs="Times New Roman"/>
          <w:sz w:val="24"/>
          <w:szCs w:val="24"/>
        </w:rPr>
        <w:t>O</w:t>
      </w:r>
      <w:r w:rsidR="004C626A">
        <w:rPr>
          <w:rFonts w:ascii="Times New Roman" w:hAnsi="Times New Roman" w:cs="Times New Roman"/>
          <w:sz w:val="24"/>
          <w:szCs w:val="24"/>
        </w:rPr>
        <w:t xml:space="preserve">ur findings </w:t>
      </w:r>
      <w:r w:rsidR="00D35F62">
        <w:rPr>
          <w:rFonts w:ascii="Times New Roman" w:hAnsi="Times New Roman" w:cs="Times New Roman"/>
          <w:sz w:val="24"/>
          <w:szCs w:val="24"/>
        </w:rPr>
        <w:t xml:space="preserve">confirm </w:t>
      </w:r>
      <w:r w:rsidR="0090110A" w:rsidRPr="00EE351F">
        <w:rPr>
          <w:rFonts w:ascii="Times New Roman" w:hAnsi="Times New Roman" w:cs="Times New Roman"/>
          <w:sz w:val="24"/>
          <w:szCs w:val="24"/>
        </w:rPr>
        <w:t xml:space="preserve">that </w:t>
      </w:r>
      <w:r w:rsidR="00C31EAD" w:rsidRPr="00EE351F">
        <w:rPr>
          <w:rFonts w:ascii="Times New Roman" w:hAnsi="Times New Roman" w:cs="Times New Roman"/>
          <w:sz w:val="24"/>
          <w:szCs w:val="24"/>
        </w:rPr>
        <w:t>SPAC</w:t>
      </w:r>
      <w:r w:rsidR="0090110A" w:rsidRPr="00EE351F">
        <w:rPr>
          <w:rFonts w:ascii="Times New Roman" w:hAnsi="Times New Roman" w:cs="Times New Roman"/>
          <w:sz w:val="24"/>
          <w:szCs w:val="24"/>
        </w:rPr>
        <w:t>/SPAC-IPO</w:t>
      </w:r>
      <w:r w:rsidR="004C7343" w:rsidRPr="00EE351F">
        <w:rPr>
          <w:rFonts w:ascii="Times New Roman" w:hAnsi="Times New Roman" w:cs="Times New Roman"/>
          <w:sz w:val="24"/>
          <w:szCs w:val="24"/>
        </w:rPr>
        <w:t xml:space="preserve"> </w:t>
      </w:r>
      <w:r w:rsidR="00C31EAD" w:rsidRPr="00EE351F">
        <w:rPr>
          <w:rFonts w:ascii="Times New Roman" w:hAnsi="Times New Roman" w:cs="Times New Roman"/>
          <w:sz w:val="24"/>
          <w:szCs w:val="24"/>
        </w:rPr>
        <w:t>investors are more at</w:t>
      </w:r>
      <w:r w:rsidR="00F5446C" w:rsidRPr="00EE351F">
        <w:rPr>
          <w:rFonts w:ascii="Times New Roman" w:hAnsi="Times New Roman" w:cs="Times New Roman"/>
          <w:sz w:val="24"/>
          <w:szCs w:val="24"/>
        </w:rPr>
        <w:t>-</w:t>
      </w:r>
      <w:r w:rsidR="00C31EAD" w:rsidRPr="00EE351F">
        <w:rPr>
          <w:rFonts w:ascii="Times New Roman" w:hAnsi="Times New Roman" w:cs="Times New Roman"/>
          <w:sz w:val="24"/>
          <w:szCs w:val="24"/>
        </w:rPr>
        <w:t xml:space="preserve">risk </w:t>
      </w:r>
      <w:r w:rsidR="00007ABF" w:rsidRPr="00EE351F">
        <w:rPr>
          <w:rFonts w:ascii="Times New Roman" w:hAnsi="Times New Roman" w:cs="Times New Roman"/>
          <w:sz w:val="24"/>
          <w:szCs w:val="24"/>
        </w:rPr>
        <w:t>than traditional IPO</w:t>
      </w:r>
      <w:r w:rsidR="006F2453" w:rsidRPr="00EE351F">
        <w:rPr>
          <w:rFonts w:ascii="Times New Roman" w:hAnsi="Times New Roman" w:cs="Times New Roman"/>
          <w:sz w:val="24"/>
          <w:szCs w:val="24"/>
        </w:rPr>
        <w:t xml:space="preserve"> </w:t>
      </w:r>
      <w:r w:rsidR="00007ABF" w:rsidRPr="00EE351F">
        <w:rPr>
          <w:rFonts w:ascii="Times New Roman" w:hAnsi="Times New Roman" w:cs="Times New Roman"/>
          <w:sz w:val="24"/>
          <w:szCs w:val="24"/>
        </w:rPr>
        <w:t>investors</w:t>
      </w:r>
      <w:r w:rsidR="00EE351F" w:rsidRPr="00EE351F">
        <w:rPr>
          <w:rFonts w:ascii="Times New Roman" w:hAnsi="Times New Roman" w:cs="Times New Roman"/>
          <w:sz w:val="24"/>
          <w:szCs w:val="24"/>
        </w:rPr>
        <w:t>. T</w:t>
      </w:r>
      <w:r w:rsidR="00816504" w:rsidRPr="00EE351F">
        <w:rPr>
          <w:rFonts w:ascii="Times New Roman" w:hAnsi="Times New Roman" w:cs="Times New Roman"/>
          <w:sz w:val="24"/>
          <w:szCs w:val="24"/>
        </w:rPr>
        <w:t xml:space="preserve">he </w:t>
      </w:r>
      <w:r w:rsidR="004C626A">
        <w:rPr>
          <w:rFonts w:ascii="Times New Roman" w:hAnsi="Times New Roman" w:cs="Times New Roman"/>
          <w:sz w:val="24"/>
          <w:szCs w:val="24"/>
        </w:rPr>
        <w:t xml:space="preserve">proposed </w:t>
      </w:r>
      <w:r w:rsidR="00B11A5F" w:rsidRPr="00EE351F">
        <w:rPr>
          <w:rFonts w:ascii="Times New Roman" w:hAnsi="Times New Roman" w:cs="Times New Roman"/>
          <w:sz w:val="24"/>
          <w:szCs w:val="24"/>
        </w:rPr>
        <w:t xml:space="preserve">SEC rules </w:t>
      </w:r>
      <w:r w:rsidR="00B72B7D">
        <w:rPr>
          <w:rFonts w:ascii="Times New Roman" w:hAnsi="Times New Roman" w:cs="Times New Roman"/>
          <w:sz w:val="24"/>
          <w:szCs w:val="24"/>
        </w:rPr>
        <w:t xml:space="preserve">are expected to </w:t>
      </w:r>
      <w:r w:rsidR="004C626A">
        <w:rPr>
          <w:rFonts w:ascii="Times New Roman" w:hAnsi="Times New Roman" w:cs="Times New Roman"/>
          <w:sz w:val="24"/>
          <w:szCs w:val="24"/>
        </w:rPr>
        <w:t xml:space="preserve">enhance </w:t>
      </w:r>
      <w:r w:rsidR="00B72B7D">
        <w:rPr>
          <w:rFonts w:ascii="Times New Roman" w:hAnsi="Times New Roman" w:cs="Times New Roman"/>
          <w:sz w:val="24"/>
          <w:szCs w:val="24"/>
        </w:rPr>
        <w:t xml:space="preserve">the </w:t>
      </w:r>
      <w:r w:rsidR="00EE351F" w:rsidRPr="00EE351F">
        <w:rPr>
          <w:rFonts w:ascii="Times New Roman" w:hAnsi="Times New Roman" w:cs="Times New Roman"/>
          <w:sz w:val="24"/>
          <w:szCs w:val="24"/>
        </w:rPr>
        <w:t>investors</w:t>
      </w:r>
      <w:r w:rsidR="004C626A">
        <w:rPr>
          <w:rFonts w:ascii="Times New Roman" w:hAnsi="Times New Roman" w:cs="Times New Roman"/>
          <w:sz w:val="24"/>
          <w:szCs w:val="24"/>
        </w:rPr>
        <w:t>’</w:t>
      </w:r>
      <w:r w:rsidR="00EE351F" w:rsidRPr="00EE351F">
        <w:rPr>
          <w:rFonts w:ascii="Times New Roman" w:hAnsi="Times New Roman" w:cs="Times New Roman"/>
          <w:sz w:val="24"/>
          <w:szCs w:val="24"/>
        </w:rPr>
        <w:t xml:space="preserve"> </w:t>
      </w:r>
      <w:r w:rsidR="004C626A">
        <w:rPr>
          <w:rFonts w:ascii="Times New Roman" w:hAnsi="Times New Roman" w:cs="Times New Roman"/>
          <w:sz w:val="24"/>
          <w:szCs w:val="24"/>
        </w:rPr>
        <w:t xml:space="preserve">understanding of the </w:t>
      </w:r>
      <w:r w:rsidR="00EE351F" w:rsidRPr="00EE351F">
        <w:rPr>
          <w:rFonts w:ascii="Times New Roman" w:hAnsi="Times New Roman" w:cs="Times New Roman"/>
          <w:sz w:val="24"/>
          <w:szCs w:val="24"/>
        </w:rPr>
        <w:t xml:space="preserve">information risk in de-SPAC transactions. </w:t>
      </w:r>
      <w:r w:rsidR="00EE351F" w:rsidRPr="00E45800">
        <w:rPr>
          <w:rFonts w:ascii="Times New Roman" w:hAnsi="Times New Roman" w:cs="Times New Roman"/>
          <w:sz w:val="24"/>
          <w:szCs w:val="24"/>
        </w:rPr>
        <w:t>For instance, the additional disclosures would lead to a better understanding about the inherent conflicts of interests, about the sources of dilution, about the fairness of these transactions, and about the sponsors' compensation</w:t>
      </w:r>
      <w:r w:rsidR="00E45800" w:rsidRPr="00E45800">
        <w:rPr>
          <w:rFonts w:ascii="Times New Roman" w:hAnsi="Times New Roman" w:cs="Times New Roman"/>
          <w:sz w:val="24"/>
          <w:szCs w:val="24"/>
        </w:rPr>
        <w:t xml:space="preserve">, thereby lowering </w:t>
      </w:r>
      <w:r w:rsidR="00B72B7D">
        <w:rPr>
          <w:rFonts w:ascii="Times New Roman" w:hAnsi="Times New Roman" w:cs="Times New Roman"/>
          <w:sz w:val="24"/>
          <w:szCs w:val="24"/>
        </w:rPr>
        <w:t>some of the uncertainty in</w:t>
      </w:r>
      <w:r w:rsidR="00EE351F" w:rsidRPr="00E45800">
        <w:rPr>
          <w:rFonts w:ascii="Times New Roman" w:hAnsi="Times New Roman" w:cs="Times New Roman"/>
          <w:sz w:val="24"/>
          <w:szCs w:val="24"/>
        </w:rPr>
        <w:t xml:space="preserve"> de-SPAC transactions. Similarly, applying the legal liability </w:t>
      </w:r>
      <w:r w:rsidR="00E45800">
        <w:rPr>
          <w:rFonts w:ascii="Times New Roman" w:hAnsi="Times New Roman" w:cs="Times New Roman"/>
          <w:sz w:val="24"/>
          <w:szCs w:val="24"/>
        </w:rPr>
        <w:t xml:space="preserve">provisions </w:t>
      </w:r>
      <w:r w:rsidR="00EE351F" w:rsidRPr="00E45800">
        <w:rPr>
          <w:rFonts w:ascii="Times New Roman" w:hAnsi="Times New Roman" w:cs="Times New Roman"/>
          <w:sz w:val="24"/>
          <w:szCs w:val="24"/>
        </w:rPr>
        <w:t xml:space="preserve">of the 1933 Act to de-SPAC transactions </w:t>
      </w:r>
      <w:r w:rsidR="00B72B7D">
        <w:rPr>
          <w:rFonts w:ascii="Times New Roman" w:hAnsi="Times New Roman" w:cs="Times New Roman"/>
          <w:sz w:val="24"/>
          <w:szCs w:val="24"/>
        </w:rPr>
        <w:t xml:space="preserve">provide </w:t>
      </w:r>
      <w:r w:rsidR="00296D78">
        <w:rPr>
          <w:rFonts w:ascii="Times New Roman" w:hAnsi="Times New Roman" w:cs="Times New Roman"/>
          <w:sz w:val="24"/>
          <w:szCs w:val="24"/>
        </w:rPr>
        <w:t xml:space="preserve">related parties with </w:t>
      </w:r>
      <w:r w:rsidR="00E45800">
        <w:rPr>
          <w:rFonts w:ascii="Times New Roman" w:hAnsi="Times New Roman" w:cs="Times New Roman"/>
          <w:sz w:val="24"/>
          <w:szCs w:val="24"/>
        </w:rPr>
        <w:t xml:space="preserve">powerful </w:t>
      </w:r>
      <w:r w:rsidR="00EE351F" w:rsidRPr="00E45800">
        <w:rPr>
          <w:rFonts w:ascii="Times New Roman" w:hAnsi="Times New Roman" w:cs="Times New Roman"/>
          <w:sz w:val="24"/>
          <w:szCs w:val="24"/>
        </w:rPr>
        <w:t xml:space="preserve">incentives to </w:t>
      </w:r>
      <w:r w:rsidR="00B72B7D">
        <w:rPr>
          <w:rFonts w:ascii="Times New Roman" w:hAnsi="Times New Roman" w:cs="Times New Roman"/>
          <w:sz w:val="24"/>
          <w:szCs w:val="24"/>
        </w:rPr>
        <w:t>increase the reliab</w:t>
      </w:r>
      <w:r w:rsidR="009B6F16">
        <w:rPr>
          <w:rFonts w:ascii="Times New Roman" w:hAnsi="Times New Roman" w:cs="Times New Roman"/>
          <w:sz w:val="24"/>
          <w:szCs w:val="24"/>
        </w:rPr>
        <w:t>i</w:t>
      </w:r>
      <w:r w:rsidR="00B72B7D">
        <w:rPr>
          <w:rFonts w:ascii="Times New Roman" w:hAnsi="Times New Roman" w:cs="Times New Roman"/>
          <w:sz w:val="24"/>
          <w:szCs w:val="24"/>
        </w:rPr>
        <w:t xml:space="preserve">lity of the reported/disclosed </w:t>
      </w:r>
      <w:r w:rsidR="00E45800">
        <w:rPr>
          <w:rFonts w:ascii="Times New Roman" w:hAnsi="Times New Roman" w:cs="Times New Roman"/>
          <w:sz w:val="24"/>
          <w:szCs w:val="24"/>
        </w:rPr>
        <w:t xml:space="preserve">information </w:t>
      </w:r>
      <w:r w:rsidR="00EE351F" w:rsidRPr="00E45800">
        <w:rPr>
          <w:rFonts w:ascii="Times New Roman" w:hAnsi="Times New Roman" w:cs="Times New Roman"/>
          <w:sz w:val="24"/>
          <w:szCs w:val="24"/>
        </w:rPr>
        <w:t>(e.g., Venkataraman, Weber, and Willenborg 2008). </w:t>
      </w:r>
      <w:r w:rsidR="00296D78">
        <w:rPr>
          <w:rFonts w:ascii="Times New Roman" w:hAnsi="Times New Roman" w:cs="Times New Roman"/>
          <w:sz w:val="24"/>
          <w:szCs w:val="24"/>
        </w:rPr>
        <w:t xml:space="preserve">Therefore, we expect the proposed rules to </w:t>
      </w:r>
      <w:r w:rsidR="0005083C">
        <w:rPr>
          <w:rFonts w:ascii="Times New Roman" w:hAnsi="Times New Roman" w:cs="Times New Roman"/>
          <w:sz w:val="24"/>
          <w:szCs w:val="24"/>
        </w:rPr>
        <w:t xml:space="preserve">lower the information risk in de-SPAC transactions.  </w:t>
      </w:r>
    </w:p>
    <w:p w14:paraId="0EFEA8B3" w14:textId="6A96AA8A" w:rsidR="00A07FD9" w:rsidRDefault="00292178" w:rsidP="00E458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rest of the paper is organized as follows. Section 2 describes the background on SPACs. Section 3 develops the related hypotheses. Section 4 describes the research design while Section 5 provides details about the sample selection. Section 6 presents the empirical results. Finally, Section </w:t>
      </w:r>
      <w:r w:rsidR="004270E5">
        <w:rPr>
          <w:rFonts w:ascii="Times New Roman" w:hAnsi="Times New Roman" w:cs="Times New Roman"/>
          <w:sz w:val="24"/>
          <w:szCs w:val="24"/>
        </w:rPr>
        <w:t xml:space="preserve">7 </w:t>
      </w:r>
      <w:r>
        <w:rPr>
          <w:rFonts w:ascii="Times New Roman" w:hAnsi="Times New Roman" w:cs="Times New Roman"/>
          <w:sz w:val="24"/>
          <w:szCs w:val="24"/>
        </w:rPr>
        <w:t xml:space="preserve">offers our conclusions.     </w:t>
      </w:r>
    </w:p>
    <w:p w14:paraId="6E04CBEA" w14:textId="2508339D" w:rsidR="001E1EE1" w:rsidRPr="001E1EE1" w:rsidRDefault="001E1EE1" w:rsidP="00F16CE0">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t>Background</w:t>
      </w:r>
    </w:p>
    <w:p w14:paraId="61670467" w14:textId="24C312A4" w:rsidR="001E1EE1" w:rsidRPr="00063F59" w:rsidRDefault="00063F59" w:rsidP="00063F59">
      <w:pPr>
        <w:spacing w:after="0" w:line="480" w:lineRule="auto"/>
        <w:jc w:val="both"/>
        <w:rPr>
          <w:rFonts w:ascii="Times New Roman" w:hAnsi="Times New Roman" w:cs="Times New Roman"/>
          <w:i/>
          <w:sz w:val="24"/>
        </w:rPr>
      </w:pPr>
      <w:r w:rsidRPr="00063F59">
        <w:rPr>
          <w:rFonts w:ascii="Times New Roman" w:hAnsi="Times New Roman" w:cs="Times New Roman"/>
          <w:i/>
          <w:sz w:val="24"/>
        </w:rPr>
        <w:t xml:space="preserve">2.1. </w:t>
      </w:r>
      <w:r w:rsidRPr="00063F59">
        <w:rPr>
          <w:rFonts w:ascii="Times New Roman" w:hAnsi="Times New Roman" w:cs="Times New Roman"/>
          <w:i/>
          <w:sz w:val="24"/>
        </w:rPr>
        <w:tab/>
        <w:t xml:space="preserve">SPAC Life Cycle </w:t>
      </w:r>
    </w:p>
    <w:p w14:paraId="495A4E78" w14:textId="18709F41" w:rsidR="00063F59" w:rsidRPr="00A07FD9" w:rsidRDefault="00E531DF" w:rsidP="002710EC">
      <w:pPr>
        <w:pStyle w:val="ListParagraph"/>
        <w:spacing w:after="0" w:line="480" w:lineRule="auto"/>
        <w:ind w:left="0" w:firstLine="720"/>
        <w:jc w:val="both"/>
        <w:rPr>
          <w:rFonts w:ascii="Times New Roman" w:hAnsi="Times New Roman" w:cs="Times New Roman"/>
          <w:b/>
          <w:sz w:val="24"/>
          <w:szCs w:val="24"/>
        </w:rPr>
      </w:pPr>
      <w:r w:rsidRPr="00A07FD9">
        <w:rPr>
          <w:rFonts w:ascii="Times New Roman" w:hAnsi="Times New Roman" w:cs="Times New Roman"/>
          <w:sz w:val="24"/>
          <w:szCs w:val="24"/>
        </w:rPr>
        <w:lastRenderedPageBreak/>
        <w:t>As Figure 1</w:t>
      </w:r>
      <w:r w:rsidR="00302620">
        <w:rPr>
          <w:rFonts w:ascii="Times New Roman" w:hAnsi="Times New Roman" w:cs="Times New Roman"/>
          <w:sz w:val="24"/>
          <w:szCs w:val="24"/>
        </w:rPr>
        <w:t xml:space="preserve"> outlines</w:t>
      </w:r>
      <w:r w:rsidRPr="00A07FD9">
        <w:rPr>
          <w:rFonts w:ascii="Times New Roman" w:hAnsi="Times New Roman" w:cs="Times New Roman"/>
          <w:sz w:val="24"/>
          <w:szCs w:val="24"/>
        </w:rPr>
        <w:t>, the life cycle of a SPAC can be partitioned into five distinct phases (Deloitte 2020).</w:t>
      </w:r>
      <w:r w:rsidRPr="00A07FD9">
        <w:rPr>
          <w:rFonts w:ascii="Times New Roman" w:hAnsi="Times New Roman" w:cs="Times New Roman"/>
          <w:b/>
          <w:sz w:val="24"/>
          <w:szCs w:val="24"/>
        </w:rPr>
        <w:t xml:space="preserve"> </w:t>
      </w:r>
      <w:r w:rsidRPr="00A07FD9">
        <w:rPr>
          <w:rFonts w:ascii="Times New Roman" w:hAnsi="Times New Roman" w:cs="Times New Roman"/>
          <w:color w:val="221E1F"/>
          <w:sz w:val="24"/>
          <w:szCs w:val="24"/>
        </w:rPr>
        <w:t>A SPAC’s life begins with its initial formation, followed by its IPO, its search for a target, a shareholder merger vote, and, finally, the close of an acquisition (or the return of the SPAC’s proceeds to investors</w:t>
      </w:r>
      <w:r w:rsidR="00B63D7E">
        <w:rPr>
          <w:rFonts w:ascii="Times New Roman" w:hAnsi="Times New Roman" w:cs="Times New Roman"/>
          <w:color w:val="221E1F"/>
          <w:sz w:val="24"/>
          <w:szCs w:val="24"/>
        </w:rPr>
        <w:t xml:space="preserve"> in case of no merger</w:t>
      </w:r>
      <w:r w:rsidRPr="00A07FD9">
        <w:rPr>
          <w:rFonts w:ascii="Times New Roman" w:hAnsi="Times New Roman" w:cs="Times New Roman"/>
          <w:color w:val="221E1F"/>
          <w:sz w:val="24"/>
          <w:szCs w:val="24"/>
        </w:rPr>
        <w:t xml:space="preserve">). </w:t>
      </w:r>
    </w:p>
    <w:p w14:paraId="4AF03BBB" w14:textId="627648C0" w:rsidR="00E531DF" w:rsidRPr="00A07FD9" w:rsidRDefault="00E531DF" w:rsidP="00A07FD9">
      <w:pPr>
        <w:pStyle w:val="Pa1"/>
        <w:spacing w:line="480" w:lineRule="auto"/>
        <w:ind w:firstLine="720"/>
        <w:jc w:val="both"/>
        <w:rPr>
          <w:rFonts w:ascii="Times New Roman" w:hAnsi="Times New Roman" w:cs="Times New Roman"/>
          <w:color w:val="221E1F"/>
        </w:rPr>
      </w:pPr>
      <w:r w:rsidRPr="00A07FD9">
        <w:rPr>
          <w:rFonts w:ascii="Times New Roman" w:hAnsi="Times New Roman" w:cs="Times New Roman"/>
          <w:bCs/>
          <w:color w:val="221E1F"/>
        </w:rPr>
        <w:t xml:space="preserve">During the formation phase, </w:t>
      </w:r>
      <w:r w:rsidRPr="00A07FD9">
        <w:rPr>
          <w:rFonts w:ascii="Times New Roman" w:hAnsi="Times New Roman" w:cs="Times New Roman"/>
          <w:color w:val="221E1F"/>
        </w:rPr>
        <w:t>the sponsor, and often its management team, launches a SPAC by paying a nominal amount for an equity stake in the SPAC (“founders’ stock” or the “promote”). The founders’ stock (representing approximately 20 percent of the stock in the SPAC after its IPO) is intended as compensation for identifying a promising target and consummating a merger. The SPAC also selects legal counsel and underwriters and establishes its governing documents.</w:t>
      </w:r>
    </w:p>
    <w:p w14:paraId="4EB3907A" w14:textId="0E9FD605" w:rsidR="00E531DF" w:rsidRPr="00A07FD9" w:rsidRDefault="00E531DF" w:rsidP="00A07FD9">
      <w:pPr>
        <w:spacing w:after="0" w:line="480" w:lineRule="auto"/>
        <w:ind w:firstLine="720"/>
        <w:jc w:val="both"/>
        <w:rPr>
          <w:rFonts w:ascii="Times New Roman" w:hAnsi="Times New Roman" w:cs="Times New Roman"/>
          <w:color w:val="221E1F"/>
          <w:sz w:val="24"/>
          <w:szCs w:val="24"/>
        </w:rPr>
      </w:pPr>
      <w:r w:rsidRPr="00A07FD9">
        <w:rPr>
          <w:rFonts w:ascii="Times New Roman" w:hAnsi="Times New Roman" w:cs="Times New Roman"/>
          <w:color w:val="221E1F"/>
          <w:sz w:val="24"/>
          <w:szCs w:val="24"/>
        </w:rPr>
        <w:t>In the IPO (initial public offering) phase, a SPAC begins the process of making its public offering by filing an initial registration statement with the SEC and responding to any SEC comment</w:t>
      </w:r>
      <w:r w:rsidR="00EE33B2">
        <w:rPr>
          <w:rFonts w:ascii="Times New Roman" w:hAnsi="Times New Roman" w:cs="Times New Roman"/>
          <w:color w:val="221E1F"/>
          <w:sz w:val="24"/>
          <w:szCs w:val="24"/>
        </w:rPr>
        <w:t>s</w:t>
      </w:r>
      <w:r w:rsidRPr="00A07FD9">
        <w:rPr>
          <w:rFonts w:ascii="Times New Roman" w:hAnsi="Times New Roman" w:cs="Times New Roman"/>
          <w:color w:val="221E1F"/>
          <w:sz w:val="24"/>
          <w:szCs w:val="24"/>
        </w:rPr>
        <w:t xml:space="preserve">. The SPAC then raises capital by issuing units (common shares and warrants), with the proceeds being held in a trust until a target is acquired. </w:t>
      </w:r>
      <w:r w:rsidR="00A07FD9" w:rsidRPr="00A07FD9">
        <w:rPr>
          <w:rFonts w:ascii="Times New Roman" w:hAnsi="Times New Roman" w:cs="Times New Roman"/>
          <w:color w:val="221E1F"/>
          <w:sz w:val="24"/>
          <w:szCs w:val="24"/>
        </w:rPr>
        <w:t xml:space="preserve">Subsequent to an </w:t>
      </w:r>
      <w:r w:rsidRPr="00A07FD9">
        <w:rPr>
          <w:rFonts w:ascii="Times New Roman" w:hAnsi="Times New Roman" w:cs="Times New Roman"/>
          <w:color w:val="221E1F"/>
          <w:sz w:val="24"/>
          <w:szCs w:val="24"/>
        </w:rPr>
        <w:t>IPO, common stock and warrants</w:t>
      </w:r>
      <w:r w:rsidR="00A07FD9" w:rsidRPr="00A07FD9">
        <w:rPr>
          <w:rFonts w:ascii="Times New Roman" w:hAnsi="Times New Roman" w:cs="Times New Roman"/>
          <w:color w:val="221E1F"/>
          <w:sz w:val="24"/>
          <w:szCs w:val="24"/>
        </w:rPr>
        <w:t xml:space="preserve"> (usually exercisable after a merger is consummated) become separate tradable units</w:t>
      </w:r>
      <w:r w:rsidRPr="00A07FD9">
        <w:rPr>
          <w:rFonts w:ascii="Times New Roman" w:hAnsi="Times New Roman" w:cs="Times New Roman"/>
          <w:color w:val="221E1F"/>
          <w:sz w:val="24"/>
          <w:szCs w:val="24"/>
        </w:rPr>
        <w:t xml:space="preserve">. </w:t>
      </w:r>
    </w:p>
    <w:p w14:paraId="128F1066" w14:textId="7D427AD1" w:rsidR="00A07FD9" w:rsidRPr="00A07FD9" w:rsidRDefault="00A07FD9" w:rsidP="00A07FD9">
      <w:pPr>
        <w:pStyle w:val="Pa2"/>
        <w:spacing w:line="480" w:lineRule="auto"/>
        <w:ind w:firstLine="720"/>
        <w:jc w:val="both"/>
        <w:rPr>
          <w:rFonts w:ascii="Times New Roman" w:hAnsi="Times New Roman" w:cs="Times New Roman"/>
          <w:color w:val="221E1F"/>
        </w:rPr>
      </w:pPr>
      <w:r w:rsidRPr="00A07FD9">
        <w:rPr>
          <w:rFonts w:ascii="Times New Roman" w:hAnsi="Times New Roman" w:cs="Times New Roman"/>
          <w:color w:val="221E1F"/>
        </w:rPr>
        <w:t>The search for a suitable acquisition (target search phase) is similar to the process in a M&amp;A transaction, whereby sponsors vet potential targets through an accelerated financial, legal, tax</w:t>
      </w:r>
      <w:r w:rsidR="00B63D7E">
        <w:rPr>
          <w:rFonts w:ascii="Times New Roman" w:hAnsi="Times New Roman" w:cs="Times New Roman"/>
          <w:color w:val="221E1F"/>
        </w:rPr>
        <w:t>, and</w:t>
      </w:r>
      <w:r w:rsidRPr="00A07FD9">
        <w:rPr>
          <w:rFonts w:ascii="Times New Roman" w:hAnsi="Times New Roman" w:cs="Times New Roman"/>
          <w:color w:val="221E1F"/>
        </w:rPr>
        <w:t xml:space="preserve"> due diligence process. Although SPACs have historically been focused on positive EBITDA companies, more recently that has not always been the case.  </w:t>
      </w:r>
    </w:p>
    <w:p w14:paraId="48BF254F" w14:textId="610E7D11" w:rsidR="00A07FD9" w:rsidRPr="00A07FD9" w:rsidRDefault="00A07FD9" w:rsidP="00A07FD9">
      <w:pPr>
        <w:spacing w:after="0" w:line="480" w:lineRule="auto"/>
        <w:ind w:firstLine="720"/>
        <w:jc w:val="both"/>
        <w:rPr>
          <w:rFonts w:ascii="Times New Roman" w:hAnsi="Times New Roman" w:cs="Times New Roman"/>
          <w:color w:val="221E1F"/>
          <w:sz w:val="24"/>
          <w:szCs w:val="24"/>
        </w:rPr>
      </w:pPr>
      <w:r w:rsidRPr="00A07FD9">
        <w:rPr>
          <w:rFonts w:ascii="Times New Roman" w:hAnsi="Times New Roman" w:cs="Times New Roman"/>
          <w:color w:val="221E1F"/>
          <w:sz w:val="24"/>
          <w:szCs w:val="24"/>
        </w:rPr>
        <w:t>The SEC proxy rules require SPAC shareholder approval before the completion of the de</w:t>
      </w:r>
      <w:r w:rsidR="004E66B7">
        <w:rPr>
          <w:rFonts w:ascii="Times New Roman" w:hAnsi="Times New Roman" w:cs="Times New Roman"/>
          <w:color w:val="221E1F"/>
          <w:sz w:val="24"/>
          <w:szCs w:val="24"/>
        </w:rPr>
        <w:t>-</w:t>
      </w:r>
      <w:r w:rsidRPr="00A07FD9">
        <w:rPr>
          <w:rFonts w:ascii="Times New Roman" w:hAnsi="Times New Roman" w:cs="Times New Roman"/>
          <w:color w:val="221E1F"/>
          <w:sz w:val="24"/>
          <w:szCs w:val="24"/>
        </w:rPr>
        <w:t xml:space="preserve">SPAC process (Shareholder </w:t>
      </w:r>
      <w:r w:rsidR="00982645">
        <w:rPr>
          <w:rFonts w:ascii="Times New Roman" w:hAnsi="Times New Roman" w:cs="Times New Roman"/>
          <w:color w:val="221E1F"/>
          <w:sz w:val="24"/>
          <w:szCs w:val="24"/>
        </w:rPr>
        <w:t>v</w:t>
      </w:r>
      <w:r w:rsidR="00982645" w:rsidRPr="00A07FD9">
        <w:rPr>
          <w:rFonts w:ascii="Times New Roman" w:hAnsi="Times New Roman" w:cs="Times New Roman"/>
          <w:color w:val="221E1F"/>
          <w:sz w:val="24"/>
          <w:szCs w:val="24"/>
        </w:rPr>
        <w:t xml:space="preserve">ote </w:t>
      </w:r>
      <w:r w:rsidRPr="00A07FD9">
        <w:rPr>
          <w:rFonts w:ascii="Times New Roman" w:hAnsi="Times New Roman" w:cs="Times New Roman"/>
          <w:color w:val="221E1F"/>
          <w:sz w:val="24"/>
          <w:szCs w:val="24"/>
        </w:rPr>
        <w:t>phase). Therefore, prior to the merger of the SPAC with a private company, SPACs are required to file a proxy</w:t>
      </w:r>
      <w:r w:rsidR="00EA6EAA">
        <w:rPr>
          <w:rFonts w:ascii="Times New Roman" w:hAnsi="Times New Roman" w:cs="Times New Roman"/>
          <w:color w:val="221E1F"/>
          <w:sz w:val="24"/>
          <w:szCs w:val="24"/>
        </w:rPr>
        <w:t xml:space="preserve"> statement</w:t>
      </w:r>
      <w:r w:rsidRPr="00A07FD9">
        <w:rPr>
          <w:rFonts w:ascii="Times New Roman" w:hAnsi="Times New Roman" w:cs="Times New Roman"/>
          <w:color w:val="221E1F"/>
          <w:sz w:val="24"/>
          <w:szCs w:val="24"/>
        </w:rPr>
        <w:t xml:space="preserve"> with the SEC, obtain and respond to the SEC’s comments, mail the proxy to the SPAC’s shareholders, and hold a shareholder meeting. The sponsor</w:t>
      </w:r>
      <w:r w:rsidR="00982645">
        <w:rPr>
          <w:rFonts w:ascii="Times New Roman" w:hAnsi="Times New Roman" w:cs="Times New Roman"/>
          <w:color w:val="221E1F"/>
          <w:sz w:val="24"/>
          <w:szCs w:val="24"/>
        </w:rPr>
        <w:t>s</w:t>
      </w:r>
      <w:r w:rsidRPr="00A07FD9">
        <w:rPr>
          <w:rFonts w:ascii="Times New Roman" w:hAnsi="Times New Roman" w:cs="Times New Roman"/>
          <w:color w:val="221E1F"/>
          <w:sz w:val="24"/>
          <w:szCs w:val="24"/>
        </w:rPr>
        <w:t xml:space="preserve"> and other founder shareholders typically commit at founding to vote their interest </w:t>
      </w:r>
      <w:r w:rsidRPr="00A07FD9">
        <w:rPr>
          <w:rFonts w:ascii="Times New Roman" w:hAnsi="Times New Roman" w:cs="Times New Roman"/>
          <w:color w:val="221E1F"/>
          <w:sz w:val="24"/>
          <w:szCs w:val="24"/>
        </w:rPr>
        <w:lastRenderedPageBreak/>
        <w:t xml:space="preserve">(generally representing 20 percent) in favor of a transaction, which decreases the number of additional common shares needed to vote in favor of the merger. </w:t>
      </w:r>
    </w:p>
    <w:p w14:paraId="2E0468ED" w14:textId="3D2CBB3A" w:rsidR="00A07FD9" w:rsidRPr="00A07FD9" w:rsidRDefault="00A07FD9" w:rsidP="00A07FD9">
      <w:pPr>
        <w:spacing w:after="0" w:line="480" w:lineRule="auto"/>
        <w:ind w:firstLine="720"/>
        <w:jc w:val="both"/>
        <w:rPr>
          <w:rFonts w:ascii="Times New Roman" w:hAnsi="Times New Roman" w:cs="Times New Roman"/>
          <w:color w:val="221E1F"/>
          <w:sz w:val="24"/>
          <w:szCs w:val="24"/>
        </w:rPr>
      </w:pPr>
      <w:r w:rsidRPr="00A07FD9">
        <w:rPr>
          <w:rFonts w:ascii="Times New Roman" w:hAnsi="Times New Roman" w:cs="Times New Roman"/>
          <w:color w:val="221E1F"/>
          <w:sz w:val="24"/>
          <w:szCs w:val="24"/>
        </w:rPr>
        <w:t>During the final acquisition close phase</w:t>
      </w:r>
      <w:r w:rsidR="00C24651">
        <w:rPr>
          <w:rFonts w:ascii="Times New Roman" w:hAnsi="Times New Roman" w:cs="Times New Roman"/>
          <w:color w:val="221E1F"/>
          <w:sz w:val="24"/>
          <w:szCs w:val="24"/>
        </w:rPr>
        <w:t xml:space="preserve"> (</w:t>
      </w:r>
      <w:r w:rsidR="00EE33B2">
        <w:rPr>
          <w:rFonts w:ascii="Times New Roman" w:hAnsi="Times New Roman" w:cs="Times New Roman"/>
          <w:color w:val="221E1F"/>
          <w:sz w:val="24"/>
          <w:szCs w:val="24"/>
        </w:rPr>
        <w:t>de</w:t>
      </w:r>
      <w:r w:rsidR="00135C45">
        <w:rPr>
          <w:rFonts w:ascii="Times New Roman" w:hAnsi="Times New Roman" w:cs="Times New Roman"/>
          <w:color w:val="221E1F"/>
          <w:sz w:val="24"/>
          <w:szCs w:val="24"/>
        </w:rPr>
        <w:t>-</w:t>
      </w:r>
      <w:r w:rsidR="00C24651">
        <w:rPr>
          <w:rFonts w:ascii="Times New Roman" w:hAnsi="Times New Roman" w:cs="Times New Roman"/>
          <w:color w:val="221E1F"/>
          <w:sz w:val="24"/>
          <w:szCs w:val="24"/>
        </w:rPr>
        <w:t>SPAC)</w:t>
      </w:r>
      <w:r w:rsidRPr="00A07FD9">
        <w:rPr>
          <w:rFonts w:ascii="Times New Roman" w:hAnsi="Times New Roman" w:cs="Times New Roman"/>
          <w:color w:val="221E1F"/>
          <w:sz w:val="24"/>
          <w:szCs w:val="24"/>
        </w:rPr>
        <w:t>, the target merg</w:t>
      </w:r>
      <w:r w:rsidR="00EB27AB">
        <w:rPr>
          <w:rFonts w:ascii="Times New Roman" w:hAnsi="Times New Roman" w:cs="Times New Roman"/>
          <w:color w:val="221E1F"/>
          <w:sz w:val="24"/>
          <w:szCs w:val="24"/>
        </w:rPr>
        <w:t>es</w:t>
      </w:r>
      <w:r w:rsidRPr="00A07FD9">
        <w:rPr>
          <w:rFonts w:ascii="Times New Roman" w:hAnsi="Times New Roman" w:cs="Times New Roman"/>
          <w:color w:val="221E1F"/>
          <w:sz w:val="24"/>
          <w:szCs w:val="24"/>
        </w:rPr>
        <w:t xml:space="preserve"> into the SPAC and </w:t>
      </w:r>
      <w:r w:rsidR="00EB27AB">
        <w:rPr>
          <w:rFonts w:ascii="Times New Roman" w:hAnsi="Times New Roman" w:cs="Times New Roman"/>
          <w:color w:val="221E1F"/>
          <w:sz w:val="24"/>
          <w:szCs w:val="24"/>
        </w:rPr>
        <w:t>be</w:t>
      </w:r>
      <w:r w:rsidRPr="00A07FD9">
        <w:rPr>
          <w:rFonts w:ascii="Times New Roman" w:hAnsi="Times New Roman" w:cs="Times New Roman"/>
          <w:color w:val="221E1F"/>
          <w:sz w:val="24"/>
          <w:szCs w:val="24"/>
        </w:rPr>
        <w:t>comes a publicly traded entity.</w:t>
      </w:r>
      <w:r w:rsidR="00302620">
        <w:rPr>
          <w:rStyle w:val="FootnoteReference"/>
          <w:rFonts w:ascii="Times New Roman" w:hAnsi="Times New Roman" w:cs="Times New Roman"/>
          <w:color w:val="221E1F"/>
          <w:sz w:val="24"/>
          <w:szCs w:val="24"/>
        </w:rPr>
        <w:footnoteReference w:id="9"/>
      </w:r>
      <w:r w:rsidR="00302620" w:rsidRPr="00A07FD9">
        <w:rPr>
          <w:rFonts w:ascii="Times New Roman" w:hAnsi="Times New Roman" w:cs="Times New Roman"/>
          <w:color w:val="221E1F"/>
          <w:sz w:val="24"/>
          <w:szCs w:val="24"/>
        </w:rPr>
        <w:t xml:space="preserve"> </w:t>
      </w:r>
      <w:r w:rsidRPr="00A07FD9">
        <w:rPr>
          <w:rFonts w:ascii="Times New Roman" w:hAnsi="Times New Roman" w:cs="Times New Roman"/>
          <w:color w:val="221E1F"/>
          <w:sz w:val="24"/>
          <w:szCs w:val="24"/>
        </w:rPr>
        <w:t xml:space="preserve">A </w:t>
      </w:r>
      <w:r w:rsidR="00D2565F" w:rsidRPr="00302620">
        <w:rPr>
          <w:rFonts w:ascii="Times New Roman" w:hAnsi="Times New Roman" w:cs="Times New Roman"/>
          <w:color w:val="221E1F"/>
          <w:sz w:val="24"/>
          <w:szCs w:val="24"/>
        </w:rPr>
        <w:t xml:space="preserve">special Form 8-K </w:t>
      </w:r>
      <w:r w:rsidR="00D2565F">
        <w:rPr>
          <w:rFonts w:ascii="Times New Roman" w:hAnsi="Times New Roman" w:cs="Times New Roman"/>
          <w:color w:val="221E1F"/>
          <w:sz w:val="24"/>
          <w:szCs w:val="24"/>
        </w:rPr>
        <w:t>(“</w:t>
      </w:r>
      <w:r w:rsidRPr="00A07FD9">
        <w:rPr>
          <w:rFonts w:ascii="Times New Roman" w:hAnsi="Times New Roman" w:cs="Times New Roman"/>
          <w:color w:val="221E1F"/>
          <w:sz w:val="24"/>
          <w:szCs w:val="24"/>
        </w:rPr>
        <w:t>Super 8-K</w:t>
      </w:r>
      <w:r w:rsidR="00D2565F">
        <w:rPr>
          <w:rFonts w:ascii="Times New Roman" w:hAnsi="Times New Roman" w:cs="Times New Roman"/>
          <w:color w:val="221E1F"/>
          <w:sz w:val="24"/>
          <w:szCs w:val="24"/>
        </w:rPr>
        <w:t>”)</w:t>
      </w:r>
      <w:r w:rsidRPr="00A07FD9">
        <w:rPr>
          <w:rFonts w:ascii="Times New Roman" w:hAnsi="Times New Roman" w:cs="Times New Roman"/>
          <w:color w:val="221E1F"/>
          <w:sz w:val="24"/>
          <w:szCs w:val="24"/>
        </w:rPr>
        <w:t xml:space="preserve"> must be filed within four days of the acquisition and </w:t>
      </w:r>
      <w:r w:rsidR="00EB27AB">
        <w:rPr>
          <w:rFonts w:ascii="Times New Roman" w:hAnsi="Times New Roman" w:cs="Times New Roman"/>
          <w:color w:val="221E1F"/>
          <w:sz w:val="24"/>
          <w:szCs w:val="24"/>
        </w:rPr>
        <w:t xml:space="preserve">it </w:t>
      </w:r>
      <w:r w:rsidRPr="00A07FD9">
        <w:rPr>
          <w:rFonts w:ascii="Times New Roman" w:hAnsi="Times New Roman" w:cs="Times New Roman"/>
          <w:color w:val="221E1F"/>
          <w:sz w:val="24"/>
          <w:szCs w:val="24"/>
        </w:rPr>
        <w:t>must contain substantially the same information that would be required in a registration statement for companies that go through a traditional IPO. Further, the sponsors</w:t>
      </w:r>
      <w:r w:rsidR="00053737">
        <w:rPr>
          <w:rFonts w:ascii="Times New Roman" w:hAnsi="Times New Roman" w:cs="Times New Roman"/>
          <w:color w:val="221E1F"/>
          <w:sz w:val="24"/>
          <w:szCs w:val="24"/>
        </w:rPr>
        <w:t>’</w:t>
      </w:r>
      <w:r w:rsidRPr="00A07FD9">
        <w:rPr>
          <w:rFonts w:ascii="Times New Roman" w:hAnsi="Times New Roman" w:cs="Times New Roman"/>
          <w:color w:val="221E1F"/>
          <w:sz w:val="24"/>
          <w:szCs w:val="24"/>
        </w:rPr>
        <w:t xml:space="preserve"> founders’ shares and warrants are locked up for a specified period (the “lock-up period”) starting from the date of the Super 8-K filing.</w:t>
      </w:r>
      <w:r w:rsidR="007C2160">
        <w:rPr>
          <w:rStyle w:val="FootnoteReference"/>
          <w:rFonts w:ascii="Times New Roman" w:hAnsi="Times New Roman" w:cs="Times New Roman"/>
          <w:color w:val="221E1F"/>
          <w:sz w:val="24"/>
          <w:szCs w:val="24"/>
        </w:rPr>
        <w:footnoteReference w:id="10"/>
      </w:r>
      <w:r w:rsidRPr="00A07FD9">
        <w:rPr>
          <w:rFonts w:ascii="Times New Roman" w:hAnsi="Times New Roman" w:cs="Times New Roman"/>
          <w:color w:val="221E1F"/>
          <w:sz w:val="24"/>
          <w:szCs w:val="24"/>
        </w:rPr>
        <w:t xml:space="preserve"> The lock-up period is typically one year, subject to negotiation at the inception of the SPAC. </w:t>
      </w:r>
    </w:p>
    <w:p w14:paraId="4D028B14" w14:textId="0C61D617" w:rsidR="00302620" w:rsidRPr="00302620" w:rsidRDefault="00302620" w:rsidP="00302620">
      <w:pPr>
        <w:spacing w:after="0" w:line="480" w:lineRule="auto"/>
        <w:jc w:val="both"/>
        <w:rPr>
          <w:rFonts w:ascii="Times New Roman" w:hAnsi="Times New Roman" w:cs="Times New Roman"/>
          <w:i/>
          <w:sz w:val="24"/>
          <w:szCs w:val="24"/>
        </w:rPr>
      </w:pPr>
      <w:r w:rsidRPr="00302620">
        <w:rPr>
          <w:rFonts w:ascii="Times New Roman" w:hAnsi="Times New Roman" w:cs="Times New Roman"/>
          <w:i/>
          <w:sz w:val="24"/>
          <w:szCs w:val="24"/>
        </w:rPr>
        <w:t>2.2.</w:t>
      </w:r>
      <w:r w:rsidRPr="00302620">
        <w:rPr>
          <w:rFonts w:ascii="Times New Roman" w:hAnsi="Times New Roman" w:cs="Times New Roman"/>
          <w:i/>
          <w:sz w:val="24"/>
          <w:szCs w:val="24"/>
        </w:rPr>
        <w:tab/>
        <w:t>Financial Reporting Requirements</w:t>
      </w:r>
    </w:p>
    <w:p w14:paraId="25A809C0" w14:textId="14A4C943" w:rsidR="00302620" w:rsidRDefault="00302620" w:rsidP="00EB27AB">
      <w:pPr>
        <w:autoSpaceDE w:val="0"/>
        <w:autoSpaceDN w:val="0"/>
        <w:adjustRightInd w:val="0"/>
        <w:spacing w:after="0" w:line="480" w:lineRule="auto"/>
        <w:ind w:firstLine="720"/>
        <w:jc w:val="both"/>
        <w:rPr>
          <w:rFonts w:ascii="Times New Roman" w:hAnsi="Times New Roman" w:cs="Times New Roman"/>
          <w:color w:val="221E1F"/>
          <w:sz w:val="24"/>
          <w:szCs w:val="24"/>
        </w:rPr>
      </w:pPr>
      <w:r w:rsidRPr="00302620">
        <w:rPr>
          <w:rFonts w:ascii="Times New Roman" w:hAnsi="Times New Roman" w:cs="Times New Roman"/>
          <w:color w:val="221E1F"/>
          <w:sz w:val="24"/>
          <w:szCs w:val="24"/>
        </w:rPr>
        <w:t>According to Deloitte (2020), the financial reporting requirements for a target in a SPAC merger must be completed in a compressed SPAC merger timeline leading up to the proxy statement or Form S-4 filing. The reporting requirements include preparation of the following</w:t>
      </w:r>
      <w:r w:rsidR="00EB27AB">
        <w:rPr>
          <w:rFonts w:ascii="Times New Roman" w:hAnsi="Times New Roman" w:cs="Times New Roman"/>
          <w:color w:val="221E1F"/>
          <w:sz w:val="24"/>
          <w:szCs w:val="24"/>
        </w:rPr>
        <w:t xml:space="preserve"> items</w:t>
      </w:r>
      <w:r w:rsidRPr="00302620">
        <w:rPr>
          <w:rFonts w:ascii="Times New Roman" w:hAnsi="Times New Roman" w:cs="Times New Roman"/>
          <w:color w:val="221E1F"/>
          <w:sz w:val="24"/>
          <w:szCs w:val="24"/>
        </w:rPr>
        <w:t>:</w:t>
      </w:r>
      <w:r w:rsidR="00EB27AB">
        <w:rPr>
          <w:rFonts w:ascii="Times New Roman" w:hAnsi="Times New Roman" w:cs="Times New Roman"/>
          <w:color w:val="221E1F"/>
          <w:sz w:val="24"/>
          <w:szCs w:val="24"/>
        </w:rPr>
        <w:t xml:space="preserve"> (1) a</w:t>
      </w:r>
      <w:r w:rsidRPr="00302620">
        <w:rPr>
          <w:rFonts w:ascii="Times New Roman" w:hAnsi="Times New Roman" w:cs="Times New Roman"/>
          <w:color w:val="221E1F"/>
          <w:sz w:val="24"/>
          <w:szCs w:val="24"/>
        </w:rPr>
        <w:t>nnual financial statements in compliance with public company GAAP</w:t>
      </w:r>
      <w:r w:rsidR="00EB27AB">
        <w:rPr>
          <w:rFonts w:ascii="Times New Roman" w:hAnsi="Times New Roman" w:cs="Times New Roman"/>
          <w:color w:val="221E1F"/>
          <w:sz w:val="24"/>
          <w:szCs w:val="24"/>
        </w:rPr>
        <w:t xml:space="preserve">, </w:t>
      </w:r>
      <w:r w:rsidR="005D7E9D">
        <w:rPr>
          <w:rFonts w:ascii="Times New Roman" w:hAnsi="Times New Roman" w:cs="Times New Roman"/>
          <w:color w:val="221E1F"/>
          <w:sz w:val="24"/>
          <w:szCs w:val="24"/>
        </w:rPr>
        <w:t xml:space="preserve">with the </w:t>
      </w:r>
      <w:r w:rsidRPr="00302620">
        <w:rPr>
          <w:rFonts w:ascii="Times New Roman" w:hAnsi="Times New Roman" w:cs="Times New Roman"/>
          <w:color w:val="221E1F"/>
          <w:sz w:val="24"/>
          <w:szCs w:val="24"/>
        </w:rPr>
        <w:t>SEC rules</w:t>
      </w:r>
      <w:r w:rsidR="00EB27AB">
        <w:rPr>
          <w:rFonts w:ascii="Times New Roman" w:hAnsi="Times New Roman" w:cs="Times New Roman"/>
          <w:color w:val="221E1F"/>
          <w:sz w:val="24"/>
          <w:szCs w:val="24"/>
        </w:rPr>
        <w:t>,</w:t>
      </w:r>
      <w:r w:rsidRPr="00302620">
        <w:rPr>
          <w:rFonts w:ascii="Times New Roman" w:hAnsi="Times New Roman" w:cs="Times New Roman"/>
          <w:color w:val="221E1F"/>
          <w:sz w:val="24"/>
          <w:szCs w:val="24"/>
        </w:rPr>
        <w:t xml:space="preserve"> and </w:t>
      </w:r>
      <w:r w:rsidR="005D7E9D">
        <w:rPr>
          <w:rFonts w:ascii="Times New Roman" w:hAnsi="Times New Roman" w:cs="Times New Roman"/>
          <w:color w:val="221E1F"/>
          <w:sz w:val="24"/>
          <w:szCs w:val="24"/>
        </w:rPr>
        <w:t xml:space="preserve">with </w:t>
      </w:r>
      <w:r w:rsidRPr="00302620">
        <w:rPr>
          <w:rFonts w:ascii="Times New Roman" w:hAnsi="Times New Roman" w:cs="Times New Roman"/>
          <w:color w:val="221E1F"/>
          <w:sz w:val="24"/>
          <w:szCs w:val="24"/>
        </w:rPr>
        <w:t>PCAOB standards</w:t>
      </w:r>
      <w:r w:rsidR="00EB27AB">
        <w:rPr>
          <w:rFonts w:ascii="Times New Roman" w:hAnsi="Times New Roman" w:cs="Times New Roman"/>
          <w:color w:val="221E1F"/>
          <w:sz w:val="24"/>
          <w:szCs w:val="24"/>
        </w:rPr>
        <w:t>, (2) i</w:t>
      </w:r>
      <w:r w:rsidRPr="00EB27AB">
        <w:rPr>
          <w:rFonts w:ascii="Times New Roman" w:hAnsi="Times New Roman" w:cs="Times New Roman"/>
          <w:color w:val="221E1F"/>
          <w:sz w:val="24"/>
          <w:szCs w:val="24"/>
        </w:rPr>
        <w:t>nterim financial statements</w:t>
      </w:r>
      <w:r w:rsidR="00EB27AB">
        <w:rPr>
          <w:rFonts w:ascii="Times New Roman" w:hAnsi="Times New Roman" w:cs="Times New Roman"/>
          <w:color w:val="221E1F"/>
          <w:sz w:val="24"/>
          <w:szCs w:val="24"/>
        </w:rPr>
        <w:t>, (3) p</w:t>
      </w:r>
      <w:r w:rsidRPr="00302620">
        <w:rPr>
          <w:rFonts w:ascii="Times New Roman" w:hAnsi="Times New Roman" w:cs="Times New Roman"/>
          <w:color w:val="221E1F"/>
          <w:sz w:val="24"/>
          <w:szCs w:val="24"/>
        </w:rPr>
        <w:t>ro</w:t>
      </w:r>
      <w:r w:rsidR="00EB27AB">
        <w:rPr>
          <w:rFonts w:ascii="Times New Roman" w:hAnsi="Times New Roman" w:cs="Times New Roman"/>
          <w:color w:val="221E1F"/>
          <w:sz w:val="24"/>
          <w:szCs w:val="24"/>
        </w:rPr>
        <w:t>-</w:t>
      </w:r>
      <w:r w:rsidRPr="00302620">
        <w:rPr>
          <w:rFonts w:ascii="Times New Roman" w:hAnsi="Times New Roman" w:cs="Times New Roman"/>
          <w:color w:val="221E1F"/>
          <w:sz w:val="24"/>
          <w:szCs w:val="24"/>
        </w:rPr>
        <w:t>forma financial information</w:t>
      </w:r>
      <w:r w:rsidR="00EB27AB">
        <w:rPr>
          <w:rFonts w:ascii="Times New Roman" w:hAnsi="Times New Roman" w:cs="Times New Roman"/>
          <w:color w:val="221E1F"/>
          <w:sz w:val="24"/>
          <w:szCs w:val="24"/>
        </w:rPr>
        <w:t xml:space="preserve">, (4) </w:t>
      </w:r>
      <w:r w:rsidRPr="00302620">
        <w:rPr>
          <w:rFonts w:ascii="Times New Roman" w:hAnsi="Times New Roman" w:cs="Times New Roman"/>
          <w:color w:val="221E1F"/>
          <w:sz w:val="24"/>
          <w:szCs w:val="24"/>
        </w:rPr>
        <w:t>MD&amp;A and market risk disclosures</w:t>
      </w:r>
      <w:r w:rsidR="00EB27AB">
        <w:rPr>
          <w:rFonts w:ascii="Times New Roman" w:hAnsi="Times New Roman" w:cs="Times New Roman"/>
          <w:color w:val="221E1F"/>
          <w:sz w:val="24"/>
          <w:szCs w:val="24"/>
        </w:rPr>
        <w:t>, and (5) o</w:t>
      </w:r>
      <w:r w:rsidRPr="00302620">
        <w:rPr>
          <w:rFonts w:ascii="Times New Roman" w:hAnsi="Times New Roman" w:cs="Times New Roman"/>
          <w:color w:val="221E1F"/>
          <w:sz w:val="24"/>
          <w:szCs w:val="24"/>
        </w:rPr>
        <w:t xml:space="preserve">ther nonfinancial information for a Form S-4 </w:t>
      </w:r>
      <w:r w:rsidR="005D7E9D">
        <w:rPr>
          <w:rFonts w:ascii="Times New Roman" w:hAnsi="Times New Roman" w:cs="Times New Roman"/>
          <w:color w:val="221E1F"/>
          <w:sz w:val="24"/>
          <w:szCs w:val="24"/>
        </w:rPr>
        <w:t>(</w:t>
      </w:r>
      <w:r w:rsidRPr="00302620">
        <w:rPr>
          <w:rFonts w:ascii="Times New Roman" w:hAnsi="Times New Roman" w:cs="Times New Roman"/>
          <w:color w:val="221E1F"/>
          <w:sz w:val="24"/>
          <w:szCs w:val="24"/>
        </w:rPr>
        <w:t>proxy statement</w:t>
      </w:r>
      <w:r w:rsidR="005D7E9D">
        <w:rPr>
          <w:rFonts w:ascii="Times New Roman" w:hAnsi="Times New Roman" w:cs="Times New Roman"/>
          <w:color w:val="221E1F"/>
          <w:sz w:val="24"/>
          <w:szCs w:val="24"/>
        </w:rPr>
        <w:t>)</w:t>
      </w:r>
      <w:r w:rsidRPr="00302620">
        <w:rPr>
          <w:rFonts w:ascii="Times New Roman" w:hAnsi="Times New Roman" w:cs="Times New Roman"/>
          <w:color w:val="221E1F"/>
          <w:sz w:val="24"/>
          <w:szCs w:val="24"/>
        </w:rPr>
        <w:t xml:space="preserve"> and </w:t>
      </w:r>
      <w:r w:rsidR="00D2565F">
        <w:rPr>
          <w:rFonts w:ascii="Times New Roman" w:hAnsi="Times New Roman" w:cs="Times New Roman"/>
          <w:color w:val="221E1F"/>
          <w:sz w:val="24"/>
          <w:szCs w:val="24"/>
        </w:rPr>
        <w:t>Super 8-K</w:t>
      </w:r>
      <w:r w:rsidRPr="00302620">
        <w:rPr>
          <w:rFonts w:ascii="Times New Roman" w:hAnsi="Times New Roman" w:cs="Times New Roman"/>
          <w:color w:val="221E1F"/>
          <w:sz w:val="24"/>
          <w:szCs w:val="24"/>
        </w:rPr>
        <w:t xml:space="preserve">. </w:t>
      </w:r>
    </w:p>
    <w:p w14:paraId="6AAEF5D9" w14:textId="45E3F308" w:rsidR="009B47A4" w:rsidRPr="009B47A4" w:rsidRDefault="009B47A4" w:rsidP="009B47A4">
      <w:pPr>
        <w:spacing w:after="0" w:line="480" w:lineRule="auto"/>
        <w:jc w:val="both"/>
        <w:rPr>
          <w:rFonts w:ascii="Times New Roman" w:hAnsi="Times New Roman" w:cs="Times New Roman"/>
          <w:i/>
          <w:sz w:val="24"/>
          <w:szCs w:val="24"/>
        </w:rPr>
      </w:pPr>
      <w:r w:rsidRPr="009B47A4">
        <w:rPr>
          <w:rFonts w:ascii="Times New Roman" w:hAnsi="Times New Roman" w:cs="Times New Roman"/>
          <w:i/>
          <w:sz w:val="24"/>
          <w:szCs w:val="24"/>
        </w:rPr>
        <w:t>2.</w:t>
      </w:r>
      <w:r>
        <w:rPr>
          <w:rFonts w:ascii="Times New Roman" w:hAnsi="Times New Roman" w:cs="Times New Roman"/>
          <w:i/>
          <w:sz w:val="24"/>
          <w:szCs w:val="24"/>
        </w:rPr>
        <w:t>3</w:t>
      </w:r>
      <w:r w:rsidRPr="009B47A4">
        <w:rPr>
          <w:rFonts w:ascii="Times New Roman" w:hAnsi="Times New Roman" w:cs="Times New Roman"/>
          <w:i/>
          <w:sz w:val="24"/>
          <w:szCs w:val="24"/>
        </w:rPr>
        <w:t>.</w:t>
      </w:r>
      <w:r w:rsidRPr="009B47A4">
        <w:rPr>
          <w:rFonts w:ascii="Times New Roman" w:hAnsi="Times New Roman" w:cs="Times New Roman"/>
          <w:i/>
          <w:sz w:val="24"/>
          <w:szCs w:val="24"/>
        </w:rPr>
        <w:tab/>
      </w:r>
      <w:r>
        <w:rPr>
          <w:rFonts w:ascii="Times New Roman" w:hAnsi="Times New Roman" w:cs="Times New Roman"/>
          <w:i/>
          <w:sz w:val="24"/>
          <w:szCs w:val="24"/>
        </w:rPr>
        <w:t xml:space="preserve">Differences between SPAC- and </w:t>
      </w:r>
      <w:r w:rsidR="002710EC">
        <w:rPr>
          <w:rFonts w:ascii="Times New Roman" w:hAnsi="Times New Roman" w:cs="Times New Roman"/>
          <w:i/>
          <w:sz w:val="24"/>
          <w:szCs w:val="24"/>
        </w:rPr>
        <w:t>Non-SPAC-</w:t>
      </w:r>
      <w:r>
        <w:rPr>
          <w:rFonts w:ascii="Times New Roman" w:hAnsi="Times New Roman" w:cs="Times New Roman"/>
          <w:i/>
          <w:sz w:val="24"/>
          <w:szCs w:val="24"/>
        </w:rPr>
        <w:t>IPO</w:t>
      </w:r>
      <w:r w:rsidR="002710EC">
        <w:rPr>
          <w:rFonts w:ascii="Times New Roman" w:hAnsi="Times New Roman" w:cs="Times New Roman"/>
          <w:i/>
          <w:sz w:val="24"/>
          <w:szCs w:val="24"/>
        </w:rPr>
        <w:t>s</w:t>
      </w:r>
    </w:p>
    <w:p w14:paraId="16B049FB" w14:textId="61665ECC" w:rsidR="00E531DF" w:rsidRDefault="00EB27AB" w:rsidP="00C64C5E">
      <w:pPr>
        <w:autoSpaceDE w:val="0"/>
        <w:autoSpaceDN w:val="0"/>
        <w:adjustRightInd w:val="0"/>
        <w:spacing w:after="0" w:line="480" w:lineRule="auto"/>
        <w:ind w:firstLine="720"/>
        <w:jc w:val="both"/>
        <w:rPr>
          <w:rFonts w:ascii="Times New Roman" w:hAnsi="Times New Roman" w:cs="Times New Roman"/>
          <w:color w:val="211D1E"/>
          <w:sz w:val="24"/>
          <w:szCs w:val="24"/>
        </w:rPr>
      </w:pPr>
      <w:r>
        <w:rPr>
          <w:rFonts w:ascii="Times New Roman" w:hAnsi="Times New Roman" w:cs="Times New Roman"/>
          <w:color w:val="221E1F"/>
          <w:sz w:val="24"/>
          <w:szCs w:val="24"/>
        </w:rPr>
        <w:lastRenderedPageBreak/>
        <w:t>There are</w:t>
      </w:r>
      <w:r w:rsidR="009B47A4" w:rsidRPr="00C64C5E">
        <w:rPr>
          <w:rFonts w:ascii="Times New Roman" w:hAnsi="Times New Roman" w:cs="Times New Roman"/>
          <w:color w:val="221E1F"/>
          <w:sz w:val="24"/>
          <w:szCs w:val="24"/>
        </w:rPr>
        <w:t xml:space="preserve"> several notable differences between </w:t>
      </w:r>
      <w:r>
        <w:rPr>
          <w:rFonts w:ascii="Times New Roman" w:hAnsi="Times New Roman" w:cs="Times New Roman"/>
          <w:color w:val="221E1F"/>
          <w:sz w:val="24"/>
          <w:szCs w:val="24"/>
        </w:rPr>
        <w:t xml:space="preserve">SPAC- and non-SPAC-IPOs. </w:t>
      </w:r>
      <w:r w:rsidR="009B47A4" w:rsidRPr="00C64C5E">
        <w:rPr>
          <w:rFonts w:ascii="Times New Roman" w:hAnsi="Times New Roman" w:cs="Times New Roman"/>
          <w:color w:val="221E1F"/>
          <w:sz w:val="24"/>
          <w:szCs w:val="24"/>
        </w:rPr>
        <w:t xml:space="preserve">First, contrary to a traditional IPO, a SPAC acquisition allows a private company to effectively go public without making arrangements </w:t>
      </w:r>
      <w:r w:rsidR="00721DC0">
        <w:rPr>
          <w:rFonts w:ascii="Times New Roman" w:hAnsi="Times New Roman" w:cs="Times New Roman"/>
          <w:color w:val="221E1F"/>
          <w:sz w:val="24"/>
          <w:szCs w:val="24"/>
        </w:rPr>
        <w:t xml:space="preserve">directly </w:t>
      </w:r>
      <w:r w:rsidR="009B47A4" w:rsidRPr="00C64C5E">
        <w:rPr>
          <w:rFonts w:ascii="Times New Roman" w:hAnsi="Times New Roman" w:cs="Times New Roman"/>
          <w:color w:val="221E1F"/>
          <w:sz w:val="24"/>
          <w:szCs w:val="24"/>
        </w:rPr>
        <w:t xml:space="preserve">with underwriters, conducting roadshows, or preparing a prospectus to sell its securities to the public. </w:t>
      </w:r>
      <w:r w:rsidR="006D6418" w:rsidRPr="006D6418">
        <w:rPr>
          <w:rFonts w:ascii="Times New Roman" w:hAnsi="Times New Roman" w:cs="Times New Roman"/>
          <w:color w:val="211D1E"/>
          <w:sz w:val="24"/>
          <w:szCs w:val="24"/>
        </w:rPr>
        <w:t xml:space="preserve">A SPAC merger </w:t>
      </w:r>
      <w:r w:rsidR="001613DA">
        <w:rPr>
          <w:rFonts w:ascii="Times New Roman" w:hAnsi="Times New Roman" w:cs="Times New Roman"/>
          <w:color w:val="211D1E"/>
          <w:sz w:val="24"/>
          <w:szCs w:val="24"/>
        </w:rPr>
        <w:t xml:space="preserve">(from the merger announcement date to the completion date) </w:t>
      </w:r>
      <w:r w:rsidR="006D6418" w:rsidRPr="006D6418">
        <w:rPr>
          <w:rFonts w:ascii="Times New Roman" w:hAnsi="Times New Roman" w:cs="Times New Roman"/>
          <w:color w:val="211D1E"/>
          <w:sz w:val="24"/>
          <w:szCs w:val="24"/>
        </w:rPr>
        <w:t>usually occurs in 3–6 months on average, while an IPO usually takes 12–18 months.</w:t>
      </w:r>
      <w:r w:rsidR="006D6418" w:rsidRPr="00C64C5E">
        <w:rPr>
          <w:rFonts w:ascii="Times New Roman" w:hAnsi="Times New Roman" w:cs="Times New Roman"/>
          <w:color w:val="211D1E"/>
          <w:sz w:val="24"/>
          <w:szCs w:val="24"/>
        </w:rPr>
        <w:t xml:space="preserve"> </w:t>
      </w:r>
      <w:r w:rsidR="009B47A4" w:rsidRPr="00C64C5E">
        <w:rPr>
          <w:rFonts w:ascii="Times New Roman" w:hAnsi="Times New Roman" w:cs="Times New Roman"/>
          <w:color w:val="221E1F"/>
          <w:sz w:val="24"/>
          <w:szCs w:val="24"/>
        </w:rPr>
        <w:t>Second, a target company being acquired by a SPAC is able to privately negotiate a fixed valuation with the SPAC-acquirer by setting a fixed dollar “purchase price” which may not be the case with the pricing in traditional IPOs</w:t>
      </w:r>
      <w:r w:rsidR="006D6418" w:rsidRPr="00C64C5E">
        <w:rPr>
          <w:rFonts w:ascii="Times New Roman" w:hAnsi="Times New Roman" w:cs="Times New Roman"/>
          <w:color w:val="221E1F"/>
          <w:sz w:val="24"/>
          <w:szCs w:val="24"/>
        </w:rPr>
        <w:t xml:space="preserve"> especially in a volatile market</w:t>
      </w:r>
      <w:r w:rsidR="009B47A4" w:rsidRPr="00C64C5E">
        <w:rPr>
          <w:rFonts w:ascii="Times New Roman" w:hAnsi="Times New Roman" w:cs="Times New Roman"/>
          <w:color w:val="221E1F"/>
          <w:sz w:val="24"/>
          <w:szCs w:val="24"/>
        </w:rPr>
        <w:t>.</w:t>
      </w:r>
      <w:r w:rsidR="00013FA6" w:rsidRPr="00C64C5E">
        <w:rPr>
          <w:rStyle w:val="FootnoteReference"/>
          <w:rFonts w:ascii="Times New Roman" w:hAnsi="Times New Roman" w:cs="Times New Roman"/>
          <w:color w:val="221E1F"/>
          <w:sz w:val="24"/>
          <w:szCs w:val="24"/>
        </w:rPr>
        <w:footnoteReference w:id="11"/>
      </w:r>
      <w:r w:rsidR="009B47A4" w:rsidRPr="00C64C5E">
        <w:rPr>
          <w:rFonts w:ascii="Times New Roman" w:hAnsi="Times New Roman" w:cs="Times New Roman"/>
          <w:color w:val="221E1F"/>
          <w:sz w:val="24"/>
          <w:szCs w:val="24"/>
        </w:rPr>
        <w:t xml:space="preserve"> Third, </w:t>
      </w:r>
      <w:r w:rsidR="00C64C5E" w:rsidRPr="006D6418">
        <w:rPr>
          <w:rFonts w:ascii="Times New Roman" w:hAnsi="Times New Roman" w:cs="Times New Roman"/>
          <w:color w:val="211D1E"/>
          <w:sz w:val="24"/>
          <w:szCs w:val="24"/>
        </w:rPr>
        <w:t xml:space="preserve">SPAC sponsors </w:t>
      </w:r>
      <w:r w:rsidR="00C64C5E" w:rsidRPr="00C64C5E">
        <w:rPr>
          <w:rFonts w:ascii="Times New Roman" w:hAnsi="Times New Roman" w:cs="Times New Roman"/>
          <w:color w:val="211D1E"/>
          <w:sz w:val="24"/>
          <w:szCs w:val="24"/>
        </w:rPr>
        <w:t xml:space="preserve">additionally </w:t>
      </w:r>
      <w:r w:rsidR="00C64C5E" w:rsidRPr="006D6418">
        <w:rPr>
          <w:rFonts w:ascii="Times New Roman" w:hAnsi="Times New Roman" w:cs="Times New Roman"/>
          <w:color w:val="211D1E"/>
          <w:sz w:val="24"/>
          <w:szCs w:val="24"/>
        </w:rPr>
        <w:t xml:space="preserve">raise debt or PIPE funding to </w:t>
      </w:r>
      <w:r w:rsidR="00ED3BC0">
        <w:rPr>
          <w:rFonts w:ascii="Times New Roman" w:hAnsi="Times New Roman" w:cs="Times New Roman"/>
          <w:color w:val="211D1E"/>
          <w:sz w:val="24"/>
          <w:szCs w:val="24"/>
        </w:rPr>
        <w:t xml:space="preserve">complete </w:t>
      </w:r>
      <w:r w:rsidR="00C64C5E" w:rsidRPr="006D6418">
        <w:rPr>
          <w:rFonts w:ascii="Times New Roman" w:hAnsi="Times New Roman" w:cs="Times New Roman"/>
          <w:color w:val="211D1E"/>
          <w:sz w:val="24"/>
          <w:szCs w:val="24"/>
        </w:rPr>
        <w:t xml:space="preserve">the transaction. This </w:t>
      </w:r>
      <w:r w:rsidR="00C64C5E" w:rsidRPr="00C64C5E">
        <w:rPr>
          <w:rFonts w:ascii="Times New Roman" w:hAnsi="Times New Roman" w:cs="Times New Roman"/>
          <w:color w:val="211D1E"/>
          <w:sz w:val="24"/>
          <w:szCs w:val="24"/>
        </w:rPr>
        <w:t xml:space="preserve">funding also ensures </w:t>
      </w:r>
      <w:r w:rsidR="00C64C5E" w:rsidRPr="006D6418">
        <w:rPr>
          <w:rFonts w:ascii="Times New Roman" w:hAnsi="Times New Roman" w:cs="Times New Roman"/>
          <w:color w:val="211D1E"/>
          <w:sz w:val="24"/>
          <w:szCs w:val="24"/>
        </w:rPr>
        <w:t>a completed transaction even if some SPAC investors redeem their shares.</w:t>
      </w:r>
      <w:r w:rsidR="00C64C5E" w:rsidRPr="00C64C5E">
        <w:rPr>
          <w:rFonts w:ascii="Times New Roman" w:hAnsi="Times New Roman" w:cs="Times New Roman"/>
          <w:color w:val="211D1E"/>
          <w:sz w:val="24"/>
          <w:szCs w:val="24"/>
        </w:rPr>
        <w:t xml:space="preserve"> Fourth, </w:t>
      </w:r>
      <w:r w:rsidR="009B47A4" w:rsidRPr="00C64C5E">
        <w:rPr>
          <w:rFonts w:ascii="Times New Roman" w:hAnsi="Times New Roman" w:cs="Times New Roman"/>
          <w:color w:val="221E1F"/>
          <w:sz w:val="24"/>
          <w:szCs w:val="24"/>
        </w:rPr>
        <w:t>SPAC transactions often present an opportunity for companies to simplify deal terms by using a public-company-style acquisition approach based on an enterprise value without negotiating working capital, cash, debt, or transaction expense adjustments.</w:t>
      </w:r>
      <w:r w:rsidR="00C64C5E" w:rsidRPr="00C64C5E">
        <w:rPr>
          <w:rFonts w:ascii="Times New Roman" w:hAnsi="Times New Roman" w:cs="Times New Roman"/>
          <w:color w:val="221E1F"/>
          <w:sz w:val="24"/>
          <w:szCs w:val="24"/>
        </w:rPr>
        <w:t xml:space="preserve"> Fifth, </w:t>
      </w:r>
      <w:r w:rsidR="00C64C5E" w:rsidRPr="006D6418">
        <w:rPr>
          <w:rFonts w:ascii="Times New Roman" w:hAnsi="Times New Roman" w:cs="Times New Roman"/>
          <w:color w:val="211D1E"/>
          <w:sz w:val="24"/>
          <w:szCs w:val="24"/>
        </w:rPr>
        <w:t xml:space="preserve">SPAC sponsors </w:t>
      </w:r>
      <w:r w:rsidR="00C64C5E" w:rsidRPr="00C64C5E">
        <w:rPr>
          <w:rFonts w:ascii="Times New Roman" w:hAnsi="Times New Roman" w:cs="Times New Roman"/>
          <w:color w:val="211D1E"/>
          <w:sz w:val="24"/>
          <w:szCs w:val="24"/>
        </w:rPr>
        <w:t>of</w:t>
      </w:r>
      <w:r w:rsidR="00C64C5E" w:rsidRPr="006D6418">
        <w:rPr>
          <w:rFonts w:ascii="Times New Roman" w:hAnsi="Times New Roman" w:cs="Times New Roman"/>
          <w:color w:val="211D1E"/>
          <w:sz w:val="24"/>
          <w:szCs w:val="24"/>
        </w:rPr>
        <w:t>ten are experienced financial and industrial professionals. They can tap into their network of contacts to offer management expertise or take on a role themselves on the board</w:t>
      </w:r>
      <w:r w:rsidR="00B63D7E">
        <w:rPr>
          <w:rFonts w:ascii="Times New Roman" w:hAnsi="Times New Roman" w:cs="Times New Roman"/>
          <w:color w:val="211D1E"/>
          <w:sz w:val="24"/>
          <w:szCs w:val="24"/>
        </w:rPr>
        <w:t xml:space="preserve"> of the target firm after it become</w:t>
      </w:r>
      <w:r>
        <w:rPr>
          <w:rFonts w:ascii="Times New Roman" w:hAnsi="Times New Roman" w:cs="Times New Roman"/>
          <w:color w:val="211D1E"/>
          <w:sz w:val="24"/>
          <w:szCs w:val="24"/>
        </w:rPr>
        <w:t>s</w:t>
      </w:r>
      <w:r w:rsidR="00B63D7E">
        <w:rPr>
          <w:rFonts w:ascii="Times New Roman" w:hAnsi="Times New Roman" w:cs="Times New Roman"/>
          <w:color w:val="211D1E"/>
          <w:sz w:val="24"/>
          <w:szCs w:val="24"/>
        </w:rPr>
        <w:t xml:space="preserve"> a public company</w:t>
      </w:r>
      <w:r w:rsidR="00C64C5E" w:rsidRPr="006D6418">
        <w:rPr>
          <w:rFonts w:ascii="Times New Roman" w:hAnsi="Times New Roman" w:cs="Times New Roman"/>
          <w:color w:val="211D1E"/>
          <w:sz w:val="24"/>
          <w:szCs w:val="24"/>
        </w:rPr>
        <w:t>.</w:t>
      </w:r>
      <w:r w:rsidR="00C64C5E" w:rsidRPr="00C64C5E">
        <w:rPr>
          <w:rFonts w:ascii="Times New Roman" w:hAnsi="Times New Roman" w:cs="Times New Roman"/>
          <w:color w:val="211D1E"/>
          <w:sz w:val="24"/>
          <w:szCs w:val="24"/>
        </w:rPr>
        <w:t xml:space="preserve"> In contrast, traditional IPOs are not associated with any type of sponsors.</w:t>
      </w:r>
    </w:p>
    <w:p w14:paraId="2F4F99F8" w14:textId="0E8FE379" w:rsidR="00E9690A" w:rsidRPr="00B86486" w:rsidRDefault="00E9690A" w:rsidP="00B86486">
      <w:pPr>
        <w:autoSpaceDE w:val="0"/>
        <w:autoSpaceDN w:val="0"/>
        <w:adjustRightInd w:val="0"/>
        <w:spacing w:after="0" w:line="480" w:lineRule="auto"/>
        <w:jc w:val="both"/>
        <w:rPr>
          <w:rFonts w:ascii="Times New Roman" w:hAnsi="Times New Roman" w:cs="Times New Roman"/>
          <w:i/>
          <w:color w:val="211D1E"/>
          <w:sz w:val="24"/>
          <w:szCs w:val="24"/>
        </w:rPr>
      </w:pPr>
      <w:r w:rsidRPr="00B86486">
        <w:rPr>
          <w:rFonts w:ascii="Times New Roman" w:hAnsi="Times New Roman" w:cs="Times New Roman"/>
          <w:i/>
          <w:color w:val="211D1E"/>
          <w:sz w:val="24"/>
          <w:szCs w:val="24"/>
        </w:rPr>
        <w:t xml:space="preserve">2.4. </w:t>
      </w:r>
      <w:r w:rsidRPr="00B86486">
        <w:rPr>
          <w:rFonts w:ascii="Times New Roman" w:hAnsi="Times New Roman" w:cs="Times New Roman"/>
          <w:i/>
          <w:color w:val="211D1E"/>
          <w:sz w:val="24"/>
          <w:szCs w:val="24"/>
        </w:rPr>
        <w:tab/>
        <w:t>New SEC Reporting Requirements</w:t>
      </w:r>
    </w:p>
    <w:p w14:paraId="216B672A" w14:textId="522848DF" w:rsidR="00E9690A" w:rsidRPr="005853C9" w:rsidRDefault="00E9690A" w:rsidP="00185284">
      <w:pPr>
        <w:pStyle w:val="content"/>
        <w:spacing w:before="0" w:beforeAutospacing="0" w:after="0" w:afterAutospacing="0" w:line="480" w:lineRule="auto"/>
        <w:ind w:firstLine="576"/>
        <w:jc w:val="both"/>
      </w:pPr>
      <w:r w:rsidRPr="005853C9">
        <w:t xml:space="preserve">On March 30, 2022, the SEC </w:t>
      </w:r>
      <w:r w:rsidR="00EE33DB" w:rsidRPr="005853C9">
        <w:t xml:space="preserve">(2022) </w:t>
      </w:r>
      <w:r w:rsidRPr="005853C9">
        <w:t xml:space="preserve">announced new rules intended to enhance </w:t>
      </w:r>
      <w:r w:rsidR="00F2637C">
        <w:t xml:space="preserve">the </w:t>
      </w:r>
      <w:r w:rsidRPr="005853C9">
        <w:t xml:space="preserve">disclosure and investor protections in SPACs and in subsequent business combinations between SPACs and private operating companies. The </w:t>
      </w:r>
      <w:r w:rsidR="00D11FDF">
        <w:t xml:space="preserve">following is a brief summary of the </w:t>
      </w:r>
      <w:r w:rsidRPr="005853C9">
        <w:t>four key provisions of the new rules</w:t>
      </w:r>
      <w:r w:rsidR="00D11FDF">
        <w:t>.</w:t>
      </w:r>
    </w:p>
    <w:p w14:paraId="46BF364B" w14:textId="0C521CEE" w:rsidR="00044403" w:rsidRPr="00F2637C" w:rsidRDefault="00E9690A" w:rsidP="003C1675">
      <w:pPr>
        <w:numPr>
          <w:ilvl w:val="0"/>
          <w:numId w:val="22"/>
        </w:numPr>
        <w:tabs>
          <w:tab w:val="num" w:pos="720"/>
        </w:tabs>
        <w:spacing w:after="0" w:line="240" w:lineRule="auto"/>
        <w:ind w:left="720" w:hanging="720"/>
        <w:jc w:val="both"/>
        <w:rPr>
          <w:rFonts w:ascii="Times New Roman" w:eastAsia="Times New Roman" w:hAnsi="Times New Roman" w:cs="Times New Roman"/>
          <w:sz w:val="24"/>
          <w:szCs w:val="24"/>
        </w:rPr>
      </w:pPr>
      <w:r w:rsidRPr="005853C9">
        <w:rPr>
          <w:rFonts w:ascii="Times New Roman" w:eastAsia="Times New Roman" w:hAnsi="Times New Roman" w:cs="Times New Roman"/>
          <w:b/>
          <w:bCs/>
          <w:i/>
          <w:iCs/>
          <w:sz w:val="24"/>
          <w:szCs w:val="24"/>
        </w:rPr>
        <w:lastRenderedPageBreak/>
        <w:t>Disclosure and Investor Protection</w:t>
      </w:r>
      <w:r w:rsidRPr="005853C9">
        <w:rPr>
          <w:rFonts w:ascii="Times New Roman" w:eastAsia="Times New Roman" w:hAnsi="Times New Roman" w:cs="Times New Roman"/>
          <w:sz w:val="24"/>
          <w:szCs w:val="24"/>
        </w:rPr>
        <w:t xml:space="preserve">. </w:t>
      </w:r>
      <w:r w:rsidR="00950B6A" w:rsidRPr="005853C9">
        <w:rPr>
          <w:rFonts w:ascii="Times New Roman" w:eastAsia="Times New Roman" w:hAnsi="Times New Roman" w:cs="Times New Roman"/>
          <w:sz w:val="24"/>
          <w:szCs w:val="24"/>
        </w:rPr>
        <w:t>The proposed rule would require added d</w:t>
      </w:r>
      <w:r w:rsidR="003D344A" w:rsidRPr="005853C9">
        <w:rPr>
          <w:rFonts w:ascii="Times New Roman" w:hAnsi="Times New Roman" w:cs="Times New Roman"/>
          <w:sz w:val="24"/>
          <w:szCs w:val="24"/>
        </w:rPr>
        <w:t>isclosures</w:t>
      </w:r>
      <w:r w:rsidR="00950B6A" w:rsidRPr="005853C9">
        <w:rPr>
          <w:rFonts w:ascii="Times New Roman" w:hAnsi="Times New Roman" w:cs="Times New Roman"/>
          <w:sz w:val="24"/>
          <w:szCs w:val="24"/>
        </w:rPr>
        <w:t>: (1)</w:t>
      </w:r>
      <w:r w:rsidR="003D344A" w:rsidRPr="005853C9">
        <w:rPr>
          <w:rFonts w:ascii="Times New Roman" w:hAnsi="Times New Roman" w:cs="Times New Roman"/>
          <w:sz w:val="24"/>
          <w:szCs w:val="24"/>
        </w:rPr>
        <w:t xml:space="preserve"> </w:t>
      </w:r>
      <w:r w:rsidRPr="005853C9">
        <w:rPr>
          <w:rFonts w:ascii="Times New Roman" w:eastAsia="Times New Roman" w:hAnsi="Times New Roman" w:cs="Times New Roman"/>
          <w:sz w:val="24"/>
          <w:szCs w:val="24"/>
        </w:rPr>
        <w:t>with respect to compensation paid to sponsors, potential conflicts of interest, dilution, and the fairness of the business combination, for both the SPAC IPOs and de</w:t>
      </w:r>
      <w:r w:rsidRPr="005853C9">
        <w:rPr>
          <w:rFonts w:ascii="Times New Roman" w:eastAsia="Times New Roman" w:hAnsi="Times New Roman" w:cs="Times New Roman"/>
          <w:sz w:val="24"/>
          <w:szCs w:val="24"/>
        </w:rPr>
        <w:noBreakHyphen/>
        <w:t>SPAC transactions</w:t>
      </w:r>
      <w:r w:rsidR="00950B6A" w:rsidRPr="005853C9">
        <w:rPr>
          <w:rFonts w:ascii="Times New Roman" w:eastAsia="Times New Roman" w:hAnsi="Times New Roman" w:cs="Times New Roman"/>
          <w:sz w:val="24"/>
          <w:szCs w:val="24"/>
        </w:rPr>
        <w:t>, (</w:t>
      </w:r>
      <w:r w:rsidR="00F2637C">
        <w:rPr>
          <w:rFonts w:ascii="Times New Roman" w:eastAsia="Times New Roman" w:hAnsi="Times New Roman" w:cs="Times New Roman"/>
          <w:sz w:val="24"/>
          <w:szCs w:val="24"/>
        </w:rPr>
        <w:t>2</w:t>
      </w:r>
      <w:r w:rsidR="00950B6A" w:rsidRPr="005853C9">
        <w:rPr>
          <w:rFonts w:ascii="Times New Roman" w:eastAsia="Times New Roman" w:hAnsi="Times New Roman" w:cs="Times New Roman"/>
          <w:sz w:val="24"/>
          <w:szCs w:val="24"/>
        </w:rPr>
        <w:t xml:space="preserve">) </w:t>
      </w:r>
      <w:r w:rsidR="003D344A" w:rsidRPr="005853C9">
        <w:rPr>
          <w:rFonts w:ascii="Times New Roman" w:hAnsi="Times New Roman" w:cs="Times New Roman"/>
          <w:sz w:val="24"/>
          <w:szCs w:val="24"/>
        </w:rPr>
        <w:t>about the target company, the background of the transaction, material terms and effects of the proposed de-SPAC transaction</w:t>
      </w:r>
      <w:r w:rsidR="00950B6A" w:rsidRPr="005853C9">
        <w:rPr>
          <w:rFonts w:ascii="Times New Roman" w:hAnsi="Times New Roman" w:cs="Times New Roman"/>
          <w:sz w:val="24"/>
          <w:szCs w:val="24"/>
        </w:rPr>
        <w:t>, and (</w:t>
      </w:r>
      <w:r w:rsidR="00F2637C">
        <w:rPr>
          <w:rFonts w:ascii="Times New Roman" w:hAnsi="Times New Roman" w:cs="Times New Roman"/>
          <w:sz w:val="24"/>
          <w:szCs w:val="24"/>
        </w:rPr>
        <w:t>3</w:t>
      </w:r>
      <w:r w:rsidR="00950B6A" w:rsidRPr="005853C9">
        <w:rPr>
          <w:rFonts w:ascii="Times New Roman" w:hAnsi="Times New Roman" w:cs="Times New Roman"/>
          <w:sz w:val="24"/>
          <w:szCs w:val="24"/>
        </w:rPr>
        <w:t xml:space="preserve">) about </w:t>
      </w:r>
      <w:r w:rsidR="003D344A" w:rsidRPr="005853C9">
        <w:rPr>
          <w:rFonts w:ascii="Times New Roman" w:hAnsi="Times New Roman" w:cs="Times New Roman"/>
          <w:sz w:val="24"/>
          <w:szCs w:val="24"/>
        </w:rPr>
        <w:t>the age of financial statements, the SPAC’s financials following the closing of a de-SPAC transaction</w:t>
      </w:r>
      <w:r w:rsidR="00950B6A" w:rsidRPr="005853C9">
        <w:rPr>
          <w:rFonts w:ascii="Times New Roman" w:hAnsi="Times New Roman" w:cs="Times New Roman"/>
          <w:sz w:val="24"/>
          <w:szCs w:val="24"/>
        </w:rPr>
        <w:t>,</w:t>
      </w:r>
      <w:r w:rsidR="003D344A" w:rsidRPr="005853C9">
        <w:rPr>
          <w:rFonts w:ascii="Times New Roman" w:hAnsi="Times New Roman" w:cs="Times New Roman"/>
          <w:sz w:val="24"/>
          <w:szCs w:val="24"/>
        </w:rPr>
        <w:t xml:space="preserve"> and the financial statements required for businesses acquired by the target company.</w:t>
      </w:r>
    </w:p>
    <w:p w14:paraId="7C0D6996" w14:textId="77777777" w:rsidR="00F2637C" w:rsidRPr="005853C9" w:rsidRDefault="00F2637C" w:rsidP="00F2637C">
      <w:pPr>
        <w:spacing w:after="0" w:line="240" w:lineRule="auto"/>
        <w:ind w:left="720"/>
        <w:jc w:val="both"/>
        <w:rPr>
          <w:rFonts w:ascii="Times New Roman" w:eastAsia="Times New Roman" w:hAnsi="Times New Roman" w:cs="Times New Roman"/>
          <w:sz w:val="24"/>
          <w:szCs w:val="24"/>
        </w:rPr>
      </w:pPr>
    </w:p>
    <w:p w14:paraId="28411382" w14:textId="17B30032" w:rsidR="00E9690A" w:rsidRPr="005853C9" w:rsidRDefault="00E9690A" w:rsidP="003C1675">
      <w:pPr>
        <w:numPr>
          <w:ilvl w:val="0"/>
          <w:numId w:val="22"/>
        </w:numPr>
        <w:tabs>
          <w:tab w:val="num" w:pos="720"/>
        </w:tabs>
        <w:spacing w:after="0" w:line="240" w:lineRule="auto"/>
        <w:ind w:left="720" w:hanging="720"/>
        <w:jc w:val="both"/>
        <w:rPr>
          <w:rFonts w:ascii="Times New Roman" w:eastAsia="Times New Roman" w:hAnsi="Times New Roman" w:cs="Times New Roman"/>
          <w:sz w:val="24"/>
          <w:szCs w:val="24"/>
        </w:rPr>
      </w:pPr>
      <w:r w:rsidRPr="005853C9">
        <w:rPr>
          <w:rFonts w:ascii="Times New Roman" w:eastAsia="Times New Roman" w:hAnsi="Times New Roman" w:cs="Times New Roman"/>
          <w:b/>
          <w:bCs/>
          <w:i/>
          <w:iCs/>
          <w:sz w:val="24"/>
          <w:szCs w:val="24"/>
        </w:rPr>
        <w:t>Business Combinations Involving Shell Companies</w:t>
      </w:r>
      <w:r w:rsidRPr="005853C9">
        <w:rPr>
          <w:rFonts w:ascii="Times New Roman" w:eastAsia="Times New Roman" w:hAnsi="Times New Roman" w:cs="Times New Roman"/>
          <w:sz w:val="24"/>
          <w:szCs w:val="24"/>
        </w:rPr>
        <w:t xml:space="preserve">. </w:t>
      </w:r>
      <w:r w:rsidR="00950B6A" w:rsidRPr="005853C9">
        <w:rPr>
          <w:rFonts w:ascii="Times New Roman" w:eastAsia="Times New Roman" w:hAnsi="Times New Roman" w:cs="Times New Roman"/>
          <w:sz w:val="24"/>
          <w:szCs w:val="24"/>
        </w:rPr>
        <w:t>The proposed rule requires</w:t>
      </w:r>
      <w:r w:rsidR="00D11FDF">
        <w:rPr>
          <w:rFonts w:ascii="Times New Roman" w:eastAsia="Times New Roman" w:hAnsi="Times New Roman" w:cs="Times New Roman"/>
          <w:sz w:val="24"/>
          <w:szCs w:val="24"/>
        </w:rPr>
        <w:t xml:space="preserve"> that</w:t>
      </w:r>
      <w:r w:rsidR="00950B6A" w:rsidRPr="005853C9">
        <w:rPr>
          <w:rFonts w:ascii="Times New Roman" w:eastAsia="Times New Roman" w:hAnsi="Times New Roman" w:cs="Times New Roman"/>
          <w:sz w:val="24"/>
          <w:szCs w:val="24"/>
        </w:rPr>
        <w:t xml:space="preserve">: (1) </w:t>
      </w:r>
      <w:r w:rsidR="003D344A" w:rsidRPr="005853C9">
        <w:rPr>
          <w:rFonts w:ascii="Times New Roman" w:hAnsi="Times New Roman" w:cs="Times New Roman"/>
          <w:sz w:val="24"/>
          <w:szCs w:val="24"/>
        </w:rPr>
        <w:t>the SPAC’s business combination be treated as a sale of securities requiring the filing of a registration statement thereby treating the de-SPAC transaction as a sale for the purposes of the Securities Act of 1933</w:t>
      </w:r>
      <w:r w:rsidR="00950B6A" w:rsidRPr="005853C9">
        <w:rPr>
          <w:rFonts w:ascii="Times New Roman" w:hAnsi="Times New Roman" w:cs="Times New Roman"/>
          <w:sz w:val="24"/>
          <w:szCs w:val="24"/>
        </w:rPr>
        <w:t>, and</w:t>
      </w:r>
      <w:r w:rsidR="003D344A" w:rsidRPr="005853C9">
        <w:rPr>
          <w:rFonts w:ascii="Times New Roman" w:hAnsi="Times New Roman" w:cs="Times New Roman"/>
          <w:sz w:val="24"/>
          <w:szCs w:val="24"/>
        </w:rPr>
        <w:t xml:space="preserve"> (2) the underwriters of a SPAC’s IPO, and those that facilitate the de-SPAC transaction, be considered as underwriters within the meaning of Section 2(a)(11) of the Securities Act of 1933, </w:t>
      </w:r>
      <w:r w:rsidR="00D11FDF">
        <w:rPr>
          <w:rFonts w:ascii="Times New Roman" w:hAnsi="Times New Roman" w:cs="Times New Roman"/>
          <w:sz w:val="24"/>
          <w:szCs w:val="24"/>
        </w:rPr>
        <w:t xml:space="preserve">and </w:t>
      </w:r>
      <w:r w:rsidR="003D344A" w:rsidRPr="005853C9">
        <w:rPr>
          <w:rFonts w:ascii="Times New Roman" w:hAnsi="Times New Roman" w:cs="Times New Roman"/>
          <w:sz w:val="24"/>
          <w:szCs w:val="24"/>
        </w:rPr>
        <w:t xml:space="preserve">(3) the target company be a co-registrant when a SPAC files a registration statement on Form S-4 or Form F-4 for a de-SPAC transaction, </w:t>
      </w:r>
      <w:r w:rsidR="00950B6A" w:rsidRPr="005853C9">
        <w:rPr>
          <w:rFonts w:ascii="Times New Roman" w:hAnsi="Times New Roman" w:cs="Times New Roman"/>
          <w:sz w:val="24"/>
          <w:szCs w:val="24"/>
        </w:rPr>
        <w:t xml:space="preserve">i.e., </w:t>
      </w:r>
      <w:r w:rsidR="005853C9" w:rsidRPr="005853C9">
        <w:rPr>
          <w:rFonts w:ascii="Times New Roman" w:hAnsi="Times New Roman" w:cs="Times New Roman"/>
          <w:sz w:val="24"/>
          <w:szCs w:val="24"/>
        </w:rPr>
        <w:t>the target company’s directors and officers are held accountable to investors by making them liable for disclosures in the registration statement.   </w:t>
      </w:r>
    </w:p>
    <w:p w14:paraId="7CC3CDCB" w14:textId="77777777" w:rsidR="00F2637C" w:rsidRPr="00F2637C" w:rsidRDefault="00F2637C" w:rsidP="00F2637C">
      <w:pPr>
        <w:spacing w:after="0" w:line="240" w:lineRule="auto"/>
        <w:ind w:left="720"/>
        <w:jc w:val="both"/>
        <w:rPr>
          <w:rFonts w:ascii="Times New Roman" w:eastAsia="Times New Roman" w:hAnsi="Times New Roman" w:cs="Times New Roman"/>
          <w:sz w:val="24"/>
          <w:szCs w:val="24"/>
        </w:rPr>
      </w:pPr>
    </w:p>
    <w:p w14:paraId="63962B5B" w14:textId="603217B1" w:rsidR="00E9690A" w:rsidRPr="005853C9" w:rsidRDefault="00E9690A" w:rsidP="003C1675">
      <w:pPr>
        <w:numPr>
          <w:ilvl w:val="0"/>
          <w:numId w:val="22"/>
        </w:numPr>
        <w:tabs>
          <w:tab w:val="num" w:pos="720"/>
        </w:tabs>
        <w:spacing w:after="0" w:line="240" w:lineRule="auto"/>
        <w:ind w:left="720" w:hanging="720"/>
        <w:jc w:val="both"/>
        <w:rPr>
          <w:rFonts w:ascii="Times New Roman" w:eastAsia="Times New Roman" w:hAnsi="Times New Roman" w:cs="Times New Roman"/>
          <w:sz w:val="24"/>
          <w:szCs w:val="24"/>
        </w:rPr>
      </w:pPr>
      <w:r w:rsidRPr="005853C9">
        <w:rPr>
          <w:rFonts w:ascii="Times New Roman" w:eastAsia="Times New Roman" w:hAnsi="Times New Roman" w:cs="Times New Roman"/>
          <w:b/>
          <w:bCs/>
          <w:i/>
          <w:iCs/>
          <w:sz w:val="24"/>
          <w:szCs w:val="24"/>
        </w:rPr>
        <w:t>Projections</w:t>
      </w:r>
      <w:r w:rsidRPr="005853C9">
        <w:rPr>
          <w:rFonts w:ascii="Times New Roman" w:eastAsia="Times New Roman" w:hAnsi="Times New Roman" w:cs="Times New Roman"/>
          <w:sz w:val="24"/>
          <w:szCs w:val="24"/>
        </w:rPr>
        <w:t xml:space="preserve">. </w:t>
      </w:r>
      <w:r w:rsidR="005853C9" w:rsidRPr="005853C9">
        <w:rPr>
          <w:rFonts w:ascii="Times New Roman" w:hAnsi="Times New Roman" w:cs="Times New Roman"/>
          <w:sz w:val="24"/>
          <w:szCs w:val="24"/>
        </w:rPr>
        <w:t xml:space="preserve">The proposed rules seek to amend the definition of “blank check company” to make the liability safe harbor in the Private Securities Litigation Reform Act of 1995 (PSLRA) for forward-looking statements, such as projections, unavailable in disclosure documents filed by SPACs. </w:t>
      </w:r>
    </w:p>
    <w:p w14:paraId="0E2B5CFA" w14:textId="77777777" w:rsidR="00F2637C" w:rsidRPr="00F2637C" w:rsidRDefault="00F2637C" w:rsidP="00F2637C">
      <w:pPr>
        <w:spacing w:after="0" w:line="240" w:lineRule="auto"/>
        <w:ind w:left="720"/>
        <w:jc w:val="both"/>
        <w:rPr>
          <w:rFonts w:ascii="Times New Roman" w:hAnsi="Times New Roman" w:cs="Times New Roman"/>
          <w:sz w:val="24"/>
          <w:szCs w:val="24"/>
        </w:rPr>
      </w:pPr>
    </w:p>
    <w:p w14:paraId="651B8B13" w14:textId="255BCBE3" w:rsidR="00E9690A" w:rsidRPr="003C1675" w:rsidRDefault="00E9690A" w:rsidP="003C1675">
      <w:pPr>
        <w:numPr>
          <w:ilvl w:val="0"/>
          <w:numId w:val="22"/>
        </w:numPr>
        <w:tabs>
          <w:tab w:val="num" w:pos="720"/>
        </w:tabs>
        <w:spacing w:after="0" w:line="240" w:lineRule="auto"/>
        <w:ind w:left="720" w:hanging="720"/>
        <w:jc w:val="both"/>
        <w:rPr>
          <w:rFonts w:ascii="Times New Roman" w:hAnsi="Times New Roman" w:cs="Times New Roman"/>
          <w:sz w:val="24"/>
          <w:szCs w:val="24"/>
        </w:rPr>
      </w:pPr>
      <w:r w:rsidRPr="005853C9">
        <w:rPr>
          <w:rFonts w:ascii="Times New Roman" w:eastAsia="Times New Roman" w:hAnsi="Times New Roman" w:cs="Times New Roman"/>
          <w:b/>
          <w:bCs/>
          <w:i/>
          <w:iCs/>
          <w:sz w:val="24"/>
          <w:szCs w:val="24"/>
        </w:rPr>
        <w:t>New Safe Harbor under the Investment Company Act of 1940</w:t>
      </w:r>
      <w:r w:rsidRPr="005853C9">
        <w:rPr>
          <w:rFonts w:ascii="Times New Roman" w:eastAsia="Times New Roman" w:hAnsi="Times New Roman" w:cs="Times New Roman"/>
          <w:sz w:val="24"/>
          <w:szCs w:val="24"/>
        </w:rPr>
        <w:t xml:space="preserve">. </w:t>
      </w:r>
      <w:r w:rsidR="003D344A" w:rsidRPr="005853C9">
        <w:rPr>
          <w:rFonts w:ascii="Times New Roman" w:eastAsia="Times New Roman" w:hAnsi="Times New Roman" w:cs="Times New Roman"/>
          <w:sz w:val="24"/>
          <w:szCs w:val="24"/>
        </w:rPr>
        <w:t>C</w:t>
      </w:r>
      <w:r w:rsidR="003D344A" w:rsidRPr="005853C9">
        <w:rPr>
          <w:rFonts w:ascii="Times New Roman" w:hAnsi="Times New Roman" w:cs="Times New Roman"/>
          <w:sz w:val="24"/>
          <w:szCs w:val="24"/>
        </w:rPr>
        <w:t xml:space="preserve">reates a safe harbor such that, if a SPAC: (1) maintains assets comprising only cash items, government securities and certain money market funds, (2) seeks to complete a de-SPAC transaction after which the surviving entity will be primarily engaged in the business of the target company, and (3) enters into an agreement with a target company to engage in a de-SPAC transaction within 18 months after its IPO and complete its de-SPAC transaction within 24 months of such offering, </w:t>
      </w:r>
      <w:r w:rsidR="00F2637C">
        <w:rPr>
          <w:rFonts w:ascii="Times New Roman" w:hAnsi="Times New Roman" w:cs="Times New Roman"/>
          <w:sz w:val="24"/>
          <w:szCs w:val="24"/>
        </w:rPr>
        <w:t xml:space="preserve">it will </w:t>
      </w:r>
      <w:r w:rsidR="003D344A" w:rsidRPr="005853C9">
        <w:rPr>
          <w:rFonts w:ascii="Times New Roman" w:hAnsi="Times New Roman" w:cs="Times New Roman"/>
          <w:sz w:val="24"/>
          <w:szCs w:val="24"/>
        </w:rPr>
        <w:t xml:space="preserve">not be </w:t>
      </w:r>
      <w:r w:rsidR="00F2637C">
        <w:rPr>
          <w:rFonts w:ascii="Times New Roman" w:hAnsi="Times New Roman" w:cs="Times New Roman"/>
          <w:sz w:val="24"/>
          <w:szCs w:val="24"/>
        </w:rPr>
        <w:t xml:space="preserve">considered as an investment </w:t>
      </w:r>
      <w:r w:rsidR="003D344A" w:rsidRPr="005853C9">
        <w:rPr>
          <w:rFonts w:ascii="Times New Roman" w:hAnsi="Times New Roman" w:cs="Times New Roman"/>
          <w:sz w:val="24"/>
          <w:szCs w:val="24"/>
        </w:rPr>
        <w:t>company under the Investment Company Act of 1940</w:t>
      </w:r>
      <w:r w:rsidR="00F2637C">
        <w:rPr>
          <w:rFonts w:ascii="Times New Roman" w:hAnsi="Times New Roman" w:cs="Times New Roman"/>
          <w:sz w:val="24"/>
          <w:szCs w:val="24"/>
        </w:rPr>
        <w:t xml:space="preserve">. </w:t>
      </w:r>
      <w:r w:rsidR="003D344A" w:rsidRPr="005853C9">
        <w:rPr>
          <w:rFonts w:ascii="Times New Roman" w:hAnsi="Times New Roman" w:cs="Times New Roman"/>
          <w:sz w:val="24"/>
          <w:szCs w:val="24"/>
        </w:rPr>
        <w:t xml:space="preserve">Thus, SPACs may rely on the </w:t>
      </w:r>
      <w:r w:rsidRPr="005853C9">
        <w:rPr>
          <w:rFonts w:ascii="Times New Roman" w:eastAsia="Times New Roman" w:hAnsi="Times New Roman" w:cs="Times New Roman"/>
          <w:sz w:val="24"/>
          <w:szCs w:val="24"/>
        </w:rPr>
        <w:t xml:space="preserve">safe harbor </w:t>
      </w:r>
      <w:r w:rsidR="003D344A" w:rsidRPr="005853C9">
        <w:rPr>
          <w:rFonts w:ascii="Times New Roman" w:eastAsia="Times New Roman" w:hAnsi="Times New Roman" w:cs="Times New Roman"/>
          <w:sz w:val="24"/>
          <w:szCs w:val="24"/>
        </w:rPr>
        <w:t xml:space="preserve">provisions </w:t>
      </w:r>
      <w:r w:rsidRPr="005853C9">
        <w:rPr>
          <w:rFonts w:ascii="Times New Roman" w:eastAsia="Times New Roman" w:hAnsi="Times New Roman" w:cs="Times New Roman"/>
          <w:sz w:val="24"/>
          <w:szCs w:val="24"/>
        </w:rPr>
        <w:t>to</w:t>
      </w:r>
      <w:r w:rsidR="00B03E5A">
        <w:rPr>
          <w:rFonts w:ascii="Times New Roman" w:eastAsia="Times New Roman" w:hAnsi="Times New Roman" w:cs="Times New Roman"/>
          <w:sz w:val="24"/>
          <w:szCs w:val="24"/>
        </w:rPr>
        <w:t xml:space="preserve"> provide forward-looking statements and</w:t>
      </w:r>
      <w:r w:rsidRPr="005853C9">
        <w:rPr>
          <w:rFonts w:ascii="Times New Roman" w:eastAsia="Times New Roman" w:hAnsi="Times New Roman" w:cs="Times New Roman"/>
          <w:sz w:val="24"/>
          <w:szCs w:val="24"/>
        </w:rPr>
        <w:t xml:space="preserve"> avoid being subject to registration as investment companies under the Investment Company Act of 1940</w:t>
      </w:r>
      <w:r w:rsidR="003D344A" w:rsidRPr="005853C9">
        <w:rPr>
          <w:rFonts w:ascii="Times New Roman" w:eastAsia="Times New Roman" w:hAnsi="Times New Roman" w:cs="Times New Roman"/>
          <w:sz w:val="24"/>
          <w:szCs w:val="24"/>
        </w:rPr>
        <w:t xml:space="preserve">. </w:t>
      </w:r>
    </w:p>
    <w:p w14:paraId="3E0D1C99" w14:textId="77777777" w:rsidR="003C1675" w:rsidRPr="005853C9" w:rsidRDefault="003C1675" w:rsidP="003C1675">
      <w:pPr>
        <w:spacing w:after="0" w:line="240" w:lineRule="auto"/>
        <w:jc w:val="both"/>
        <w:rPr>
          <w:rFonts w:ascii="Times New Roman" w:hAnsi="Times New Roman" w:cs="Times New Roman"/>
          <w:sz w:val="24"/>
          <w:szCs w:val="24"/>
        </w:rPr>
      </w:pPr>
    </w:p>
    <w:p w14:paraId="6A081B4F" w14:textId="59014D7F" w:rsidR="001E1EE1" w:rsidRPr="001E1EE1" w:rsidRDefault="001E1EE1" w:rsidP="0010563A">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t>Hypotheses</w:t>
      </w:r>
      <w:r w:rsidR="00050061">
        <w:rPr>
          <w:rFonts w:ascii="Times New Roman" w:hAnsi="Times New Roman" w:cs="Times New Roman"/>
          <w:b/>
          <w:sz w:val="24"/>
        </w:rPr>
        <w:t xml:space="preserve"> Development</w:t>
      </w:r>
    </w:p>
    <w:p w14:paraId="38ECACB4" w14:textId="6B34FB92" w:rsidR="00A9677F" w:rsidRPr="00A9677F" w:rsidRDefault="00917AB9" w:rsidP="00C908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w:t>
      </w:r>
      <w:r w:rsidR="002C6680">
        <w:rPr>
          <w:rFonts w:ascii="Times New Roman" w:hAnsi="Times New Roman" w:cs="Times New Roman"/>
          <w:sz w:val="24"/>
          <w:szCs w:val="24"/>
        </w:rPr>
        <w:t xml:space="preserve">the precision of financial information is lower for companies with </w:t>
      </w:r>
      <w:r>
        <w:rPr>
          <w:rFonts w:ascii="Times New Roman" w:hAnsi="Times New Roman" w:cs="Times New Roman"/>
          <w:sz w:val="24"/>
          <w:szCs w:val="24"/>
        </w:rPr>
        <w:t>lower quality financial statements</w:t>
      </w:r>
      <w:r w:rsidR="00C951C5">
        <w:rPr>
          <w:rFonts w:ascii="Times New Roman" w:hAnsi="Times New Roman" w:cs="Times New Roman"/>
          <w:sz w:val="24"/>
          <w:szCs w:val="24"/>
        </w:rPr>
        <w:t xml:space="preserve"> (Reidl and Serafeim 2011)</w:t>
      </w:r>
      <w:r w:rsidR="002A634B">
        <w:rPr>
          <w:rFonts w:ascii="Times New Roman" w:hAnsi="Times New Roman" w:cs="Times New Roman"/>
          <w:sz w:val="24"/>
          <w:szCs w:val="24"/>
        </w:rPr>
        <w:t>,</w:t>
      </w:r>
      <w:r w:rsidR="00C951C5">
        <w:rPr>
          <w:rFonts w:ascii="Times New Roman" w:hAnsi="Times New Roman" w:cs="Times New Roman"/>
          <w:sz w:val="24"/>
          <w:szCs w:val="24"/>
        </w:rPr>
        <w:t xml:space="preserve"> </w:t>
      </w:r>
      <w:r w:rsidR="002C6680">
        <w:rPr>
          <w:rFonts w:ascii="Times New Roman" w:hAnsi="Times New Roman" w:cs="Times New Roman"/>
          <w:sz w:val="24"/>
          <w:szCs w:val="24"/>
        </w:rPr>
        <w:t xml:space="preserve">one implication </w:t>
      </w:r>
      <w:r w:rsidR="00C951C5">
        <w:rPr>
          <w:rFonts w:ascii="Times New Roman" w:hAnsi="Times New Roman" w:cs="Times New Roman"/>
          <w:sz w:val="24"/>
          <w:szCs w:val="24"/>
        </w:rPr>
        <w:t>of the</w:t>
      </w:r>
      <w:r w:rsidR="002A634B">
        <w:rPr>
          <w:rFonts w:ascii="Times New Roman" w:hAnsi="Times New Roman" w:cs="Times New Roman"/>
          <w:sz w:val="24"/>
          <w:szCs w:val="24"/>
        </w:rPr>
        <w:t xml:space="preserve"> Kim et al. </w:t>
      </w:r>
      <w:r w:rsidR="00C951C5">
        <w:rPr>
          <w:rFonts w:ascii="Times New Roman" w:hAnsi="Times New Roman" w:cs="Times New Roman"/>
          <w:sz w:val="24"/>
          <w:szCs w:val="24"/>
        </w:rPr>
        <w:t xml:space="preserve">study </w:t>
      </w:r>
      <w:r w:rsidR="002C6680">
        <w:rPr>
          <w:rFonts w:ascii="Times New Roman" w:hAnsi="Times New Roman" w:cs="Times New Roman"/>
          <w:sz w:val="24"/>
          <w:szCs w:val="24"/>
        </w:rPr>
        <w:t xml:space="preserve">is that </w:t>
      </w:r>
      <w:r w:rsidR="002A634B">
        <w:rPr>
          <w:rFonts w:ascii="Times New Roman" w:hAnsi="Times New Roman" w:cs="Times New Roman"/>
          <w:sz w:val="24"/>
          <w:szCs w:val="24"/>
        </w:rPr>
        <w:t xml:space="preserve">the </w:t>
      </w:r>
      <w:r w:rsidR="002C6680">
        <w:rPr>
          <w:rFonts w:ascii="Times New Roman" w:hAnsi="Times New Roman" w:cs="Times New Roman"/>
          <w:sz w:val="24"/>
          <w:szCs w:val="24"/>
        </w:rPr>
        <w:t xml:space="preserve">information risk is higher </w:t>
      </w:r>
      <w:r w:rsidR="002A634B">
        <w:rPr>
          <w:rFonts w:ascii="Times New Roman" w:hAnsi="Times New Roman" w:cs="Times New Roman"/>
          <w:sz w:val="24"/>
          <w:szCs w:val="24"/>
        </w:rPr>
        <w:t xml:space="preserve">for </w:t>
      </w:r>
      <w:r w:rsidR="002C6680">
        <w:rPr>
          <w:rFonts w:ascii="Times New Roman" w:hAnsi="Times New Roman" w:cs="Times New Roman"/>
          <w:sz w:val="24"/>
          <w:szCs w:val="24"/>
        </w:rPr>
        <w:t>SPAC-IPO</w:t>
      </w:r>
      <w:r w:rsidR="002A634B">
        <w:rPr>
          <w:rFonts w:ascii="Times New Roman" w:hAnsi="Times New Roman" w:cs="Times New Roman"/>
          <w:sz w:val="24"/>
          <w:szCs w:val="24"/>
        </w:rPr>
        <w:t xml:space="preserve"> investors </w:t>
      </w:r>
      <w:r w:rsidR="002C6680">
        <w:rPr>
          <w:rFonts w:ascii="Times New Roman" w:hAnsi="Times New Roman" w:cs="Times New Roman"/>
          <w:sz w:val="24"/>
          <w:szCs w:val="24"/>
        </w:rPr>
        <w:t xml:space="preserve">than </w:t>
      </w:r>
      <w:r w:rsidR="002A634B">
        <w:rPr>
          <w:rFonts w:ascii="Times New Roman" w:hAnsi="Times New Roman" w:cs="Times New Roman"/>
          <w:sz w:val="24"/>
          <w:szCs w:val="24"/>
        </w:rPr>
        <w:t xml:space="preserve">for </w:t>
      </w:r>
      <w:r w:rsidR="002C6680">
        <w:rPr>
          <w:rFonts w:ascii="Times New Roman" w:hAnsi="Times New Roman" w:cs="Times New Roman"/>
          <w:sz w:val="24"/>
          <w:szCs w:val="24"/>
        </w:rPr>
        <w:t>non-SPAC-IPO</w:t>
      </w:r>
      <w:r w:rsidR="002A634B">
        <w:rPr>
          <w:rFonts w:ascii="Times New Roman" w:hAnsi="Times New Roman" w:cs="Times New Roman"/>
          <w:sz w:val="24"/>
          <w:szCs w:val="24"/>
        </w:rPr>
        <w:t xml:space="preserve"> investors</w:t>
      </w:r>
      <w:r w:rsidR="002C6680">
        <w:rPr>
          <w:rFonts w:ascii="Times New Roman" w:hAnsi="Times New Roman" w:cs="Times New Roman"/>
          <w:sz w:val="24"/>
          <w:szCs w:val="24"/>
        </w:rPr>
        <w:t>.</w:t>
      </w:r>
      <w:r w:rsidR="00C90879">
        <w:rPr>
          <w:rFonts w:ascii="Times New Roman" w:hAnsi="Times New Roman" w:cs="Times New Roman"/>
          <w:sz w:val="24"/>
          <w:szCs w:val="24"/>
        </w:rPr>
        <w:t xml:space="preserve"> </w:t>
      </w:r>
      <w:r w:rsidR="009D5158">
        <w:rPr>
          <w:rFonts w:ascii="Times New Roman" w:hAnsi="Times New Roman" w:cs="Times New Roman"/>
          <w:sz w:val="24"/>
          <w:szCs w:val="24"/>
        </w:rPr>
        <w:t xml:space="preserve">We </w:t>
      </w:r>
      <w:r w:rsidR="00EF69B3">
        <w:rPr>
          <w:rFonts w:ascii="Times New Roman" w:hAnsi="Times New Roman" w:cs="Times New Roman"/>
          <w:sz w:val="24"/>
          <w:szCs w:val="24"/>
        </w:rPr>
        <w:t>consider a</w:t>
      </w:r>
      <w:r w:rsidR="00C951C5">
        <w:rPr>
          <w:rFonts w:ascii="Times New Roman" w:hAnsi="Times New Roman" w:cs="Times New Roman"/>
          <w:sz w:val="24"/>
          <w:szCs w:val="24"/>
        </w:rPr>
        <w:t xml:space="preserve">dditional attributes </w:t>
      </w:r>
      <w:r w:rsidR="00EF69B3">
        <w:rPr>
          <w:rFonts w:ascii="Times New Roman" w:hAnsi="Times New Roman" w:cs="Times New Roman"/>
          <w:sz w:val="24"/>
          <w:szCs w:val="24"/>
        </w:rPr>
        <w:t xml:space="preserve">that exacerbate </w:t>
      </w:r>
      <w:r w:rsidR="00C90879">
        <w:rPr>
          <w:rFonts w:ascii="Times New Roman" w:hAnsi="Times New Roman" w:cs="Times New Roman"/>
          <w:sz w:val="24"/>
          <w:szCs w:val="24"/>
        </w:rPr>
        <w:t>th</w:t>
      </w:r>
      <w:r w:rsidR="00D35F62">
        <w:rPr>
          <w:rFonts w:ascii="Times New Roman" w:hAnsi="Times New Roman" w:cs="Times New Roman"/>
          <w:sz w:val="24"/>
          <w:szCs w:val="24"/>
        </w:rPr>
        <w:t>is</w:t>
      </w:r>
      <w:r w:rsidR="00EF69B3">
        <w:rPr>
          <w:rFonts w:ascii="Times New Roman" w:hAnsi="Times New Roman" w:cs="Times New Roman"/>
          <w:sz w:val="24"/>
          <w:szCs w:val="24"/>
        </w:rPr>
        <w:t xml:space="preserve"> </w:t>
      </w:r>
      <w:r w:rsidR="002A634B">
        <w:rPr>
          <w:rFonts w:ascii="Times New Roman" w:hAnsi="Times New Roman" w:cs="Times New Roman"/>
          <w:sz w:val="24"/>
          <w:szCs w:val="24"/>
        </w:rPr>
        <w:t>information risk</w:t>
      </w:r>
      <w:r w:rsidR="00EF69B3">
        <w:rPr>
          <w:rFonts w:ascii="Times New Roman" w:hAnsi="Times New Roman" w:cs="Times New Roman"/>
          <w:sz w:val="24"/>
          <w:szCs w:val="24"/>
        </w:rPr>
        <w:t xml:space="preserve">. </w:t>
      </w:r>
    </w:p>
    <w:p w14:paraId="5A362330" w14:textId="07B77F57" w:rsidR="002928DC" w:rsidRDefault="002928DC" w:rsidP="004207D2">
      <w:pPr>
        <w:spacing w:after="0" w:line="480" w:lineRule="auto"/>
        <w:jc w:val="both"/>
        <w:rPr>
          <w:rFonts w:ascii="Times New Roman" w:hAnsi="Times New Roman" w:cs="Times New Roman"/>
          <w:i/>
          <w:sz w:val="24"/>
        </w:rPr>
      </w:pPr>
      <w:r>
        <w:rPr>
          <w:rFonts w:ascii="Times New Roman" w:hAnsi="Times New Roman" w:cs="Times New Roman"/>
          <w:i/>
          <w:sz w:val="24"/>
        </w:rPr>
        <w:t>3.1.</w:t>
      </w:r>
      <w:r>
        <w:rPr>
          <w:rFonts w:ascii="Times New Roman" w:hAnsi="Times New Roman" w:cs="Times New Roman"/>
          <w:i/>
          <w:sz w:val="24"/>
        </w:rPr>
        <w:tab/>
        <w:t xml:space="preserve">Information Risk </w:t>
      </w:r>
      <w:r w:rsidR="00477D0A">
        <w:rPr>
          <w:rFonts w:ascii="Times New Roman" w:hAnsi="Times New Roman" w:cs="Times New Roman"/>
          <w:i/>
          <w:sz w:val="24"/>
        </w:rPr>
        <w:t>Sources</w:t>
      </w:r>
    </w:p>
    <w:p w14:paraId="47BDFCB7" w14:textId="4A661244" w:rsidR="001E1EE1" w:rsidRPr="00C90879" w:rsidRDefault="004207D2" w:rsidP="004207D2">
      <w:pPr>
        <w:spacing w:after="0" w:line="480" w:lineRule="auto"/>
        <w:jc w:val="both"/>
        <w:rPr>
          <w:rFonts w:ascii="Times New Roman" w:hAnsi="Times New Roman" w:cs="Times New Roman"/>
          <w:i/>
          <w:sz w:val="24"/>
        </w:rPr>
      </w:pPr>
      <w:r w:rsidRPr="00C90879">
        <w:rPr>
          <w:rFonts w:ascii="Times New Roman" w:hAnsi="Times New Roman" w:cs="Times New Roman"/>
          <w:i/>
          <w:sz w:val="24"/>
        </w:rPr>
        <w:lastRenderedPageBreak/>
        <w:t>3.1.</w:t>
      </w:r>
      <w:r w:rsidR="002928DC" w:rsidRPr="00C90879">
        <w:rPr>
          <w:rFonts w:ascii="Times New Roman" w:hAnsi="Times New Roman" w:cs="Times New Roman"/>
          <w:i/>
          <w:sz w:val="24"/>
        </w:rPr>
        <w:t>1</w:t>
      </w:r>
      <w:r w:rsidRPr="00C90879">
        <w:rPr>
          <w:rFonts w:ascii="Times New Roman" w:hAnsi="Times New Roman" w:cs="Times New Roman"/>
          <w:i/>
          <w:sz w:val="24"/>
        </w:rPr>
        <w:tab/>
        <w:t>Economic Demand for Auditing Services</w:t>
      </w:r>
    </w:p>
    <w:p w14:paraId="4FE98861" w14:textId="2706CBBC" w:rsidR="00906B5B" w:rsidRDefault="008078B6" w:rsidP="00934FE8">
      <w:pPr>
        <w:pStyle w:val="NormalWeb"/>
        <w:spacing w:before="0" w:beforeAutospacing="0" w:after="0" w:afterAutospacing="0" w:line="480" w:lineRule="auto"/>
        <w:ind w:firstLine="720"/>
        <w:jc w:val="both"/>
        <w:rPr>
          <w:color w:val="211D1E"/>
        </w:rPr>
      </w:pPr>
      <w:r w:rsidRPr="00B8041D">
        <w:rPr>
          <w:color w:val="211D1E"/>
        </w:rPr>
        <w:t>The value of auditing arises from its ability to assure that the financial statements faithfully reflect the client's underlying economics (DeFond and Zhang 2014)</w:t>
      </w:r>
      <w:r w:rsidR="00DE13B8">
        <w:rPr>
          <w:color w:val="211D1E"/>
        </w:rPr>
        <w:t xml:space="preserve">. Lower </w:t>
      </w:r>
      <w:r w:rsidR="00906B5B">
        <w:rPr>
          <w:color w:val="211D1E"/>
        </w:rPr>
        <w:t xml:space="preserve">information asymmetry and </w:t>
      </w:r>
      <w:r w:rsidR="00934FE8" w:rsidRPr="00B8041D">
        <w:rPr>
          <w:color w:val="211D1E"/>
        </w:rPr>
        <w:t xml:space="preserve">agency conflicts </w:t>
      </w:r>
      <w:r w:rsidR="00DE13B8">
        <w:rPr>
          <w:color w:val="211D1E"/>
        </w:rPr>
        <w:t xml:space="preserve">decrease </w:t>
      </w:r>
      <w:r w:rsidR="00934FE8" w:rsidRPr="00B8041D">
        <w:rPr>
          <w:color w:val="211D1E"/>
        </w:rPr>
        <w:t xml:space="preserve">the demand for greater third-party assurance. </w:t>
      </w:r>
      <w:r w:rsidR="003E397A">
        <w:rPr>
          <w:color w:val="211D1E"/>
        </w:rPr>
        <w:t>As industry experts and skilled professional</w:t>
      </w:r>
      <w:r w:rsidR="00C147A4">
        <w:rPr>
          <w:color w:val="211D1E"/>
        </w:rPr>
        <w:t>s</w:t>
      </w:r>
      <w:r w:rsidR="003E397A">
        <w:rPr>
          <w:color w:val="211D1E"/>
        </w:rPr>
        <w:t xml:space="preserve">, </w:t>
      </w:r>
      <w:r w:rsidR="00DE13B8">
        <w:rPr>
          <w:color w:val="211D1E"/>
        </w:rPr>
        <w:t>s</w:t>
      </w:r>
      <w:r w:rsidR="00934FE8">
        <w:rPr>
          <w:color w:val="211D1E"/>
        </w:rPr>
        <w:t xml:space="preserve">ponsors </w:t>
      </w:r>
      <w:r w:rsidR="003E397A">
        <w:rPr>
          <w:color w:val="211D1E"/>
        </w:rPr>
        <w:t xml:space="preserve">are likely to possess </w:t>
      </w:r>
      <w:r w:rsidR="00DE13B8">
        <w:rPr>
          <w:color w:val="211D1E"/>
        </w:rPr>
        <w:t>proprietary information about private compan</w:t>
      </w:r>
      <w:r w:rsidR="003E397A">
        <w:rPr>
          <w:color w:val="211D1E"/>
        </w:rPr>
        <w:t xml:space="preserve">ies’ operations and management thereby lowering </w:t>
      </w:r>
      <w:r w:rsidR="00DE13B8">
        <w:rPr>
          <w:color w:val="211D1E"/>
        </w:rPr>
        <w:t>i</w:t>
      </w:r>
      <w:r w:rsidR="00DE13B8" w:rsidRPr="00B8041D">
        <w:rPr>
          <w:color w:val="211D1E"/>
        </w:rPr>
        <w:t>nformation asymmetry problems</w:t>
      </w:r>
      <w:r w:rsidR="00DE13B8">
        <w:rPr>
          <w:color w:val="211D1E"/>
        </w:rPr>
        <w:t xml:space="preserve"> </w:t>
      </w:r>
      <w:r w:rsidR="00934FE8">
        <w:rPr>
          <w:color w:val="211D1E"/>
        </w:rPr>
        <w:t>between manage</w:t>
      </w:r>
      <w:r w:rsidR="00906B5B">
        <w:rPr>
          <w:color w:val="211D1E"/>
        </w:rPr>
        <w:t xml:space="preserve">ment </w:t>
      </w:r>
      <w:r w:rsidR="00934FE8">
        <w:rPr>
          <w:color w:val="211D1E"/>
        </w:rPr>
        <w:t xml:space="preserve">and </w:t>
      </w:r>
      <w:r w:rsidR="003E397A">
        <w:rPr>
          <w:color w:val="211D1E"/>
        </w:rPr>
        <w:t xml:space="preserve">outside </w:t>
      </w:r>
      <w:r w:rsidR="00934FE8">
        <w:rPr>
          <w:color w:val="211D1E"/>
        </w:rPr>
        <w:t>investors</w:t>
      </w:r>
      <w:r w:rsidR="00AB440B">
        <w:rPr>
          <w:color w:val="211D1E"/>
        </w:rPr>
        <w:t xml:space="preserve"> that may be descriptive of traditional IPOs</w:t>
      </w:r>
      <w:r w:rsidR="00DE13B8">
        <w:rPr>
          <w:color w:val="211D1E"/>
        </w:rPr>
        <w:t>.</w:t>
      </w:r>
      <w:r w:rsidR="00F2637C">
        <w:rPr>
          <w:rStyle w:val="FootnoteReference"/>
          <w:color w:val="211D1E"/>
        </w:rPr>
        <w:footnoteReference w:id="12"/>
      </w:r>
      <w:r w:rsidR="00906B5B">
        <w:rPr>
          <w:color w:val="211D1E"/>
        </w:rPr>
        <w:t xml:space="preserve"> Further, the </w:t>
      </w:r>
      <w:r w:rsidR="003E397A">
        <w:rPr>
          <w:color w:val="211D1E"/>
        </w:rPr>
        <w:t xml:space="preserve">large </w:t>
      </w:r>
      <w:r w:rsidR="00906B5B">
        <w:rPr>
          <w:color w:val="211D1E"/>
        </w:rPr>
        <w:t xml:space="preserve">equity ownership stake of sponsors in the merged company reduces </w:t>
      </w:r>
      <w:r w:rsidR="003E397A">
        <w:rPr>
          <w:color w:val="211D1E"/>
        </w:rPr>
        <w:t xml:space="preserve">potential </w:t>
      </w:r>
      <w:r w:rsidR="00906B5B">
        <w:rPr>
          <w:color w:val="211D1E"/>
        </w:rPr>
        <w:t xml:space="preserve">agency conflicts between management and </w:t>
      </w:r>
      <w:r w:rsidR="003E397A">
        <w:rPr>
          <w:color w:val="211D1E"/>
        </w:rPr>
        <w:t xml:space="preserve">outside </w:t>
      </w:r>
      <w:r w:rsidR="00906B5B">
        <w:rPr>
          <w:color w:val="211D1E"/>
        </w:rPr>
        <w:t>investors.</w:t>
      </w:r>
      <w:r w:rsidR="00DE13B8">
        <w:rPr>
          <w:color w:val="211D1E"/>
        </w:rPr>
        <w:t xml:space="preserve"> Consequently, the benefits </w:t>
      </w:r>
      <w:r w:rsidR="00906B5B">
        <w:rPr>
          <w:color w:val="211D1E"/>
        </w:rPr>
        <w:t xml:space="preserve">from </w:t>
      </w:r>
      <w:r w:rsidR="00DE13B8">
        <w:rPr>
          <w:color w:val="211D1E"/>
        </w:rPr>
        <w:t>retaining h</w:t>
      </w:r>
      <w:r w:rsidR="00934FE8" w:rsidRPr="00B8041D">
        <w:rPr>
          <w:color w:val="211D1E"/>
        </w:rPr>
        <w:t>igh-quality auditor</w:t>
      </w:r>
      <w:r w:rsidR="00DE13B8">
        <w:rPr>
          <w:color w:val="211D1E"/>
        </w:rPr>
        <w:t>s</w:t>
      </w:r>
      <w:r w:rsidR="00934FE8">
        <w:rPr>
          <w:color w:val="211D1E"/>
        </w:rPr>
        <w:t xml:space="preserve"> </w:t>
      </w:r>
      <w:r w:rsidR="007A3268">
        <w:rPr>
          <w:color w:val="211D1E"/>
        </w:rPr>
        <w:t xml:space="preserve">like the Big 4 </w:t>
      </w:r>
      <w:r w:rsidR="00934FE8">
        <w:rPr>
          <w:color w:val="211D1E"/>
        </w:rPr>
        <w:t>are low</w:t>
      </w:r>
      <w:r w:rsidR="007743E0">
        <w:rPr>
          <w:color w:val="211D1E"/>
        </w:rPr>
        <w:t>er</w:t>
      </w:r>
      <w:r w:rsidR="00934FE8">
        <w:rPr>
          <w:color w:val="211D1E"/>
        </w:rPr>
        <w:t xml:space="preserve"> in SPAC</w:t>
      </w:r>
      <w:r w:rsidR="0069002F">
        <w:rPr>
          <w:color w:val="211D1E"/>
        </w:rPr>
        <w:t>-</w:t>
      </w:r>
      <w:r w:rsidR="00934FE8">
        <w:rPr>
          <w:color w:val="211D1E"/>
        </w:rPr>
        <w:t xml:space="preserve">IPOs than in </w:t>
      </w:r>
      <w:r w:rsidR="006611D5">
        <w:rPr>
          <w:color w:val="211D1E"/>
        </w:rPr>
        <w:t>non-SPAC-</w:t>
      </w:r>
      <w:r w:rsidR="00934FE8">
        <w:rPr>
          <w:color w:val="211D1E"/>
        </w:rPr>
        <w:t>IPOs</w:t>
      </w:r>
      <w:r w:rsidR="00906B5B">
        <w:rPr>
          <w:color w:val="211D1E"/>
        </w:rPr>
        <w:t>. B</w:t>
      </w:r>
      <w:r w:rsidR="007E6677">
        <w:rPr>
          <w:color w:val="211D1E"/>
        </w:rPr>
        <w:t xml:space="preserve">ecause </w:t>
      </w:r>
      <w:r w:rsidR="00934FE8" w:rsidRPr="00B8041D">
        <w:rPr>
          <w:color w:val="211D1E"/>
        </w:rPr>
        <w:t xml:space="preserve">the </w:t>
      </w:r>
      <w:r w:rsidR="007A3268">
        <w:rPr>
          <w:color w:val="211D1E"/>
        </w:rPr>
        <w:t xml:space="preserve">Big 4 charge more than non-Big 4 </w:t>
      </w:r>
      <w:r w:rsidR="00934FE8" w:rsidRPr="00B8041D">
        <w:rPr>
          <w:color w:val="211D1E"/>
        </w:rPr>
        <w:t xml:space="preserve">(Palmrose 1986; Choi, Kim, Liu, </w:t>
      </w:r>
      <w:r w:rsidR="00DE40B4">
        <w:rPr>
          <w:color w:val="211D1E"/>
        </w:rPr>
        <w:t xml:space="preserve">and </w:t>
      </w:r>
      <w:r w:rsidR="00934FE8" w:rsidRPr="00B8041D">
        <w:rPr>
          <w:color w:val="211D1E"/>
        </w:rPr>
        <w:t>Simuic 2008; Ghosh and Siriviryakul 2018)</w:t>
      </w:r>
      <w:r w:rsidR="007E6677">
        <w:rPr>
          <w:color w:val="211D1E"/>
        </w:rPr>
        <w:t xml:space="preserve">, </w:t>
      </w:r>
      <w:r w:rsidR="00934FE8" w:rsidRPr="00B8041D">
        <w:rPr>
          <w:color w:val="211D1E"/>
        </w:rPr>
        <w:t xml:space="preserve">the net benefits of retaining a </w:t>
      </w:r>
      <w:r w:rsidR="007A3268">
        <w:rPr>
          <w:color w:val="211D1E"/>
        </w:rPr>
        <w:t xml:space="preserve">Big 4 </w:t>
      </w:r>
      <w:r w:rsidR="00C36059">
        <w:rPr>
          <w:color w:val="211D1E"/>
        </w:rPr>
        <w:t xml:space="preserve">are </w:t>
      </w:r>
      <w:r w:rsidR="007E6677">
        <w:rPr>
          <w:color w:val="211D1E"/>
        </w:rPr>
        <w:t>lower in SPAC-IPOs</w:t>
      </w:r>
      <w:r w:rsidR="00906B5B">
        <w:rPr>
          <w:color w:val="211D1E"/>
        </w:rPr>
        <w:t xml:space="preserve"> than in </w:t>
      </w:r>
      <w:r w:rsidR="006611D5">
        <w:rPr>
          <w:color w:val="211D1E"/>
        </w:rPr>
        <w:t>non-SPAC-IPOs</w:t>
      </w:r>
      <w:r w:rsidR="00906B5B">
        <w:rPr>
          <w:color w:val="211D1E"/>
        </w:rPr>
        <w:t xml:space="preserve">. </w:t>
      </w:r>
      <w:r w:rsidR="00F2637C">
        <w:rPr>
          <w:color w:val="211D1E"/>
        </w:rPr>
        <w:t xml:space="preserve">Therefore, for efficiency reasons, SPAC-IPOs are </w:t>
      </w:r>
      <w:r w:rsidR="007648C9">
        <w:rPr>
          <w:color w:val="211D1E"/>
        </w:rPr>
        <w:t xml:space="preserve">more </w:t>
      </w:r>
      <w:r w:rsidR="00F2637C">
        <w:rPr>
          <w:color w:val="211D1E"/>
        </w:rPr>
        <w:t xml:space="preserve">likely to retain </w:t>
      </w:r>
      <w:r w:rsidR="007648C9">
        <w:rPr>
          <w:color w:val="211D1E"/>
        </w:rPr>
        <w:t>non-</w:t>
      </w:r>
      <w:r w:rsidR="007A3268">
        <w:rPr>
          <w:color w:val="211D1E"/>
        </w:rPr>
        <w:t xml:space="preserve">Big 4 </w:t>
      </w:r>
      <w:r w:rsidR="0085303B">
        <w:rPr>
          <w:color w:val="211D1E"/>
        </w:rPr>
        <w:t xml:space="preserve">auditors </w:t>
      </w:r>
      <w:r w:rsidR="00F2637C">
        <w:rPr>
          <w:color w:val="211D1E"/>
        </w:rPr>
        <w:t>than non-</w:t>
      </w:r>
      <w:r w:rsidR="0075073F">
        <w:rPr>
          <w:color w:val="211D1E"/>
        </w:rPr>
        <w:t>SPAC-IPOs.</w:t>
      </w:r>
    </w:p>
    <w:p w14:paraId="455644A1" w14:textId="69A21E92" w:rsidR="004207D2" w:rsidRPr="007F72ED" w:rsidRDefault="00F2637C" w:rsidP="007F72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Alternatively, the presence of </w:t>
      </w:r>
      <w:r w:rsidR="0069002F" w:rsidRPr="007F5304">
        <w:rPr>
          <w:rFonts w:ascii="Times New Roman" w:hAnsi="Times New Roman" w:cs="Times New Roman"/>
          <w:sz w:val="24"/>
          <w:szCs w:val="24"/>
        </w:rPr>
        <w:t xml:space="preserve">sponsors </w:t>
      </w:r>
      <w:r>
        <w:rPr>
          <w:rFonts w:ascii="Times New Roman" w:hAnsi="Times New Roman" w:cs="Times New Roman"/>
          <w:sz w:val="24"/>
          <w:szCs w:val="24"/>
        </w:rPr>
        <w:t xml:space="preserve">may exacerbate </w:t>
      </w:r>
      <w:r w:rsidR="0069002F" w:rsidRPr="007F5304">
        <w:rPr>
          <w:rFonts w:ascii="Times New Roman" w:hAnsi="Times New Roman" w:cs="Times New Roman"/>
          <w:sz w:val="24"/>
          <w:szCs w:val="24"/>
        </w:rPr>
        <w:t>agency conflicts and/or information asymmetry problems</w:t>
      </w:r>
      <w:r w:rsidR="003E397A" w:rsidRPr="007F5304">
        <w:rPr>
          <w:rFonts w:ascii="Times New Roman" w:hAnsi="Times New Roman" w:cs="Times New Roman"/>
          <w:sz w:val="24"/>
          <w:szCs w:val="24"/>
        </w:rPr>
        <w:t>.</w:t>
      </w:r>
      <w:r w:rsidR="0069002F" w:rsidRPr="007F5304">
        <w:rPr>
          <w:rFonts w:ascii="Times New Roman" w:hAnsi="Times New Roman" w:cs="Times New Roman"/>
          <w:sz w:val="24"/>
          <w:szCs w:val="24"/>
        </w:rPr>
        <w:t xml:space="preserve"> </w:t>
      </w:r>
      <w:r w:rsidR="003E397A" w:rsidRPr="007F5304">
        <w:rPr>
          <w:rFonts w:ascii="Times New Roman" w:hAnsi="Times New Roman" w:cs="Times New Roman"/>
          <w:sz w:val="24"/>
          <w:szCs w:val="24"/>
        </w:rPr>
        <w:t>B</w:t>
      </w:r>
      <w:r w:rsidR="0069002F" w:rsidRPr="007F5304">
        <w:rPr>
          <w:rFonts w:ascii="Times New Roman" w:hAnsi="Times New Roman" w:cs="Times New Roman"/>
          <w:sz w:val="24"/>
          <w:szCs w:val="24"/>
        </w:rPr>
        <w:t>ecause their future compensation is lost in the absence of a merger</w:t>
      </w:r>
      <w:r w:rsidR="003E397A" w:rsidRPr="007F5304">
        <w:rPr>
          <w:rFonts w:ascii="Times New Roman" w:hAnsi="Times New Roman" w:cs="Times New Roman"/>
          <w:sz w:val="24"/>
          <w:szCs w:val="24"/>
        </w:rPr>
        <w:t>, sponsors also h</w:t>
      </w:r>
      <w:r w:rsidR="0069002F" w:rsidRPr="007F5304">
        <w:rPr>
          <w:rFonts w:ascii="Times New Roman" w:hAnsi="Times New Roman" w:cs="Times New Roman"/>
          <w:sz w:val="24"/>
          <w:szCs w:val="24"/>
        </w:rPr>
        <w:t xml:space="preserve">ave incentives to avoid dissolution of a SPAC by </w:t>
      </w:r>
      <w:r w:rsidR="00EB27AB">
        <w:rPr>
          <w:rFonts w:ascii="Times New Roman" w:hAnsi="Times New Roman" w:cs="Times New Roman"/>
          <w:sz w:val="24"/>
          <w:szCs w:val="24"/>
        </w:rPr>
        <w:t xml:space="preserve">merging with riskier </w:t>
      </w:r>
      <w:r w:rsidR="0069002F" w:rsidRPr="007F5304">
        <w:rPr>
          <w:rFonts w:ascii="Times New Roman" w:hAnsi="Times New Roman" w:cs="Times New Roman"/>
          <w:sz w:val="24"/>
          <w:szCs w:val="24"/>
        </w:rPr>
        <w:t xml:space="preserve">targets. </w:t>
      </w:r>
      <w:r w:rsidR="0069002F" w:rsidRPr="006611D5">
        <w:rPr>
          <w:rFonts w:ascii="Times New Roman" w:hAnsi="Times New Roman" w:cs="Times New Roman"/>
          <w:sz w:val="24"/>
          <w:szCs w:val="24"/>
        </w:rPr>
        <w:t xml:space="preserve">Therefore, </w:t>
      </w:r>
      <w:r w:rsidR="00FA74EC">
        <w:rPr>
          <w:rFonts w:ascii="Times New Roman" w:hAnsi="Times New Roman" w:cs="Times New Roman"/>
          <w:sz w:val="24"/>
          <w:szCs w:val="24"/>
        </w:rPr>
        <w:t>SPAC</w:t>
      </w:r>
      <w:r>
        <w:rPr>
          <w:rFonts w:ascii="Times New Roman" w:hAnsi="Times New Roman" w:cs="Times New Roman"/>
          <w:sz w:val="24"/>
          <w:szCs w:val="24"/>
        </w:rPr>
        <w:t xml:space="preserve">-sponsors have powerful incentives to avoid </w:t>
      </w:r>
      <w:r w:rsidR="00D35F62">
        <w:rPr>
          <w:rFonts w:ascii="Times New Roman" w:hAnsi="Times New Roman" w:cs="Times New Roman"/>
          <w:sz w:val="24"/>
          <w:szCs w:val="24"/>
        </w:rPr>
        <w:t xml:space="preserve">being </w:t>
      </w:r>
      <w:r>
        <w:rPr>
          <w:rFonts w:ascii="Times New Roman" w:hAnsi="Times New Roman" w:cs="Times New Roman"/>
          <w:sz w:val="24"/>
          <w:szCs w:val="24"/>
        </w:rPr>
        <w:t>monitor</w:t>
      </w:r>
      <w:r w:rsidR="00D35F62">
        <w:rPr>
          <w:rFonts w:ascii="Times New Roman" w:hAnsi="Times New Roman" w:cs="Times New Roman"/>
          <w:sz w:val="24"/>
          <w:szCs w:val="24"/>
        </w:rPr>
        <w:t xml:space="preserve">ed </w:t>
      </w:r>
      <w:r w:rsidR="007A3268">
        <w:rPr>
          <w:rFonts w:ascii="Times New Roman" w:hAnsi="Times New Roman" w:cs="Times New Roman"/>
          <w:sz w:val="24"/>
          <w:szCs w:val="24"/>
        </w:rPr>
        <w:t xml:space="preserve">by Big 4 </w:t>
      </w:r>
      <w:r>
        <w:rPr>
          <w:rFonts w:ascii="Times New Roman" w:hAnsi="Times New Roman" w:cs="Times New Roman"/>
          <w:sz w:val="24"/>
          <w:szCs w:val="24"/>
        </w:rPr>
        <w:t xml:space="preserve">auditors who are more likely to underscore the </w:t>
      </w:r>
      <w:r w:rsidR="00FA74EC">
        <w:rPr>
          <w:rFonts w:ascii="Times New Roman" w:hAnsi="Times New Roman" w:cs="Times New Roman"/>
          <w:sz w:val="24"/>
          <w:szCs w:val="24"/>
        </w:rPr>
        <w:t>risk</w:t>
      </w:r>
      <w:r>
        <w:rPr>
          <w:rFonts w:ascii="Times New Roman" w:hAnsi="Times New Roman" w:cs="Times New Roman"/>
          <w:sz w:val="24"/>
          <w:szCs w:val="24"/>
        </w:rPr>
        <w:t xml:space="preserve">iness of de-SPAC transactions. </w:t>
      </w:r>
      <w:r w:rsidR="007648C9">
        <w:rPr>
          <w:rFonts w:ascii="Times New Roman" w:hAnsi="Times New Roman" w:cs="Times New Roman"/>
          <w:sz w:val="24"/>
          <w:szCs w:val="24"/>
        </w:rPr>
        <w:t xml:space="preserve">Both arguments suggest that the preference for non-Big 4 auditors is higher in SPAC-IPOs than in non-SPAC-IPOs. </w:t>
      </w:r>
      <w:r>
        <w:rPr>
          <w:rFonts w:ascii="Times New Roman" w:hAnsi="Times New Roman" w:cs="Times New Roman"/>
          <w:sz w:val="24"/>
          <w:szCs w:val="24"/>
        </w:rPr>
        <w:t xml:space="preserve">Therefore, </w:t>
      </w:r>
      <w:r w:rsidR="00906B5B">
        <w:rPr>
          <w:rFonts w:ascii="Times New Roman" w:hAnsi="Times New Roman" w:cs="Times New Roman"/>
          <w:sz w:val="24"/>
        </w:rPr>
        <w:t>ou</w:t>
      </w:r>
      <w:r w:rsidR="0069002F">
        <w:rPr>
          <w:rFonts w:ascii="Times New Roman" w:hAnsi="Times New Roman" w:cs="Times New Roman"/>
          <w:sz w:val="24"/>
        </w:rPr>
        <w:t>r</w:t>
      </w:r>
      <w:r w:rsidR="00906B5B">
        <w:rPr>
          <w:rFonts w:ascii="Times New Roman" w:hAnsi="Times New Roman" w:cs="Times New Roman"/>
          <w:sz w:val="24"/>
        </w:rPr>
        <w:t xml:space="preserve"> first hypothesis states as follows.</w:t>
      </w:r>
    </w:p>
    <w:p w14:paraId="363A079D" w14:textId="20ED175B" w:rsidR="00906B5B" w:rsidRPr="006611D5" w:rsidRDefault="00906B5B" w:rsidP="00906B5B">
      <w:pPr>
        <w:spacing w:after="0" w:line="240" w:lineRule="auto"/>
        <w:ind w:left="2070" w:hanging="1350"/>
        <w:jc w:val="both"/>
        <w:rPr>
          <w:rFonts w:ascii="Times New Roman" w:hAnsi="Times New Roman" w:cs="Times New Roman"/>
          <w:i/>
          <w:sz w:val="24"/>
          <w:szCs w:val="24"/>
        </w:rPr>
      </w:pPr>
      <w:r w:rsidRPr="006611D5">
        <w:rPr>
          <w:rFonts w:ascii="Times New Roman" w:hAnsi="Times New Roman" w:cs="Times New Roman"/>
          <w:i/>
          <w:sz w:val="24"/>
          <w:szCs w:val="24"/>
        </w:rPr>
        <w:lastRenderedPageBreak/>
        <w:t xml:space="preserve">Hypothesis 1: </w:t>
      </w:r>
      <w:r w:rsidR="00EE1909" w:rsidRPr="006611D5">
        <w:rPr>
          <w:rFonts w:ascii="Times New Roman" w:hAnsi="Times New Roman" w:cs="Times New Roman"/>
          <w:i/>
          <w:sz w:val="24"/>
          <w:szCs w:val="24"/>
        </w:rPr>
        <w:t xml:space="preserve">SPAC-IPOs </w:t>
      </w:r>
      <w:r w:rsidR="00EE1909">
        <w:rPr>
          <w:rFonts w:ascii="Times New Roman" w:hAnsi="Times New Roman" w:cs="Times New Roman"/>
          <w:i/>
          <w:sz w:val="24"/>
          <w:szCs w:val="24"/>
        </w:rPr>
        <w:t>are more likely to retain n</w:t>
      </w:r>
      <w:r w:rsidR="007648C9">
        <w:rPr>
          <w:rFonts w:ascii="Times New Roman" w:hAnsi="Times New Roman" w:cs="Times New Roman"/>
          <w:i/>
          <w:sz w:val="24"/>
          <w:szCs w:val="24"/>
        </w:rPr>
        <w:t>on-</w:t>
      </w:r>
      <w:r w:rsidR="007A3268">
        <w:rPr>
          <w:rFonts w:ascii="Times New Roman" w:hAnsi="Times New Roman" w:cs="Times New Roman"/>
          <w:i/>
          <w:sz w:val="24"/>
          <w:szCs w:val="24"/>
        </w:rPr>
        <w:t>Big 4</w:t>
      </w:r>
      <w:r w:rsidRPr="006611D5">
        <w:rPr>
          <w:rFonts w:ascii="Times New Roman" w:hAnsi="Times New Roman" w:cs="Times New Roman"/>
          <w:i/>
          <w:sz w:val="24"/>
          <w:szCs w:val="24"/>
        </w:rPr>
        <w:t xml:space="preserve"> auditors </w:t>
      </w:r>
      <w:r w:rsidR="00EE1909">
        <w:rPr>
          <w:rFonts w:ascii="Times New Roman" w:hAnsi="Times New Roman" w:cs="Times New Roman"/>
          <w:i/>
          <w:sz w:val="24"/>
          <w:szCs w:val="24"/>
        </w:rPr>
        <w:t xml:space="preserve">than </w:t>
      </w:r>
      <w:r w:rsidR="006611D5" w:rsidRPr="006611D5">
        <w:rPr>
          <w:rFonts w:ascii="Times New Roman" w:hAnsi="Times New Roman" w:cs="Times New Roman"/>
          <w:i/>
          <w:color w:val="211D1E"/>
          <w:sz w:val="24"/>
          <w:szCs w:val="24"/>
        </w:rPr>
        <w:t>non-SPAC-IPOs</w:t>
      </w:r>
      <w:r w:rsidRPr="006611D5">
        <w:rPr>
          <w:rFonts w:ascii="Times New Roman" w:hAnsi="Times New Roman" w:cs="Times New Roman"/>
          <w:i/>
          <w:sz w:val="24"/>
          <w:szCs w:val="24"/>
        </w:rPr>
        <w:t xml:space="preserve">. </w:t>
      </w:r>
    </w:p>
    <w:p w14:paraId="58876AF3" w14:textId="447D1012" w:rsidR="00906B5B" w:rsidRDefault="00906B5B" w:rsidP="00906B5B">
      <w:pPr>
        <w:spacing w:after="0" w:line="240" w:lineRule="auto"/>
        <w:ind w:left="2070" w:hanging="1350"/>
        <w:jc w:val="both"/>
        <w:rPr>
          <w:rFonts w:ascii="Times New Roman" w:hAnsi="Times New Roman" w:cs="Times New Roman"/>
          <w:i/>
          <w:sz w:val="24"/>
        </w:rPr>
      </w:pPr>
    </w:p>
    <w:p w14:paraId="0CDE508B" w14:textId="793A4CB5" w:rsidR="007F72ED" w:rsidRPr="007F72ED" w:rsidRDefault="00F2637C" w:rsidP="007F72E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Because financial reporting and disclosure quality (or the precision of financial information) are </w:t>
      </w:r>
      <w:r w:rsidR="007648C9">
        <w:rPr>
          <w:rFonts w:ascii="Times New Roman" w:hAnsi="Times New Roman" w:cs="Times New Roman"/>
          <w:sz w:val="24"/>
        </w:rPr>
        <w:t xml:space="preserve">lower for </w:t>
      </w:r>
      <w:r>
        <w:rPr>
          <w:rFonts w:ascii="Times New Roman" w:hAnsi="Times New Roman" w:cs="Times New Roman"/>
          <w:sz w:val="24"/>
        </w:rPr>
        <w:t xml:space="preserve">companies with </w:t>
      </w:r>
      <w:r w:rsidR="007648C9">
        <w:rPr>
          <w:rFonts w:ascii="Times New Roman" w:hAnsi="Times New Roman" w:cs="Times New Roman"/>
          <w:sz w:val="24"/>
        </w:rPr>
        <w:t xml:space="preserve">non-Big 4 </w:t>
      </w:r>
      <w:r>
        <w:rPr>
          <w:rFonts w:ascii="Times New Roman" w:hAnsi="Times New Roman" w:cs="Times New Roman"/>
          <w:sz w:val="24"/>
        </w:rPr>
        <w:t xml:space="preserve">auditors than with </w:t>
      </w:r>
      <w:r w:rsidR="007648C9">
        <w:rPr>
          <w:rFonts w:ascii="Times New Roman" w:hAnsi="Times New Roman" w:cs="Times New Roman"/>
          <w:sz w:val="24"/>
        </w:rPr>
        <w:t xml:space="preserve">Big 4 </w:t>
      </w:r>
      <w:r>
        <w:rPr>
          <w:rFonts w:ascii="Times New Roman" w:hAnsi="Times New Roman" w:cs="Times New Roman"/>
          <w:sz w:val="24"/>
        </w:rPr>
        <w:t xml:space="preserve">auditors, the </w:t>
      </w:r>
      <w:r w:rsidR="002928DC">
        <w:rPr>
          <w:rFonts w:ascii="Times New Roman" w:hAnsi="Times New Roman" w:cs="Times New Roman"/>
          <w:sz w:val="24"/>
        </w:rPr>
        <w:t>first h</w:t>
      </w:r>
      <w:r w:rsidR="007F72ED">
        <w:rPr>
          <w:rFonts w:ascii="Times New Roman" w:hAnsi="Times New Roman" w:cs="Times New Roman"/>
          <w:sz w:val="24"/>
        </w:rPr>
        <w:t>ypothesis suggests that the information risk is higher for SPAC-IPOs than for non-SPAC-IPOs</w:t>
      </w:r>
      <w:r>
        <w:rPr>
          <w:rFonts w:ascii="Times New Roman" w:hAnsi="Times New Roman" w:cs="Times New Roman"/>
          <w:sz w:val="24"/>
        </w:rPr>
        <w:t>.</w:t>
      </w:r>
      <w:r w:rsidR="007F72ED">
        <w:rPr>
          <w:rFonts w:ascii="Times New Roman" w:hAnsi="Times New Roman" w:cs="Times New Roman"/>
          <w:sz w:val="24"/>
        </w:rPr>
        <w:t xml:space="preserve"> </w:t>
      </w:r>
    </w:p>
    <w:p w14:paraId="4DC9C43F" w14:textId="5BC493FC" w:rsidR="004645A4" w:rsidRDefault="00906B5B" w:rsidP="004645A4">
      <w:pPr>
        <w:spacing w:after="0" w:line="480" w:lineRule="auto"/>
        <w:jc w:val="both"/>
        <w:rPr>
          <w:rFonts w:ascii="Times New Roman" w:hAnsi="Times New Roman" w:cs="Times New Roman"/>
          <w:sz w:val="24"/>
        </w:rPr>
      </w:pPr>
      <w:r w:rsidRPr="004207D2">
        <w:rPr>
          <w:rFonts w:ascii="Times New Roman" w:hAnsi="Times New Roman" w:cs="Times New Roman"/>
          <w:i/>
          <w:sz w:val="24"/>
        </w:rPr>
        <w:t>3.</w:t>
      </w:r>
      <w:r w:rsidR="002928DC">
        <w:rPr>
          <w:rFonts w:ascii="Times New Roman" w:hAnsi="Times New Roman" w:cs="Times New Roman"/>
          <w:i/>
          <w:sz w:val="24"/>
        </w:rPr>
        <w:t>1.</w:t>
      </w:r>
      <w:r>
        <w:rPr>
          <w:rFonts w:ascii="Times New Roman" w:hAnsi="Times New Roman" w:cs="Times New Roman"/>
          <w:i/>
          <w:sz w:val="24"/>
        </w:rPr>
        <w:t>2</w:t>
      </w:r>
      <w:r w:rsidRPr="004207D2">
        <w:rPr>
          <w:rFonts w:ascii="Times New Roman" w:hAnsi="Times New Roman" w:cs="Times New Roman"/>
          <w:i/>
          <w:sz w:val="24"/>
        </w:rPr>
        <w:t>.</w:t>
      </w:r>
      <w:r w:rsidRPr="004207D2">
        <w:rPr>
          <w:rFonts w:ascii="Times New Roman" w:hAnsi="Times New Roman" w:cs="Times New Roman"/>
          <w:i/>
          <w:sz w:val="24"/>
        </w:rPr>
        <w:tab/>
      </w:r>
      <w:r w:rsidR="00FB4CC4">
        <w:rPr>
          <w:rFonts w:ascii="Times New Roman" w:hAnsi="Times New Roman" w:cs="Times New Roman"/>
          <w:i/>
          <w:sz w:val="24"/>
        </w:rPr>
        <w:t xml:space="preserve">Earnings and Accruals Persistence </w:t>
      </w:r>
      <w:r w:rsidR="004645A4">
        <w:rPr>
          <w:rFonts w:ascii="Times New Roman" w:hAnsi="Times New Roman" w:cs="Times New Roman"/>
          <w:i/>
          <w:sz w:val="24"/>
        </w:rPr>
        <w:t xml:space="preserve"> </w:t>
      </w:r>
    </w:p>
    <w:p w14:paraId="19120A67" w14:textId="621CE4FA" w:rsidR="008D24C3" w:rsidRDefault="00682943" w:rsidP="00115CCD">
      <w:pPr>
        <w:pStyle w:val="NormalWeb"/>
        <w:spacing w:before="0" w:beforeAutospacing="0" w:after="0" w:afterAutospacing="0" w:line="480" w:lineRule="auto"/>
        <w:jc w:val="both"/>
      </w:pPr>
      <w:r>
        <w:tab/>
      </w:r>
      <w:r w:rsidR="00FB4CC4">
        <w:t xml:space="preserve">Earnings and accruals persistence are </w:t>
      </w:r>
      <w:r w:rsidRPr="00115CCD">
        <w:t xml:space="preserve">expected to be lower in SPAC-IPOs than in </w:t>
      </w:r>
      <w:r w:rsidR="00EB27AB">
        <w:t>non-SPAC-</w:t>
      </w:r>
      <w:r w:rsidRPr="00115CCD">
        <w:t>IPOs for several reasons. First, because SPACs rely on sponsors</w:t>
      </w:r>
      <w:r w:rsidR="00006169">
        <w:t>’</w:t>
      </w:r>
      <w:r w:rsidRPr="00115CCD">
        <w:t xml:space="preserve"> </w:t>
      </w:r>
      <w:r w:rsidR="00006169">
        <w:t xml:space="preserve">ability to identify </w:t>
      </w:r>
      <w:r w:rsidRPr="00115CCD">
        <w:t>private compan</w:t>
      </w:r>
      <w:r w:rsidR="002710EC">
        <w:t>ies</w:t>
      </w:r>
      <w:r w:rsidR="00006169">
        <w:t xml:space="preserve"> with attractive g</w:t>
      </w:r>
      <w:r w:rsidRPr="00115CCD">
        <w:t xml:space="preserve">rowth </w:t>
      </w:r>
      <w:r w:rsidR="00006169">
        <w:t>opportunities</w:t>
      </w:r>
      <w:r w:rsidRPr="00115CCD">
        <w:t xml:space="preserve">, outside SPAC-investors may attach less importance </w:t>
      </w:r>
      <w:r w:rsidR="00317CA7">
        <w:t xml:space="preserve">to </w:t>
      </w:r>
      <w:r w:rsidRPr="00115CCD">
        <w:t xml:space="preserve">reported </w:t>
      </w:r>
      <w:r w:rsidR="00FB4CC4">
        <w:t xml:space="preserve">earnings and accruals quality. </w:t>
      </w:r>
      <w:r w:rsidRPr="00115CCD">
        <w:t xml:space="preserve">Second, weaker disclosure controls and procedures might have an indirect effect on the quality of </w:t>
      </w:r>
      <w:r w:rsidR="00FB4CC4">
        <w:t>earnings/accruals</w:t>
      </w:r>
      <w:r w:rsidRPr="00115CCD">
        <w:t xml:space="preserve">. Third, to the extent SPAC-IPOs are less likely to retain Big </w:t>
      </w:r>
      <w:r w:rsidR="00765C2B">
        <w:t>4</w:t>
      </w:r>
      <w:r w:rsidR="00C147A4">
        <w:t xml:space="preserve"> </w:t>
      </w:r>
      <w:r w:rsidRPr="00115CCD">
        <w:t xml:space="preserve">auditors, and financial reporting quality is </w:t>
      </w:r>
      <w:r w:rsidR="00006169">
        <w:t xml:space="preserve">a function of </w:t>
      </w:r>
      <w:r w:rsidRPr="00115CCD">
        <w:t xml:space="preserve">auditor size, we </w:t>
      </w:r>
      <w:r w:rsidR="00B7233E">
        <w:t xml:space="preserve">expect </w:t>
      </w:r>
      <w:r w:rsidR="00FB4CC4">
        <w:t xml:space="preserve">earnings/accruals persistence to be lower </w:t>
      </w:r>
      <w:r w:rsidRPr="00115CCD">
        <w:t>in SPAC-IPOs</w:t>
      </w:r>
      <w:r w:rsidR="00B7233E">
        <w:t xml:space="preserve"> than in non-SPAC-IPOs</w:t>
      </w:r>
      <w:r w:rsidRPr="00115CCD">
        <w:t>.</w:t>
      </w:r>
      <w:r w:rsidR="00E37E93" w:rsidRPr="00115CCD">
        <w:t xml:space="preserve"> </w:t>
      </w:r>
      <w:r w:rsidR="00115CCD" w:rsidRPr="00115CCD">
        <w:t>Fourth, SPAC transactions involve complex financial reporting including</w:t>
      </w:r>
      <w:r w:rsidR="00115CCD">
        <w:t xml:space="preserve"> </w:t>
      </w:r>
      <w:r w:rsidR="00115CCD" w:rsidRPr="00115CCD">
        <w:t>i</w:t>
      </w:r>
      <w:hyperlink r:id="rId9" w:anchor="SL675017964-542464" w:tgtFrame="_blank" w:history="1">
        <w:r w:rsidR="00115CCD" w:rsidRPr="00115CCD">
          <w:rPr>
            <w:rStyle w:val="Hyperlink"/>
            <w:color w:val="auto"/>
            <w:u w:val="none"/>
          </w:rPr>
          <w:t>dentifying the accounting acquirer</w:t>
        </w:r>
      </w:hyperlink>
      <w:r w:rsidR="00115CCD">
        <w:t>, a</w:t>
      </w:r>
      <w:r w:rsidR="00115CCD" w:rsidRPr="00115CCD">
        <w:t xml:space="preserve">ccounting for </w:t>
      </w:r>
      <w:hyperlink r:id="rId10" w:anchor="SL718698580-542464" w:tgtFrame="_blank" w:history="1">
        <w:r w:rsidR="00115CCD" w:rsidRPr="00115CCD">
          <w:rPr>
            <w:rStyle w:val="Hyperlink"/>
            <w:color w:val="auto"/>
            <w:u w:val="none"/>
          </w:rPr>
          <w:t>earn-out arrangements</w:t>
        </w:r>
      </w:hyperlink>
      <w:r w:rsidR="00115CCD" w:rsidRPr="00115CCD">
        <w:t xml:space="preserve"> and </w:t>
      </w:r>
      <w:hyperlink r:id="rId11" w:anchor="SL725742806-542464" w:tgtFrame="_blank" w:history="1">
        <w:r w:rsidR="00115CCD" w:rsidRPr="00115CCD">
          <w:rPr>
            <w:rStyle w:val="Hyperlink"/>
            <w:color w:val="auto"/>
            <w:u w:val="none"/>
          </w:rPr>
          <w:t>complex financial instruments</w:t>
        </w:r>
      </w:hyperlink>
      <w:r w:rsidR="00115CCD">
        <w:t>, and p</w:t>
      </w:r>
      <w:hyperlink r:id="rId12" w:anchor="SL675017840-542464" w:tgtFrame="_blank" w:history="1">
        <w:r w:rsidR="00115CCD" w:rsidRPr="00115CCD">
          <w:rPr>
            <w:rStyle w:val="Hyperlink"/>
            <w:color w:val="auto"/>
            <w:u w:val="none"/>
          </w:rPr>
          <w:t>ublic company disclosure requirements</w:t>
        </w:r>
      </w:hyperlink>
      <w:r w:rsidR="00115CCD" w:rsidRPr="00115CCD">
        <w:t xml:space="preserve"> and adoption dates for new accounting standards</w:t>
      </w:r>
      <w:r w:rsidR="0039065F">
        <w:t xml:space="preserve"> (PwC 2021)</w:t>
      </w:r>
      <w:r w:rsidR="00B7233E">
        <w:t xml:space="preserve">, which might </w:t>
      </w:r>
      <w:r w:rsidR="00115CCD">
        <w:t xml:space="preserve">individually and collectively erode </w:t>
      </w:r>
      <w:r w:rsidR="00FB4CC4">
        <w:t xml:space="preserve">earnings </w:t>
      </w:r>
      <w:r w:rsidR="00115CCD">
        <w:t xml:space="preserve">quality. </w:t>
      </w:r>
    </w:p>
    <w:p w14:paraId="2E31155D" w14:textId="3A57B9B9" w:rsidR="00E37E93" w:rsidRDefault="00E37E93" w:rsidP="00E37E93">
      <w:pPr>
        <w:spacing w:after="0" w:line="240" w:lineRule="auto"/>
        <w:ind w:left="2070" w:hanging="1350"/>
        <w:jc w:val="both"/>
        <w:rPr>
          <w:rFonts w:ascii="Times New Roman" w:hAnsi="Times New Roman" w:cs="Times New Roman"/>
          <w:i/>
          <w:sz w:val="24"/>
        </w:rPr>
      </w:pPr>
      <w:r w:rsidRPr="00906B5B">
        <w:rPr>
          <w:rFonts w:ascii="Times New Roman" w:hAnsi="Times New Roman" w:cs="Times New Roman"/>
          <w:i/>
          <w:sz w:val="24"/>
        </w:rPr>
        <w:t xml:space="preserve">Hypothesis </w:t>
      </w:r>
      <w:r w:rsidR="008D1E22">
        <w:rPr>
          <w:rFonts w:ascii="Times New Roman" w:hAnsi="Times New Roman" w:cs="Times New Roman"/>
          <w:i/>
          <w:sz w:val="24"/>
        </w:rPr>
        <w:t>2</w:t>
      </w:r>
      <w:r w:rsidRPr="00906B5B">
        <w:rPr>
          <w:rFonts w:ascii="Times New Roman" w:hAnsi="Times New Roman" w:cs="Times New Roman"/>
          <w:i/>
          <w:sz w:val="24"/>
        </w:rPr>
        <w:t xml:space="preserve">: </w:t>
      </w:r>
      <w:r w:rsidR="006D58D2">
        <w:rPr>
          <w:rFonts w:ascii="Times New Roman" w:hAnsi="Times New Roman" w:cs="Times New Roman"/>
          <w:i/>
          <w:sz w:val="24"/>
        </w:rPr>
        <w:t xml:space="preserve">Earnings and accruals persistence </w:t>
      </w:r>
      <w:r>
        <w:rPr>
          <w:rFonts w:ascii="Times New Roman" w:hAnsi="Times New Roman" w:cs="Times New Roman"/>
          <w:i/>
          <w:sz w:val="24"/>
        </w:rPr>
        <w:t xml:space="preserve">is lower in </w:t>
      </w:r>
      <w:r w:rsidRPr="004457A8">
        <w:rPr>
          <w:rFonts w:ascii="Times New Roman" w:hAnsi="Times New Roman" w:cs="Times New Roman"/>
          <w:i/>
          <w:sz w:val="24"/>
        </w:rPr>
        <w:t xml:space="preserve">SPAC-IPOs </w:t>
      </w:r>
      <w:r w:rsidRPr="004457A8">
        <w:rPr>
          <w:rFonts w:ascii="Times New Roman" w:hAnsi="Times New Roman" w:cs="Times New Roman"/>
          <w:i/>
          <w:sz w:val="24"/>
          <w:szCs w:val="24"/>
        </w:rPr>
        <w:t xml:space="preserve">than </w:t>
      </w:r>
      <w:r>
        <w:rPr>
          <w:rFonts w:ascii="Times New Roman" w:hAnsi="Times New Roman" w:cs="Times New Roman"/>
          <w:i/>
          <w:sz w:val="24"/>
          <w:szCs w:val="24"/>
        </w:rPr>
        <w:t xml:space="preserve">in </w:t>
      </w:r>
      <w:r w:rsidR="006611D5">
        <w:rPr>
          <w:rFonts w:ascii="Times New Roman" w:hAnsi="Times New Roman" w:cs="Times New Roman"/>
          <w:i/>
          <w:sz w:val="24"/>
          <w:szCs w:val="24"/>
        </w:rPr>
        <w:t>non-SPAC-</w:t>
      </w:r>
      <w:r w:rsidRPr="004457A8">
        <w:rPr>
          <w:rFonts w:ascii="Times New Roman" w:hAnsi="Times New Roman" w:cs="Times New Roman"/>
          <w:i/>
          <w:sz w:val="24"/>
        </w:rPr>
        <w:t>IPOs.</w:t>
      </w:r>
      <w:r w:rsidRPr="00906B5B">
        <w:rPr>
          <w:rFonts w:ascii="Times New Roman" w:hAnsi="Times New Roman" w:cs="Times New Roman"/>
          <w:i/>
          <w:sz w:val="24"/>
        </w:rPr>
        <w:t xml:space="preserve"> </w:t>
      </w:r>
    </w:p>
    <w:p w14:paraId="36630FD2" w14:textId="77777777" w:rsidR="008C3823" w:rsidRDefault="008C3823" w:rsidP="008C3823">
      <w:pPr>
        <w:spacing w:after="0" w:line="240" w:lineRule="auto"/>
        <w:jc w:val="both"/>
        <w:rPr>
          <w:rFonts w:ascii="Times New Roman" w:hAnsi="Times New Roman" w:cs="Times New Roman"/>
          <w:sz w:val="24"/>
        </w:rPr>
      </w:pPr>
    </w:p>
    <w:p w14:paraId="25C54C8D" w14:textId="4827E367" w:rsidR="00620DA4" w:rsidRPr="007F72ED" w:rsidRDefault="00620DA4" w:rsidP="00620DA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Our second hypothesis </w:t>
      </w:r>
      <w:r w:rsidR="00B7233E">
        <w:rPr>
          <w:rFonts w:ascii="Times New Roman" w:hAnsi="Times New Roman" w:cs="Times New Roman"/>
          <w:sz w:val="24"/>
        </w:rPr>
        <w:t xml:space="preserve">also </w:t>
      </w:r>
      <w:r>
        <w:rPr>
          <w:rFonts w:ascii="Times New Roman" w:hAnsi="Times New Roman" w:cs="Times New Roman"/>
          <w:sz w:val="24"/>
        </w:rPr>
        <w:t xml:space="preserve">suggests that information risk is higher for SPAC-IPOs than for non-SPAC-IPOs because financial reports are less informative about the future prospects of the company when earnings and accruals are less persistent. </w:t>
      </w:r>
    </w:p>
    <w:p w14:paraId="0B81AFA4" w14:textId="6DB1519A" w:rsidR="008C3823" w:rsidRDefault="008C3823" w:rsidP="008C3823">
      <w:pPr>
        <w:spacing w:after="0" w:line="480" w:lineRule="auto"/>
        <w:jc w:val="both"/>
        <w:rPr>
          <w:rFonts w:ascii="Times New Roman" w:hAnsi="Times New Roman" w:cs="Times New Roman"/>
          <w:sz w:val="24"/>
        </w:rPr>
      </w:pPr>
      <w:r w:rsidRPr="004207D2">
        <w:rPr>
          <w:rFonts w:ascii="Times New Roman" w:hAnsi="Times New Roman" w:cs="Times New Roman"/>
          <w:i/>
          <w:sz w:val="24"/>
        </w:rPr>
        <w:t>3.</w:t>
      </w:r>
      <w:r w:rsidR="002928DC">
        <w:rPr>
          <w:rFonts w:ascii="Times New Roman" w:hAnsi="Times New Roman" w:cs="Times New Roman"/>
          <w:i/>
          <w:sz w:val="24"/>
        </w:rPr>
        <w:t>1.</w:t>
      </w:r>
      <w:r w:rsidR="001D74B4">
        <w:rPr>
          <w:rFonts w:ascii="Times New Roman" w:hAnsi="Times New Roman" w:cs="Times New Roman"/>
          <w:i/>
          <w:sz w:val="24"/>
        </w:rPr>
        <w:t>3</w:t>
      </w:r>
      <w:r w:rsidRPr="004207D2">
        <w:rPr>
          <w:rFonts w:ascii="Times New Roman" w:hAnsi="Times New Roman" w:cs="Times New Roman"/>
          <w:i/>
          <w:sz w:val="24"/>
        </w:rPr>
        <w:t>.</w:t>
      </w:r>
      <w:r w:rsidRPr="004207D2">
        <w:rPr>
          <w:rFonts w:ascii="Times New Roman" w:hAnsi="Times New Roman" w:cs="Times New Roman"/>
          <w:i/>
          <w:sz w:val="24"/>
        </w:rPr>
        <w:tab/>
      </w:r>
      <w:r w:rsidR="009A2BE3">
        <w:rPr>
          <w:rFonts w:ascii="Times New Roman" w:hAnsi="Times New Roman" w:cs="Times New Roman"/>
          <w:i/>
          <w:sz w:val="24"/>
        </w:rPr>
        <w:t xml:space="preserve">Stock </w:t>
      </w:r>
      <w:r>
        <w:rPr>
          <w:rFonts w:ascii="Times New Roman" w:hAnsi="Times New Roman" w:cs="Times New Roman"/>
          <w:i/>
          <w:sz w:val="24"/>
        </w:rPr>
        <w:t xml:space="preserve">Exchange Listing Choice </w:t>
      </w:r>
    </w:p>
    <w:p w14:paraId="4275BBFA" w14:textId="0D0B799C" w:rsidR="00FA74EC" w:rsidRDefault="0056026F" w:rsidP="00534DBD">
      <w:pPr>
        <w:pStyle w:val="NormalWeb"/>
        <w:spacing w:before="0" w:beforeAutospacing="0" w:after="0" w:afterAutospacing="0" w:line="480" w:lineRule="auto"/>
        <w:ind w:firstLine="720"/>
        <w:jc w:val="both"/>
      </w:pPr>
      <w:r>
        <w:lastRenderedPageBreak/>
        <w:t>There are several potential explanations for SPAC-IPO firms favoring NASDAQ</w:t>
      </w:r>
      <w:r w:rsidR="00AF4322">
        <w:t xml:space="preserve"> or OTC</w:t>
      </w:r>
      <w:r>
        <w:t xml:space="preserve"> over NYSE. First, the exchange related costs are considerably </w:t>
      </w:r>
      <w:r w:rsidR="00AF4322">
        <w:t xml:space="preserve">higher </w:t>
      </w:r>
      <w:r>
        <w:t xml:space="preserve">on </w:t>
      </w:r>
      <w:r w:rsidR="00AF4322">
        <w:t>NY</w:t>
      </w:r>
      <w:r>
        <w:t xml:space="preserve">SE. For instance, the listing fee on the NASDAQ </w:t>
      </w:r>
      <w:r w:rsidR="009A2BE3">
        <w:t xml:space="preserve">exchange </w:t>
      </w:r>
      <w:r>
        <w:t xml:space="preserve">is between $50,000 and $75,000 while </w:t>
      </w:r>
      <w:r w:rsidR="00393120">
        <w:t xml:space="preserve">the </w:t>
      </w:r>
      <w:r w:rsidR="009A2BE3">
        <w:t xml:space="preserve">listing fee on </w:t>
      </w:r>
      <w:r>
        <w:t xml:space="preserve">the NYSE </w:t>
      </w:r>
      <w:r w:rsidR="009A2BE3">
        <w:t xml:space="preserve">exchange </w:t>
      </w:r>
      <w:r>
        <w:t xml:space="preserve">is $250,000. Further, the annual listing fee for NASDAQ </w:t>
      </w:r>
      <w:r w:rsidR="009A2BE3">
        <w:t xml:space="preserve">exchange </w:t>
      </w:r>
      <w:r>
        <w:t xml:space="preserve">is </w:t>
      </w:r>
      <w:r w:rsidR="009A2BE3">
        <w:t xml:space="preserve">only </w:t>
      </w:r>
      <w:r>
        <w:t xml:space="preserve">$27,500 </w:t>
      </w:r>
      <w:r w:rsidR="009A2BE3">
        <w:t xml:space="preserve">while that cost on the </w:t>
      </w:r>
      <w:r>
        <w:t xml:space="preserve">NYSE </w:t>
      </w:r>
      <w:r w:rsidR="009A2BE3">
        <w:t xml:space="preserve">exchange </w:t>
      </w:r>
      <w:r>
        <w:t xml:space="preserve">is </w:t>
      </w:r>
      <w:r w:rsidR="009A2BE3">
        <w:t>more than eighteen times higher (</w:t>
      </w:r>
      <w:r>
        <w:t>$500,000</w:t>
      </w:r>
      <w:r w:rsidR="009A2BE3">
        <w:t>)</w:t>
      </w:r>
      <w:r>
        <w:t xml:space="preserve">. </w:t>
      </w:r>
      <w:r w:rsidR="006E6915">
        <w:t xml:space="preserve">To minimize their upfront cost, </w:t>
      </w:r>
      <w:r>
        <w:t>SPAC</w:t>
      </w:r>
      <w:r w:rsidR="00E77ED7">
        <w:t>-</w:t>
      </w:r>
      <w:r>
        <w:t>sponsors</w:t>
      </w:r>
      <w:r w:rsidR="006E6915">
        <w:t xml:space="preserve"> m</w:t>
      </w:r>
      <w:r w:rsidR="00AF4322">
        <w:t xml:space="preserve">ay not </w:t>
      </w:r>
      <w:r>
        <w:t xml:space="preserve">prefer </w:t>
      </w:r>
      <w:r w:rsidR="00D35F62">
        <w:t xml:space="preserve">the </w:t>
      </w:r>
      <w:r w:rsidR="00AF4322">
        <w:t>NYSE</w:t>
      </w:r>
      <w:r>
        <w:t>.</w:t>
      </w:r>
      <w:r w:rsidR="00FA74EC">
        <w:t xml:space="preserve"> After</w:t>
      </w:r>
      <w:r>
        <w:t xml:space="preserve"> </w:t>
      </w:r>
      <w:r w:rsidR="00FA74EC">
        <w:t>the SPAC merges with a target, the SPAC-IPO typically continues to trade on the same exchange as the SPAC.</w:t>
      </w:r>
    </w:p>
    <w:p w14:paraId="4FC75942" w14:textId="5BA85A32" w:rsidR="00534DBD" w:rsidRPr="00115CCD" w:rsidRDefault="002D643B" w:rsidP="00534DBD">
      <w:pPr>
        <w:pStyle w:val="NormalWeb"/>
        <w:spacing w:before="0" w:beforeAutospacing="0" w:after="0" w:afterAutospacing="0" w:line="480" w:lineRule="auto"/>
        <w:ind w:firstLine="720"/>
        <w:jc w:val="both"/>
      </w:pPr>
      <w:r>
        <w:t xml:space="preserve">Second, a common perception is that </w:t>
      </w:r>
      <w:r w:rsidR="000C12A1">
        <w:t xml:space="preserve">the </w:t>
      </w:r>
      <w:r>
        <w:t>NASDAQ stock exchange is geared towards growth stocks with potentially more volatile stock prices</w:t>
      </w:r>
      <w:r w:rsidR="00A704D7">
        <w:t xml:space="preserve"> (Jiang, Kim, and Wood 2011)</w:t>
      </w:r>
      <w:r>
        <w:t xml:space="preserve">. Since SPAC sponsors and shareholders get warrants along with equity, they might have a stronger preference for </w:t>
      </w:r>
      <w:r w:rsidR="009A2BE3">
        <w:t xml:space="preserve">the </w:t>
      </w:r>
      <w:r>
        <w:t xml:space="preserve">NASDAQ </w:t>
      </w:r>
      <w:r w:rsidR="009A2BE3">
        <w:t xml:space="preserve">exchange </w:t>
      </w:r>
      <w:r>
        <w:t xml:space="preserve">because the added volatility </w:t>
      </w:r>
      <w:r w:rsidR="00167ED6">
        <w:t xml:space="preserve">is likely to generate </w:t>
      </w:r>
      <w:r>
        <w:t>more attractive warrant prices</w:t>
      </w:r>
      <w:r w:rsidR="00A704D7">
        <w:t xml:space="preserve"> (Li and Wong 2005)</w:t>
      </w:r>
      <w:r>
        <w:t>.</w:t>
      </w:r>
      <w:r w:rsidR="00732F71">
        <w:rPr>
          <w:rStyle w:val="FootnoteReference"/>
        </w:rPr>
        <w:footnoteReference w:id="13"/>
      </w:r>
      <w:r>
        <w:t xml:space="preserve"> </w:t>
      </w:r>
      <w:r w:rsidR="00167ED6">
        <w:t xml:space="preserve">Finally, because </w:t>
      </w:r>
      <w:r w:rsidR="009A2BE3">
        <w:t xml:space="preserve">the </w:t>
      </w:r>
      <w:r w:rsidR="00167ED6">
        <w:t xml:space="preserve">NYSE listing requirements are more stringent than </w:t>
      </w:r>
      <w:r w:rsidR="00AF4322">
        <w:t xml:space="preserve">other stock exchcange </w:t>
      </w:r>
      <w:r w:rsidR="009A2BE3">
        <w:t xml:space="preserve">listing </w:t>
      </w:r>
      <w:r w:rsidR="00167ED6">
        <w:t xml:space="preserve">requirements, </w:t>
      </w:r>
      <w:r w:rsidR="00FA74EC">
        <w:t>SPAC/</w:t>
      </w:r>
      <w:r w:rsidR="00167ED6">
        <w:t xml:space="preserve">SPAC-IPOs may </w:t>
      </w:r>
      <w:r w:rsidR="00A451D5">
        <w:t xml:space="preserve">avoid </w:t>
      </w:r>
      <w:r w:rsidR="00AF4322">
        <w:t>NYSE</w:t>
      </w:r>
      <w:r w:rsidR="00167ED6">
        <w:t>.</w:t>
      </w:r>
      <w:r w:rsidR="009A2BE3">
        <w:rPr>
          <w:rStyle w:val="FootnoteReference"/>
        </w:rPr>
        <w:footnoteReference w:id="14"/>
      </w:r>
      <w:r w:rsidR="00167ED6">
        <w:t xml:space="preserve"> </w:t>
      </w:r>
      <w:r w:rsidR="00534DBD">
        <w:t xml:space="preserve">Therefore, </w:t>
      </w:r>
      <w:r w:rsidR="00534DBD" w:rsidRPr="00115CCD">
        <w:t xml:space="preserve">our </w:t>
      </w:r>
      <w:r w:rsidR="00B7233E">
        <w:t xml:space="preserve">third </w:t>
      </w:r>
      <w:r w:rsidR="00534DBD" w:rsidRPr="00115CCD">
        <w:t>hypothesis states as follows.</w:t>
      </w:r>
    </w:p>
    <w:p w14:paraId="2DB81EA8" w14:textId="2EC354AF" w:rsidR="00534DBD" w:rsidRDefault="00534DBD" w:rsidP="00534DBD">
      <w:pPr>
        <w:spacing w:after="0" w:line="240" w:lineRule="auto"/>
        <w:ind w:left="2070" w:hanging="1350"/>
        <w:jc w:val="both"/>
        <w:rPr>
          <w:rFonts w:ascii="Times New Roman" w:hAnsi="Times New Roman" w:cs="Times New Roman"/>
          <w:i/>
          <w:sz w:val="24"/>
        </w:rPr>
      </w:pPr>
      <w:r w:rsidRPr="00906B5B">
        <w:rPr>
          <w:rFonts w:ascii="Times New Roman" w:hAnsi="Times New Roman" w:cs="Times New Roman"/>
          <w:i/>
          <w:sz w:val="24"/>
        </w:rPr>
        <w:t xml:space="preserve">Hypothesis </w:t>
      </w:r>
      <w:r w:rsidR="008D1E22">
        <w:rPr>
          <w:rFonts w:ascii="Times New Roman" w:hAnsi="Times New Roman" w:cs="Times New Roman"/>
          <w:i/>
          <w:sz w:val="24"/>
        </w:rPr>
        <w:t>3</w:t>
      </w:r>
      <w:r w:rsidRPr="00906B5B">
        <w:rPr>
          <w:rFonts w:ascii="Times New Roman" w:hAnsi="Times New Roman" w:cs="Times New Roman"/>
          <w:i/>
          <w:sz w:val="24"/>
        </w:rPr>
        <w:t xml:space="preserve">: </w:t>
      </w:r>
      <w:r w:rsidRPr="004457A8">
        <w:rPr>
          <w:rFonts w:ascii="Times New Roman" w:hAnsi="Times New Roman" w:cs="Times New Roman"/>
          <w:i/>
          <w:sz w:val="24"/>
        </w:rPr>
        <w:t xml:space="preserve">SPAC-IPOs </w:t>
      </w:r>
      <w:r>
        <w:rPr>
          <w:rFonts w:ascii="Times New Roman" w:hAnsi="Times New Roman" w:cs="Times New Roman"/>
          <w:i/>
          <w:sz w:val="24"/>
        </w:rPr>
        <w:t xml:space="preserve">are more likely to </w:t>
      </w:r>
      <w:r w:rsidR="00A451D5">
        <w:rPr>
          <w:rFonts w:ascii="Times New Roman" w:hAnsi="Times New Roman" w:cs="Times New Roman"/>
          <w:i/>
          <w:sz w:val="24"/>
        </w:rPr>
        <w:t xml:space="preserve">avoid </w:t>
      </w:r>
      <w:r w:rsidR="00B877AC">
        <w:rPr>
          <w:rFonts w:ascii="Times New Roman" w:hAnsi="Times New Roman" w:cs="Times New Roman"/>
          <w:i/>
          <w:sz w:val="24"/>
        </w:rPr>
        <w:t xml:space="preserve">listing on the </w:t>
      </w:r>
      <w:r>
        <w:rPr>
          <w:rFonts w:ascii="Times New Roman" w:hAnsi="Times New Roman" w:cs="Times New Roman"/>
          <w:i/>
          <w:sz w:val="24"/>
        </w:rPr>
        <w:t xml:space="preserve">NYSE than </w:t>
      </w:r>
      <w:r w:rsidR="006611D5">
        <w:rPr>
          <w:rFonts w:ascii="Times New Roman" w:hAnsi="Times New Roman" w:cs="Times New Roman"/>
          <w:i/>
          <w:sz w:val="24"/>
        </w:rPr>
        <w:t>non-SPAC-</w:t>
      </w:r>
      <w:r w:rsidRPr="004457A8">
        <w:rPr>
          <w:rFonts w:ascii="Times New Roman" w:hAnsi="Times New Roman" w:cs="Times New Roman"/>
          <w:i/>
          <w:sz w:val="24"/>
        </w:rPr>
        <w:t>IPOs.</w:t>
      </w:r>
      <w:r w:rsidRPr="00906B5B">
        <w:rPr>
          <w:rFonts w:ascii="Times New Roman" w:hAnsi="Times New Roman" w:cs="Times New Roman"/>
          <w:i/>
          <w:sz w:val="24"/>
        </w:rPr>
        <w:t xml:space="preserve"> </w:t>
      </w:r>
    </w:p>
    <w:p w14:paraId="6030BD06" w14:textId="438EA6D7" w:rsidR="0056026F" w:rsidRDefault="0056026F" w:rsidP="008C3823">
      <w:pPr>
        <w:spacing w:after="0" w:line="240" w:lineRule="auto"/>
        <w:jc w:val="both"/>
        <w:rPr>
          <w:rFonts w:ascii="Times New Roman" w:hAnsi="Times New Roman" w:cs="Times New Roman"/>
          <w:sz w:val="24"/>
        </w:rPr>
      </w:pPr>
    </w:p>
    <w:p w14:paraId="23091178" w14:textId="2EFD3CBC" w:rsidR="002928DC" w:rsidRPr="005F70FA" w:rsidRDefault="00B7233E" w:rsidP="007F72ED">
      <w:pPr>
        <w:spacing w:after="0" w:line="480" w:lineRule="auto"/>
        <w:ind w:firstLine="720"/>
        <w:jc w:val="both"/>
        <w:rPr>
          <w:rFonts w:ascii="Times New Roman" w:hAnsi="Times New Roman" w:cs="Times New Roman"/>
          <w:sz w:val="24"/>
          <w:szCs w:val="24"/>
        </w:rPr>
      </w:pPr>
      <w:r w:rsidRPr="005F70FA">
        <w:rPr>
          <w:rFonts w:ascii="Times New Roman" w:hAnsi="Times New Roman" w:cs="Times New Roman"/>
          <w:sz w:val="24"/>
          <w:szCs w:val="24"/>
        </w:rPr>
        <w:t xml:space="preserve">The </w:t>
      </w:r>
      <w:r w:rsidR="00620DA4" w:rsidRPr="005F70FA">
        <w:rPr>
          <w:rFonts w:ascii="Times New Roman" w:hAnsi="Times New Roman" w:cs="Times New Roman"/>
          <w:sz w:val="24"/>
          <w:szCs w:val="24"/>
        </w:rPr>
        <w:t xml:space="preserve">third </w:t>
      </w:r>
      <w:r w:rsidR="002928DC" w:rsidRPr="005F70FA">
        <w:rPr>
          <w:rFonts w:ascii="Times New Roman" w:hAnsi="Times New Roman" w:cs="Times New Roman"/>
          <w:sz w:val="24"/>
          <w:szCs w:val="24"/>
        </w:rPr>
        <w:t>h</w:t>
      </w:r>
      <w:r w:rsidR="007F72ED" w:rsidRPr="005F70FA">
        <w:rPr>
          <w:rFonts w:ascii="Times New Roman" w:hAnsi="Times New Roman" w:cs="Times New Roman"/>
          <w:sz w:val="24"/>
          <w:szCs w:val="24"/>
        </w:rPr>
        <w:t xml:space="preserve">ypothesis </w:t>
      </w:r>
      <w:r w:rsidRPr="005F70FA">
        <w:rPr>
          <w:rFonts w:ascii="Times New Roman" w:hAnsi="Times New Roman" w:cs="Times New Roman"/>
          <w:sz w:val="24"/>
          <w:szCs w:val="24"/>
        </w:rPr>
        <w:t xml:space="preserve">again </w:t>
      </w:r>
      <w:r w:rsidR="007F72ED" w:rsidRPr="005F70FA">
        <w:rPr>
          <w:rFonts w:ascii="Times New Roman" w:hAnsi="Times New Roman" w:cs="Times New Roman"/>
          <w:sz w:val="24"/>
          <w:szCs w:val="24"/>
        </w:rPr>
        <w:t xml:space="preserve">suggests </w:t>
      </w:r>
      <w:r w:rsidRPr="005F70FA">
        <w:rPr>
          <w:rFonts w:ascii="Times New Roman" w:hAnsi="Times New Roman" w:cs="Times New Roman"/>
          <w:sz w:val="24"/>
          <w:szCs w:val="24"/>
        </w:rPr>
        <w:t>higher i</w:t>
      </w:r>
      <w:r w:rsidR="007F72ED" w:rsidRPr="005F70FA">
        <w:rPr>
          <w:rFonts w:ascii="Times New Roman" w:hAnsi="Times New Roman" w:cs="Times New Roman"/>
          <w:sz w:val="24"/>
          <w:szCs w:val="24"/>
        </w:rPr>
        <w:t>nformation risk for SPAC-IPOs than for non-SPAC-IPOs because</w:t>
      </w:r>
      <w:r w:rsidR="005F70FA">
        <w:rPr>
          <w:rFonts w:ascii="Times New Roman" w:hAnsi="Times New Roman" w:cs="Times New Roman"/>
          <w:sz w:val="24"/>
          <w:szCs w:val="24"/>
        </w:rPr>
        <w:t>, relative to other stock exchanges,</w:t>
      </w:r>
      <w:r w:rsidR="007F72ED" w:rsidRPr="005F70FA">
        <w:rPr>
          <w:rFonts w:ascii="Times New Roman" w:hAnsi="Times New Roman" w:cs="Times New Roman"/>
          <w:sz w:val="24"/>
          <w:szCs w:val="24"/>
        </w:rPr>
        <w:t xml:space="preserve"> </w:t>
      </w:r>
      <w:r w:rsidR="005F70FA" w:rsidRPr="005F70FA">
        <w:rPr>
          <w:rFonts w:ascii="Times New Roman" w:hAnsi="Times New Roman" w:cs="Times New Roman"/>
          <w:sz w:val="24"/>
          <w:szCs w:val="24"/>
        </w:rPr>
        <w:t xml:space="preserve">NYSE requires more detailed </w:t>
      </w:r>
      <w:r w:rsidR="005F70FA">
        <w:rPr>
          <w:rFonts w:ascii="Times New Roman" w:hAnsi="Times New Roman" w:cs="Times New Roman"/>
          <w:sz w:val="24"/>
          <w:szCs w:val="24"/>
        </w:rPr>
        <w:t>listing disclosures, which is likely to lower the info</w:t>
      </w:r>
      <w:r w:rsidR="005F70FA" w:rsidRPr="005F70FA">
        <w:rPr>
          <w:rFonts w:ascii="Times New Roman" w:hAnsi="Times New Roman" w:cs="Times New Roman"/>
          <w:sz w:val="24"/>
          <w:szCs w:val="24"/>
        </w:rPr>
        <w:t xml:space="preserve">rmation risk </w:t>
      </w:r>
      <w:r w:rsidR="005F70FA">
        <w:rPr>
          <w:rFonts w:ascii="Times New Roman" w:hAnsi="Times New Roman" w:cs="Times New Roman"/>
          <w:sz w:val="24"/>
          <w:szCs w:val="24"/>
        </w:rPr>
        <w:t xml:space="preserve">for </w:t>
      </w:r>
      <w:r w:rsidR="005F70FA" w:rsidRPr="005F70FA">
        <w:rPr>
          <w:rFonts w:ascii="Times New Roman" w:hAnsi="Times New Roman" w:cs="Times New Roman"/>
          <w:sz w:val="24"/>
          <w:szCs w:val="24"/>
        </w:rPr>
        <w:t>NYSE</w:t>
      </w:r>
      <w:r w:rsidR="002735C6">
        <w:rPr>
          <w:rFonts w:ascii="Times New Roman" w:hAnsi="Times New Roman" w:cs="Times New Roman"/>
          <w:sz w:val="24"/>
          <w:szCs w:val="24"/>
        </w:rPr>
        <w:t xml:space="preserve"> companies</w:t>
      </w:r>
      <w:r w:rsidR="005F70FA" w:rsidRPr="005F70FA">
        <w:rPr>
          <w:rFonts w:ascii="Times New Roman" w:hAnsi="Times New Roman" w:cs="Times New Roman"/>
          <w:sz w:val="24"/>
          <w:szCs w:val="24"/>
        </w:rPr>
        <w:t xml:space="preserve">. For instance, </w:t>
      </w:r>
      <w:r w:rsidR="005F70FA" w:rsidRPr="005F70FA">
        <w:rPr>
          <w:rFonts w:ascii="Times New Roman" w:eastAsia="Times New Roman" w:hAnsi="Times New Roman" w:cs="Times New Roman"/>
          <w:sz w:val="24"/>
          <w:szCs w:val="24"/>
        </w:rPr>
        <w:t xml:space="preserve">NYSE additionally requires initial listing requests to include (1) </w:t>
      </w:r>
      <w:r w:rsidR="005F70FA" w:rsidRPr="005F70FA">
        <w:rPr>
          <w:rFonts w:ascii="Times New Roman" w:hAnsi="Times New Roman" w:cs="Times New Roman"/>
          <w:sz w:val="24"/>
          <w:szCs w:val="24"/>
        </w:rPr>
        <w:t xml:space="preserve">corporate bylaws, (2) five years </w:t>
      </w:r>
      <w:r w:rsidR="005F70FA" w:rsidRPr="005F70FA">
        <w:rPr>
          <w:rFonts w:ascii="Times New Roman" w:hAnsi="Times New Roman" w:cs="Times New Roman"/>
          <w:sz w:val="24"/>
          <w:szCs w:val="24"/>
        </w:rPr>
        <w:lastRenderedPageBreak/>
        <w:t xml:space="preserve">of annual shareholder reports, (3) </w:t>
      </w:r>
      <w:r w:rsidR="00EC5AF3">
        <w:rPr>
          <w:rFonts w:ascii="Times New Roman" w:hAnsi="Times New Roman" w:cs="Times New Roman"/>
          <w:sz w:val="24"/>
          <w:szCs w:val="24"/>
        </w:rPr>
        <w:t xml:space="preserve">the </w:t>
      </w:r>
      <w:r w:rsidR="005F70FA" w:rsidRPr="005F70FA">
        <w:rPr>
          <w:rFonts w:ascii="Times New Roman" w:hAnsi="Times New Roman" w:cs="Times New Roman"/>
          <w:sz w:val="24"/>
          <w:szCs w:val="24"/>
        </w:rPr>
        <w:t>current year’s Form 10-K, (4) a proposed schedule of expected stock distribution, and (5) a proxy statement from the current year’s annual shareholder meeting.</w:t>
      </w:r>
    </w:p>
    <w:p w14:paraId="5E5D914D" w14:textId="770948A8" w:rsidR="002928DC" w:rsidRDefault="002928DC" w:rsidP="002928DC">
      <w:pPr>
        <w:spacing w:after="0" w:line="480" w:lineRule="auto"/>
        <w:jc w:val="both"/>
        <w:rPr>
          <w:rFonts w:ascii="Times New Roman" w:hAnsi="Times New Roman" w:cs="Times New Roman"/>
          <w:i/>
          <w:sz w:val="24"/>
        </w:rPr>
      </w:pPr>
      <w:r>
        <w:rPr>
          <w:rFonts w:ascii="Times New Roman" w:hAnsi="Times New Roman" w:cs="Times New Roman"/>
          <w:i/>
          <w:sz w:val="24"/>
        </w:rPr>
        <w:t>3.</w:t>
      </w:r>
      <w:r w:rsidR="00196F7C">
        <w:rPr>
          <w:rFonts w:ascii="Times New Roman" w:hAnsi="Times New Roman" w:cs="Times New Roman"/>
          <w:i/>
          <w:sz w:val="24"/>
        </w:rPr>
        <w:t>1</w:t>
      </w:r>
      <w:r>
        <w:rPr>
          <w:rFonts w:ascii="Times New Roman" w:hAnsi="Times New Roman" w:cs="Times New Roman"/>
          <w:i/>
          <w:sz w:val="24"/>
        </w:rPr>
        <w:t>.</w:t>
      </w:r>
      <w:r w:rsidR="00196F7C">
        <w:rPr>
          <w:rFonts w:ascii="Times New Roman" w:hAnsi="Times New Roman" w:cs="Times New Roman"/>
          <w:i/>
          <w:sz w:val="24"/>
        </w:rPr>
        <w:t>4.</w:t>
      </w:r>
      <w:r>
        <w:rPr>
          <w:rFonts w:ascii="Times New Roman" w:hAnsi="Times New Roman" w:cs="Times New Roman"/>
          <w:i/>
          <w:sz w:val="24"/>
        </w:rPr>
        <w:tab/>
      </w:r>
      <w:r w:rsidR="001D74B4">
        <w:rPr>
          <w:rFonts w:ascii="Times New Roman" w:hAnsi="Times New Roman" w:cs="Times New Roman"/>
          <w:i/>
          <w:sz w:val="24"/>
        </w:rPr>
        <w:t xml:space="preserve">Delisting </w:t>
      </w:r>
    </w:p>
    <w:p w14:paraId="0F72D6C9" w14:textId="39790FC8" w:rsidR="00E23CFC" w:rsidRDefault="001D74B4" w:rsidP="00E23CFC">
      <w:pPr>
        <w:spacing w:after="0" w:line="480" w:lineRule="auto"/>
        <w:jc w:val="both"/>
        <w:rPr>
          <w:rFonts w:ascii="Times New Roman" w:hAnsi="Times New Roman" w:cs="Times New Roman"/>
          <w:sz w:val="24"/>
        </w:rPr>
      </w:pPr>
      <w:r>
        <w:rPr>
          <w:rFonts w:ascii="Times New Roman" w:hAnsi="Times New Roman" w:cs="Times New Roman"/>
          <w:sz w:val="24"/>
        </w:rPr>
        <w:tab/>
      </w:r>
      <w:r w:rsidR="00B7233E">
        <w:rPr>
          <w:rFonts w:ascii="Times New Roman" w:hAnsi="Times New Roman" w:cs="Times New Roman"/>
          <w:sz w:val="24"/>
        </w:rPr>
        <w:t xml:space="preserve">Most </w:t>
      </w:r>
      <w:r w:rsidR="00E23CFC">
        <w:rPr>
          <w:rFonts w:ascii="Times New Roman" w:hAnsi="Times New Roman" w:cs="Times New Roman"/>
          <w:sz w:val="24"/>
        </w:rPr>
        <w:t xml:space="preserve">firms </w:t>
      </w:r>
      <w:r w:rsidR="00B7233E">
        <w:rPr>
          <w:rFonts w:ascii="Times New Roman" w:hAnsi="Times New Roman" w:cs="Times New Roman"/>
          <w:sz w:val="24"/>
        </w:rPr>
        <w:t>delist</w:t>
      </w:r>
      <w:r w:rsidR="00E23CFC">
        <w:rPr>
          <w:rFonts w:ascii="Times New Roman" w:hAnsi="Times New Roman" w:cs="Times New Roman"/>
          <w:sz w:val="24"/>
        </w:rPr>
        <w:t xml:space="preserve">ed from a stock exchange are unable to </w:t>
      </w:r>
      <w:r w:rsidR="00B7233E">
        <w:rPr>
          <w:rFonts w:ascii="Times New Roman" w:hAnsi="Times New Roman" w:cs="Times New Roman"/>
          <w:sz w:val="24"/>
        </w:rPr>
        <w:t xml:space="preserve">meet </w:t>
      </w:r>
      <w:r w:rsidR="00E23CFC">
        <w:rPr>
          <w:rFonts w:ascii="Times New Roman" w:hAnsi="Times New Roman" w:cs="Times New Roman"/>
          <w:sz w:val="24"/>
        </w:rPr>
        <w:t xml:space="preserve">the </w:t>
      </w:r>
      <w:r w:rsidR="00B7233E">
        <w:rPr>
          <w:rFonts w:ascii="Times New Roman" w:hAnsi="Times New Roman" w:cs="Times New Roman"/>
          <w:sz w:val="24"/>
        </w:rPr>
        <w:t xml:space="preserve">numerical standards </w:t>
      </w:r>
      <w:r w:rsidR="00E23CFC">
        <w:rPr>
          <w:rFonts w:ascii="Times New Roman" w:hAnsi="Times New Roman" w:cs="Times New Roman"/>
          <w:sz w:val="24"/>
        </w:rPr>
        <w:t xml:space="preserve">of an exchange </w:t>
      </w:r>
      <w:r w:rsidR="00B7233E">
        <w:rPr>
          <w:rFonts w:ascii="Times New Roman" w:hAnsi="Times New Roman" w:cs="Times New Roman"/>
          <w:sz w:val="24"/>
        </w:rPr>
        <w:t xml:space="preserve">including minimum net income, </w:t>
      </w:r>
      <w:r w:rsidR="00E23CFC">
        <w:rPr>
          <w:rFonts w:ascii="Times New Roman" w:hAnsi="Times New Roman" w:cs="Times New Roman"/>
          <w:sz w:val="24"/>
        </w:rPr>
        <w:t xml:space="preserve">a </w:t>
      </w:r>
      <w:r w:rsidR="00B7233E">
        <w:rPr>
          <w:rFonts w:ascii="Times New Roman" w:hAnsi="Times New Roman" w:cs="Times New Roman"/>
          <w:sz w:val="24"/>
        </w:rPr>
        <w:t xml:space="preserve">minimum number of round lot shareholders, </w:t>
      </w:r>
      <w:r w:rsidR="00E23CFC">
        <w:rPr>
          <w:rFonts w:ascii="Times New Roman" w:hAnsi="Times New Roman" w:cs="Times New Roman"/>
          <w:sz w:val="24"/>
        </w:rPr>
        <w:t xml:space="preserve">and </w:t>
      </w:r>
      <w:r w:rsidR="00B7233E">
        <w:rPr>
          <w:rFonts w:ascii="Times New Roman" w:hAnsi="Times New Roman" w:cs="Times New Roman"/>
          <w:sz w:val="24"/>
        </w:rPr>
        <w:t xml:space="preserve">a minimum market value of shares outstanding. Additional criteria may include failure to meet good accounting practices, creation or perpetuation of conflicts of interest, inability to meet current debt obligations, and/or abnormally low selling price or trading volume (Sanger and Peterson 1990). </w:t>
      </w:r>
      <w:r w:rsidR="00E23CFC">
        <w:rPr>
          <w:rFonts w:ascii="Times New Roman" w:hAnsi="Times New Roman" w:cs="Times New Roman"/>
          <w:sz w:val="24"/>
        </w:rPr>
        <w:t xml:space="preserve">Firms are also delisted from a stock exchange because of extreme poor performance. </w:t>
      </w:r>
    </w:p>
    <w:p w14:paraId="71886AC4" w14:textId="054AD738" w:rsidR="008D1E22" w:rsidRPr="00E23CFC" w:rsidRDefault="00E608E4" w:rsidP="00E23CFC">
      <w:pPr>
        <w:spacing w:after="0" w:line="480" w:lineRule="auto"/>
        <w:ind w:firstLine="720"/>
        <w:jc w:val="both"/>
        <w:rPr>
          <w:rFonts w:ascii="Times New Roman" w:hAnsi="Times New Roman" w:cs="Times New Roman"/>
          <w:sz w:val="24"/>
          <w:szCs w:val="24"/>
        </w:rPr>
      </w:pPr>
      <w:r w:rsidRPr="00E23CFC">
        <w:rPr>
          <w:rFonts w:ascii="Times New Roman" w:hAnsi="Times New Roman" w:cs="Times New Roman"/>
          <w:sz w:val="24"/>
          <w:szCs w:val="24"/>
        </w:rPr>
        <w:t xml:space="preserve">Because SPAC-IPOs </w:t>
      </w:r>
      <w:r w:rsidR="00B7233E" w:rsidRPr="00E23CFC">
        <w:rPr>
          <w:rFonts w:ascii="Times New Roman" w:hAnsi="Times New Roman" w:cs="Times New Roman"/>
          <w:sz w:val="24"/>
          <w:szCs w:val="24"/>
        </w:rPr>
        <w:t xml:space="preserve">share some of the characteristics associated with </w:t>
      </w:r>
      <w:r w:rsidR="00542BEC" w:rsidRPr="00E23CFC">
        <w:rPr>
          <w:rFonts w:ascii="Times New Roman" w:hAnsi="Times New Roman" w:cs="Times New Roman"/>
          <w:sz w:val="24"/>
          <w:szCs w:val="24"/>
        </w:rPr>
        <w:t xml:space="preserve">delisted </w:t>
      </w:r>
      <w:r w:rsidR="00B7233E" w:rsidRPr="00E23CFC">
        <w:rPr>
          <w:rFonts w:ascii="Times New Roman" w:hAnsi="Times New Roman" w:cs="Times New Roman"/>
          <w:sz w:val="24"/>
          <w:szCs w:val="24"/>
        </w:rPr>
        <w:t xml:space="preserve">companies, </w:t>
      </w:r>
      <w:r w:rsidR="00542BEC" w:rsidRPr="00E23CFC">
        <w:rPr>
          <w:rFonts w:ascii="Times New Roman" w:hAnsi="Times New Roman" w:cs="Times New Roman"/>
          <w:sz w:val="24"/>
          <w:szCs w:val="24"/>
        </w:rPr>
        <w:t>the likelihood of a delisting is higher for a SPAC-IPO than for a non-SPAC-IPO. For instance, SPAC-IPOs underperform in the long run</w:t>
      </w:r>
      <w:r w:rsidR="00E77ED7">
        <w:rPr>
          <w:rFonts w:ascii="Times New Roman" w:hAnsi="Times New Roman" w:cs="Times New Roman"/>
          <w:sz w:val="24"/>
          <w:szCs w:val="24"/>
        </w:rPr>
        <w:t xml:space="preserve"> (</w:t>
      </w:r>
      <w:r w:rsidR="00E77ED7" w:rsidRPr="00E23CFC">
        <w:rPr>
          <w:rFonts w:ascii="Times New Roman" w:hAnsi="Times New Roman" w:cs="Times New Roman"/>
          <w:sz w:val="24"/>
          <w:szCs w:val="24"/>
        </w:rPr>
        <w:t>Gahng et al</w:t>
      </w:r>
      <w:r w:rsidR="00E77ED7">
        <w:rPr>
          <w:rFonts w:ascii="Times New Roman" w:hAnsi="Times New Roman" w:cs="Times New Roman"/>
          <w:sz w:val="24"/>
          <w:szCs w:val="24"/>
        </w:rPr>
        <w:t>.</w:t>
      </w:r>
      <w:r w:rsidR="00E77ED7" w:rsidRPr="00E23CFC">
        <w:rPr>
          <w:rFonts w:ascii="Times New Roman" w:hAnsi="Times New Roman" w:cs="Times New Roman"/>
          <w:sz w:val="24"/>
          <w:szCs w:val="24"/>
        </w:rPr>
        <w:t xml:space="preserve"> 2021</w:t>
      </w:r>
      <w:r w:rsidR="00E77ED7">
        <w:rPr>
          <w:rFonts w:ascii="Times New Roman" w:hAnsi="Times New Roman" w:cs="Times New Roman"/>
          <w:sz w:val="24"/>
          <w:szCs w:val="24"/>
        </w:rPr>
        <w:t xml:space="preserve"> and</w:t>
      </w:r>
      <w:r w:rsidR="00E77ED7" w:rsidRPr="00E23CFC">
        <w:rPr>
          <w:rFonts w:ascii="Times New Roman" w:hAnsi="Times New Roman" w:cs="Times New Roman"/>
          <w:sz w:val="24"/>
          <w:szCs w:val="24"/>
        </w:rPr>
        <w:t xml:space="preserve"> </w:t>
      </w:r>
      <w:r w:rsidR="00E77ED7">
        <w:rPr>
          <w:rFonts w:ascii="Times New Roman" w:hAnsi="Times New Roman" w:cs="Times New Roman"/>
          <w:sz w:val="24"/>
          <w:szCs w:val="24"/>
        </w:rPr>
        <w:t>Dimitrova 2017)</w:t>
      </w:r>
      <w:r w:rsidR="00542BEC" w:rsidRPr="00E23CFC">
        <w:rPr>
          <w:rFonts w:ascii="Times New Roman" w:hAnsi="Times New Roman" w:cs="Times New Roman"/>
          <w:sz w:val="24"/>
          <w:szCs w:val="24"/>
        </w:rPr>
        <w:t xml:space="preserve">, </w:t>
      </w:r>
      <w:r w:rsidR="001A2AF2" w:rsidRPr="00E23CFC">
        <w:rPr>
          <w:rFonts w:ascii="Times New Roman" w:hAnsi="Times New Roman" w:cs="Times New Roman"/>
          <w:sz w:val="24"/>
          <w:szCs w:val="24"/>
        </w:rPr>
        <w:t xml:space="preserve">they </w:t>
      </w:r>
      <w:r w:rsidR="00542BEC" w:rsidRPr="00E23CFC">
        <w:rPr>
          <w:rFonts w:ascii="Times New Roman" w:hAnsi="Times New Roman" w:cs="Times New Roman"/>
          <w:sz w:val="24"/>
          <w:szCs w:val="24"/>
        </w:rPr>
        <w:t xml:space="preserve">issue overly </w:t>
      </w:r>
      <w:r w:rsidR="002830B7" w:rsidRPr="00E23CFC">
        <w:rPr>
          <w:rFonts w:ascii="Times New Roman" w:hAnsi="Times New Roman" w:cs="Times New Roman"/>
          <w:sz w:val="24"/>
          <w:szCs w:val="24"/>
        </w:rPr>
        <w:t xml:space="preserve">optimistic revenue growth and other long-term projections </w:t>
      </w:r>
      <w:r w:rsidR="00542BEC" w:rsidRPr="00E23CFC">
        <w:rPr>
          <w:rFonts w:ascii="Times New Roman" w:hAnsi="Times New Roman" w:cs="Times New Roman"/>
          <w:sz w:val="24"/>
          <w:szCs w:val="24"/>
        </w:rPr>
        <w:t xml:space="preserve">which are </w:t>
      </w:r>
      <w:r w:rsidR="002830B7" w:rsidRPr="00E23CFC">
        <w:rPr>
          <w:rFonts w:ascii="Times New Roman" w:hAnsi="Times New Roman" w:cs="Times New Roman"/>
          <w:sz w:val="24"/>
          <w:szCs w:val="24"/>
        </w:rPr>
        <w:t>subsequent</w:t>
      </w:r>
      <w:r w:rsidR="00542BEC" w:rsidRPr="00E23CFC">
        <w:rPr>
          <w:rFonts w:ascii="Times New Roman" w:hAnsi="Times New Roman" w:cs="Times New Roman"/>
          <w:sz w:val="24"/>
          <w:szCs w:val="24"/>
        </w:rPr>
        <w:t xml:space="preserve">ly revised downward </w:t>
      </w:r>
      <w:r w:rsidR="002830B7" w:rsidRPr="00E23CFC">
        <w:rPr>
          <w:rFonts w:ascii="Times New Roman" w:hAnsi="Times New Roman" w:cs="Times New Roman"/>
          <w:sz w:val="24"/>
          <w:szCs w:val="24"/>
        </w:rPr>
        <w:t>(</w:t>
      </w:r>
      <w:r w:rsidR="002830B7" w:rsidRPr="00E23CFC">
        <w:rPr>
          <w:rFonts w:ascii="Times New Roman" w:hAnsi="Times New Roman" w:cs="Times New Roman"/>
          <w:sz w:val="24"/>
          <w:szCs w:val="24"/>
          <w:shd w:val="clear" w:color="auto" w:fill="FFFFFF"/>
        </w:rPr>
        <w:t xml:space="preserve">Blankespoor, </w:t>
      </w:r>
      <w:r w:rsidR="002830B7" w:rsidRPr="00E23CFC">
        <w:rPr>
          <w:rFonts w:ascii="Times New Roman" w:hAnsi="Times New Roman" w:cs="Times New Roman"/>
          <w:sz w:val="24"/>
          <w:szCs w:val="24"/>
        </w:rPr>
        <w:t>Hendricks</w:t>
      </w:r>
      <w:r w:rsidR="002830B7" w:rsidRPr="00E23CFC">
        <w:rPr>
          <w:rFonts w:ascii="Times New Roman" w:hAnsi="Times New Roman" w:cs="Times New Roman"/>
          <w:sz w:val="24"/>
          <w:szCs w:val="24"/>
          <w:shd w:val="clear" w:color="auto" w:fill="FFFFFF"/>
        </w:rPr>
        <w:t>, Miller, and Stockbridge Jr 2022)</w:t>
      </w:r>
      <w:r w:rsidR="00542BEC" w:rsidRPr="00E23CFC">
        <w:rPr>
          <w:rFonts w:ascii="Times New Roman" w:hAnsi="Times New Roman" w:cs="Times New Roman"/>
          <w:sz w:val="24"/>
          <w:szCs w:val="24"/>
          <w:shd w:val="clear" w:color="auto" w:fill="FFFFFF"/>
        </w:rPr>
        <w:t xml:space="preserve">, and they are </w:t>
      </w:r>
      <w:r w:rsidR="002830B7" w:rsidRPr="00E23CFC">
        <w:rPr>
          <w:rFonts w:ascii="Times New Roman" w:hAnsi="Times New Roman" w:cs="Times New Roman"/>
          <w:sz w:val="24"/>
          <w:szCs w:val="24"/>
        </w:rPr>
        <w:t>plagued with various financial reporting problems (Kim et al. 2022)</w:t>
      </w:r>
      <w:r w:rsidR="00542BEC" w:rsidRPr="00E23CFC">
        <w:rPr>
          <w:rFonts w:ascii="Times New Roman" w:hAnsi="Times New Roman" w:cs="Times New Roman"/>
          <w:sz w:val="24"/>
          <w:szCs w:val="24"/>
        </w:rPr>
        <w:t xml:space="preserve">. </w:t>
      </w:r>
      <w:r w:rsidR="00377167" w:rsidRPr="00E23CFC">
        <w:rPr>
          <w:rFonts w:ascii="Times New Roman" w:hAnsi="Times New Roman" w:cs="Times New Roman"/>
          <w:sz w:val="24"/>
          <w:szCs w:val="24"/>
        </w:rPr>
        <w:t xml:space="preserve">Anecdotal evidence is also consistent with </w:t>
      </w:r>
      <w:r w:rsidR="00542BEC" w:rsidRPr="00E23CFC">
        <w:rPr>
          <w:rFonts w:ascii="Times New Roman" w:hAnsi="Times New Roman" w:cs="Times New Roman"/>
          <w:sz w:val="24"/>
          <w:szCs w:val="24"/>
        </w:rPr>
        <w:t xml:space="preserve">our </w:t>
      </w:r>
      <w:r w:rsidR="00377167" w:rsidRPr="00E23CFC">
        <w:rPr>
          <w:rFonts w:ascii="Times New Roman" w:hAnsi="Times New Roman" w:cs="Times New Roman"/>
          <w:sz w:val="24"/>
          <w:szCs w:val="24"/>
        </w:rPr>
        <w:t>expectation. For instance, an article in WSJ (May 2</w:t>
      </w:r>
      <w:r w:rsidR="00755905" w:rsidRPr="00E23CFC">
        <w:rPr>
          <w:rFonts w:ascii="Times New Roman" w:hAnsi="Times New Roman" w:cs="Times New Roman"/>
          <w:sz w:val="24"/>
          <w:szCs w:val="24"/>
        </w:rPr>
        <w:t>8-29</w:t>
      </w:r>
      <w:r w:rsidR="00377167" w:rsidRPr="00E23CFC">
        <w:rPr>
          <w:rFonts w:ascii="Times New Roman" w:hAnsi="Times New Roman" w:cs="Times New Roman"/>
          <w:sz w:val="24"/>
          <w:szCs w:val="24"/>
        </w:rPr>
        <w:t xml:space="preserve">, 2022) states “the </w:t>
      </w:r>
      <w:hyperlink r:id="rId13" w:tgtFrame="_blank" w:history="1">
        <w:r w:rsidR="00377167" w:rsidRPr="00E23CFC">
          <w:rPr>
            <w:rStyle w:val="Hyperlink"/>
            <w:rFonts w:ascii="Times New Roman" w:hAnsi="Times New Roman" w:cs="Times New Roman"/>
            <w:color w:val="auto"/>
            <w:sz w:val="24"/>
            <w:szCs w:val="24"/>
            <w:u w:val="none"/>
          </w:rPr>
          <w:t>SPAC boom</w:t>
        </w:r>
      </w:hyperlink>
      <w:r w:rsidR="00377167" w:rsidRPr="00E23CFC">
        <w:rPr>
          <w:rFonts w:ascii="Times New Roman" w:hAnsi="Times New Roman" w:cs="Times New Roman"/>
          <w:sz w:val="24"/>
          <w:szCs w:val="24"/>
        </w:rPr>
        <w:t xml:space="preserve"> brought a wave of companies to the public markets promising years of rapid growth and profits to investors. Two years since </w:t>
      </w:r>
      <w:hyperlink r:id="rId14" w:tgtFrame="_blank" w:history="1">
        <w:r w:rsidR="00377167" w:rsidRPr="00E23CFC">
          <w:rPr>
            <w:rStyle w:val="Hyperlink"/>
            <w:rFonts w:ascii="Times New Roman" w:hAnsi="Times New Roman" w:cs="Times New Roman"/>
            <w:color w:val="auto"/>
            <w:sz w:val="24"/>
            <w:szCs w:val="24"/>
            <w:u w:val="none"/>
          </w:rPr>
          <w:t>the boom</w:t>
        </w:r>
      </w:hyperlink>
      <w:r w:rsidR="00377167" w:rsidRPr="00E23CFC">
        <w:rPr>
          <w:rFonts w:ascii="Times New Roman" w:hAnsi="Times New Roman" w:cs="Times New Roman"/>
          <w:sz w:val="24"/>
          <w:szCs w:val="24"/>
        </w:rPr>
        <w:t xml:space="preserve"> began, many of these companies are already warning they may go bust.” </w:t>
      </w:r>
      <w:r w:rsidR="008D1E22" w:rsidRPr="00E23CFC">
        <w:rPr>
          <w:rFonts w:ascii="Times New Roman" w:hAnsi="Times New Roman" w:cs="Times New Roman"/>
          <w:sz w:val="24"/>
          <w:szCs w:val="24"/>
        </w:rPr>
        <w:t xml:space="preserve">    </w:t>
      </w:r>
    </w:p>
    <w:p w14:paraId="270C6E46" w14:textId="3A2C1CBA" w:rsidR="008D1E22" w:rsidRDefault="008D1E22" w:rsidP="008D1E22">
      <w:pPr>
        <w:spacing w:after="0" w:line="240" w:lineRule="auto"/>
        <w:ind w:left="2070" w:hanging="1350"/>
        <w:jc w:val="both"/>
        <w:rPr>
          <w:rFonts w:ascii="Times New Roman" w:hAnsi="Times New Roman" w:cs="Times New Roman"/>
          <w:i/>
          <w:sz w:val="24"/>
        </w:rPr>
      </w:pPr>
      <w:r w:rsidRPr="00906B5B">
        <w:rPr>
          <w:rFonts w:ascii="Times New Roman" w:hAnsi="Times New Roman" w:cs="Times New Roman"/>
          <w:i/>
          <w:sz w:val="24"/>
        </w:rPr>
        <w:t xml:space="preserve">Hypothesis </w:t>
      </w:r>
      <w:r>
        <w:rPr>
          <w:rFonts w:ascii="Times New Roman" w:hAnsi="Times New Roman" w:cs="Times New Roman"/>
          <w:i/>
          <w:sz w:val="24"/>
        </w:rPr>
        <w:t>4</w:t>
      </w:r>
      <w:r w:rsidRPr="00906B5B">
        <w:rPr>
          <w:rFonts w:ascii="Times New Roman" w:hAnsi="Times New Roman" w:cs="Times New Roman"/>
          <w:i/>
          <w:sz w:val="24"/>
        </w:rPr>
        <w:t xml:space="preserve">: </w:t>
      </w:r>
      <w:r w:rsidRPr="004457A8">
        <w:rPr>
          <w:rFonts w:ascii="Times New Roman" w:hAnsi="Times New Roman" w:cs="Times New Roman"/>
          <w:i/>
          <w:sz w:val="24"/>
        </w:rPr>
        <w:t xml:space="preserve">SPAC-IPOs </w:t>
      </w:r>
      <w:r>
        <w:rPr>
          <w:rFonts w:ascii="Times New Roman" w:hAnsi="Times New Roman" w:cs="Times New Roman"/>
          <w:i/>
          <w:sz w:val="24"/>
        </w:rPr>
        <w:t xml:space="preserve">are more likely to </w:t>
      </w:r>
      <w:r w:rsidR="00542BEC">
        <w:rPr>
          <w:rFonts w:ascii="Times New Roman" w:hAnsi="Times New Roman" w:cs="Times New Roman"/>
          <w:i/>
          <w:sz w:val="24"/>
        </w:rPr>
        <w:t xml:space="preserve">get </w:t>
      </w:r>
      <w:r>
        <w:rPr>
          <w:rFonts w:ascii="Times New Roman" w:hAnsi="Times New Roman" w:cs="Times New Roman"/>
          <w:i/>
          <w:sz w:val="24"/>
        </w:rPr>
        <w:t>delisted from a stock exchange than non-SPAC-</w:t>
      </w:r>
      <w:r w:rsidRPr="004457A8">
        <w:rPr>
          <w:rFonts w:ascii="Times New Roman" w:hAnsi="Times New Roman" w:cs="Times New Roman"/>
          <w:i/>
          <w:sz w:val="24"/>
        </w:rPr>
        <w:t>IPOs.</w:t>
      </w:r>
      <w:r w:rsidRPr="00906B5B">
        <w:rPr>
          <w:rFonts w:ascii="Times New Roman" w:hAnsi="Times New Roman" w:cs="Times New Roman"/>
          <w:i/>
          <w:sz w:val="24"/>
        </w:rPr>
        <w:t xml:space="preserve"> </w:t>
      </w:r>
    </w:p>
    <w:p w14:paraId="78557BAE" w14:textId="679A47FE" w:rsidR="008D1E22" w:rsidRDefault="008D1E22" w:rsidP="008D1E22">
      <w:pPr>
        <w:spacing w:after="0" w:line="240" w:lineRule="auto"/>
        <w:ind w:left="2070" w:hanging="1350"/>
        <w:jc w:val="both"/>
        <w:rPr>
          <w:rFonts w:ascii="Times New Roman" w:hAnsi="Times New Roman" w:cs="Times New Roman"/>
          <w:i/>
          <w:sz w:val="24"/>
        </w:rPr>
      </w:pPr>
    </w:p>
    <w:p w14:paraId="5D537B16" w14:textId="2B40A628" w:rsidR="00620DA4" w:rsidRDefault="00620DA4" w:rsidP="00620DA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Our fourth hypothesis </w:t>
      </w:r>
      <w:r w:rsidR="00542BEC">
        <w:rPr>
          <w:rFonts w:ascii="Times New Roman" w:hAnsi="Times New Roman" w:cs="Times New Roman"/>
          <w:sz w:val="24"/>
        </w:rPr>
        <w:t xml:space="preserve">again </w:t>
      </w:r>
      <w:r>
        <w:rPr>
          <w:rFonts w:ascii="Times New Roman" w:hAnsi="Times New Roman" w:cs="Times New Roman"/>
          <w:sz w:val="24"/>
        </w:rPr>
        <w:t xml:space="preserve">suggests that the information risk is higher for SPAC-IPOs than for non-SPAC-IPOs because </w:t>
      </w:r>
      <w:r w:rsidR="00542BEC">
        <w:rPr>
          <w:rFonts w:ascii="Times New Roman" w:hAnsi="Times New Roman" w:cs="Times New Roman"/>
          <w:sz w:val="24"/>
        </w:rPr>
        <w:t xml:space="preserve">prior studies conclude that </w:t>
      </w:r>
      <w:r>
        <w:rPr>
          <w:rFonts w:ascii="Times New Roman" w:hAnsi="Times New Roman" w:cs="Times New Roman"/>
          <w:sz w:val="24"/>
        </w:rPr>
        <w:t>delisted companies are associated with higher information risk (Sanger and Peterson 1990).</w:t>
      </w:r>
    </w:p>
    <w:p w14:paraId="3F5A728C" w14:textId="74A36E88" w:rsidR="002928DC" w:rsidRDefault="002928DC" w:rsidP="002928DC">
      <w:pPr>
        <w:spacing w:after="0" w:line="480" w:lineRule="auto"/>
        <w:jc w:val="both"/>
        <w:rPr>
          <w:rFonts w:ascii="Times New Roman" w:hAnsi="Times New Roman" w:cs="Times New Roman"/>
          <w:i/>
          <w:sz w:val="24"/>
        </w:rPr>
      </w:pPr>
      <w:r>
        <w:rPr>
          <w:rFonts w:ascii="Times New Roman" w:hAnsi="Times New Roman" w:cs="Times New Roman"/>
          <w:i/>
          <w:sz w:val="24"/>
        </w:rPr>
        <w:lastRenderedPageBreak/>
        <w:t>3.</w:t>
      </w:r>
      <w:r w:rsidR="00477D0A">
        <w:rPr>
          <w:rFonts w:ascii="Times New Roman" w:hAnsi="Times New Roman" w:cs="Times New Roman"/>
          <w:i/>
          <w:sz w:val="24"/>
        </w:rPr>
        <w:t>2</w:t>
      </w:r>
      <w:r>
        <w:rPr>
          <w:rFonts w:ascii="Times New Roman" w:hAnsi="Times New Roman" w:cs="Times New Roman"/>
          <w:i/>
          <w:sz w:val="24"/>
        </w:rPr>
        <w:t>.</w:t>
      </w:r>
      <w:r>
        <w:rPr>
          <w:rFonts w:ascii="Times New Roman" w:hAnsi="Times New Roman" w:cs="Times New Roman"/>
          <w:i/>
          <w:sz w:val="24"/>
        </w:rPr>
        <w:tab/>
        <w:t>Information Risk</w:t>
      </w:r>
      <w:r w:rsidR="002A7CE9">
        <w:rPr>
          <w:rFonts w:ascii="Times New Roman" w:hAnsi="Times New Roman" w:cs="Times New Roman"/>
          <w:i/>
          <w:sz w:val="24"/>
        </w:rPr>
        <w:t xml:space="preserve"> and</w:t>
      </w:r>
      <w:r>
        <w:rPr>
          <w:rFonts w:ascii="Times New Roman" w:hAnsi="Times New Roman" w:cs="Times New Roman"/>
          <w:i/>
          <w:sz w:val="24"/>
        </w:rPr>
        <w:t xml:space="preserve"> </w:t>
      </w:r>
      <w:r w:rsidR="00477D0A">
        <w:rPr>
          <w:rFonts w:ascii="Times New Roman" w:hAnsi="Times New Roman" w:cs="Times New Roman"/>
          <w:i/>
          <w:sz w:val="24"/>
        </w:rPr>
        <w:t xml:space="preserve">Stock </w:t>
      </w:r>
      <w:r>
        <w:rPr>
          <w:rFonts w:ascii="Times New Roman" w:hAnsi="Times New Roman" w:cs="Times New Roman"/>
          <w:i/>
          <w:sz w:val="24"/>
        </w:rPr>
        <w:t>Return</w:t>
      </w:r>
      <w:r w:rsidR="00EC5AF3">
        <w:rPr>
          <w:rFonts w:ascii="Times New Roman" w:hAnsi="Times New Roman" w:cs="Times New Roman"/>
          <w:i/>
          <w:sz w:val="24"/>
        </w:rPr>
        <w:t>s</w:t>
      </w:r>
      <w:r>
        <w:rPr>
          <w:rFonts w:ascii="Times New Roman" w:hAnsi="Times New Roman" w:cs="Times New Roman"/>
          <w:i/>
          <w:sz w:val="24"/>
        </w:rPr>
        <w:t xml:space="preserve"> </w:t>
      </w:r>
    </w:p>
    <w:p w14:paraId="46948352" w14:textId="2B52D9A5" w:rsidR="00185284" w:rsidRDefault="00050061" w:rsidP="002928DC">
      <w:pPr>
        <w:spacing w:after="0" w:line="480" w:lineRule="auto"/>
        <w:jc w:val="both"/>
        <w:rPr>
          <w:rFonts w:ascii="Times New Roman" w:hAnsi="Times New Roman" w:cs="Times New Roman"/>
          <w:sz w:val="24"/>
        </w:rPr>
      </w:pPr>
      <w:r>
        <w:rPr>
          <w:rFonts w:ascii="Times New Roman" w:hAnsi="Times New Roman" w:cs="Times New Roman"/>
          <w:sz w:val="24"/>
        </w:rPr>
        <w:tab/>
      </w:r>
      <w:r w:rsidR="002A7CE9">
        <w:rPr>
          <w:rFonts w:ascii="Times New Roman" w:hAnsi="Times New Roman" w:cs="Times New Roman"/>
          <w:sz w:val="24"/>
        </w:rPr>
        <w:t xml:space="preserve">Prior studies find that </w:t>
      </w:r>
      <w:r w:rsidR="000C10C8">
        <w:rPr>
          <w:rFonts w:ascii="Times New Roman" w:hAnsi="Times New Roman" w:cs="Times New Roman"/>
          <w:sz w:val="24"/>
        </w:rPr>
        <w:t>SPAC-IPO</w:t>
      </w:r>
      <w:r w:rsidR="00AA1085">
        <w:rPr>
          <w:rFonts w:ascii="Times New Roman" w:hAnsi="Times New Roman" w:cs="Times New Roman"/>
          <w:sz w:val="24"/>
        </w:rPr>
        <w:t>s</w:t>
      </w:r>
      <w:r w:rsidR="000C10C8">
        <w:rPr>
          <w:rFonts w:ascii="Times New Roman" w:hAnsi="Times New Roman" w:cs="Times New Roman"/>
          <w:sz w:val="24"/>
        </w:rPr>
        <w:t xml:space="preserve"> tend to underperform the market. For instance, Gahng et al. (2021) find that an investor </w:t>
      </w:r>
      <w:r w:rsidR="002A7CE9">
        <w:rPr>
          <w:rFonts w:ascii="Times New Roman" w:hAnsi="Times New Roman" w:cs="Times New Roman"/>
          <w:sz w:val="24"/>
        </w:rPr>
        <w:t xml:space="preserve">who </w:t>
      </w:r>
      <w:r w:rsidR="000C10C8">
        <w:rPr>
          <w:rFonts w:ascii="Times New Roman" w:hAnsi="Times New Roman" w:cs="Times New Roman"/>
          <w:sz w:val="24"/>
        </w:rPr>
        <w:t>purchas</w:t>
      </w:r>
      <w:r w:rsidR="002A7CE9">
        <w:rPr>
          <w:rFonts w:ascii="Times New Roman" w:hAnsi="Times New Roman" w:cs="Times New Roman"/>
          <w:sz w:val="24"/>
        </w:rPr>
        <w:t xml:space="preserve">es </w:t>
      </w:r>
      <w:r w:rsidR="000C10C8">
        <w:rPr>
          <w:rFonts w:ascii="Times New Roman" w:hAnsi="Times New Roman" w:cs="Times New Roman"/>
          <w:sz w:val="24"/>
        </w:rPr>
        <w:t>a stock of the SPAC-IPO on the first day the company starts trading publicly and holds the stock for one (three) years, the mean return for the holding period is -8.1% (</w:t>
      </w:r>
      <w:r w:rsidR="00620DA4">
        <w:rPr>
          <w:rFonts w:ascii="Times New Roman" w:hAnsi="Times New Roman" w:cs="Times New Roman"/>
          <w:sz w:val="24"/>
        </w:rPr>
        <w:t>-</w:t>
      </w:r>
      <w:r w:rsidR="000C10C8">
        <w:rPr>
          <w:rFonts w:ascii="Times New Roman" w:hAnsi="Times New Roman" w:cs="Times New Roman"/>
          <w:sz w:val="24"/>
        </w:rPr>
        <w:t xml:space="preserve">0.7%). </w:t>
      </w:r>
      <w:r w:rsidR="00185284">
        <w:rPr>
          <w:rFonts w:ascii="Times New Roman" w:hAnsi="Times New Roman" w:cs="Times New Roman"/>
          <w:sz w:val="24"/>
        </w:rPr>
        <w:t xml:space="preserve">The equally weighted market return for the corresponding holding period is 16% (41.1%). Therefore, the market-adjusted return for the one (three) year </w:t>
      </w:r>
      <w:r w:rsidR="00827109">
        <w:rPr>
          <w:rFonts w:ascii="Times New Roman" w:hAnsi="Times New Roman" w:cs="Times New Roman"/>
          <w:sz w:val="24"/>
        </w:rPr>
        <w:t xml:space="preserve">holding </w:t>
      </w:r>
      <w:r w:rsidR="00185284">
        <w:rPr>
          <w:rFonts w:ascii="Times New Roman" w:hAnsi="Times New Roman" w:cs="Times New Roman"/>
          <w:sz w:val="24"/>
        </w:rPr>
        <w:t xml:space="preserve">period is -24.7% (-40.4%). </w:t>
      </w:r>
      <w:r w:rsidR="002A7CE9">
        <w:rPr>
          <w:rFonts w:ascii="Times New Roman" w:hAnsi="Times New Roman" w:cs="Times New Roman"/>
          <w:sz w:val="24"/>
        </w:rPr>
        <w:t>U</w:t>
      </w:r>
      <w:r w:rsidR="00185284">
        <w:rPr>
          <w:rFonts w:ascii="Times New Roman" w:hAnsi="Times New Roman" w:cs="Times New Roman"/>
          <w:sz w:val="24"/>
        </w:rPr>
        <w:t xml:space="preserve">sing Fama-French three-factor model, </w:t>
      </w:r>
      <w:r w:rsidR="002A7CE9">
        <w:rPr>
          <w:rFonts w:ascii="Times New Roman" w:hAnsi="Times New Roman" w:cs="Times New Roman"/>
          <w:sz w:val="24"/>
        </w:rPr>
        <w:t>Gahng et al. (2021)</w:t>
      </w:r>
      <w:r w:rsidR="00185284">
        <w:rPr>
          <w:rFonts w:ascii="Times New Roman" w:hAnsi="Times New Roman" w:cs="Times New Roman"/>
          <w:sz w:val="24"/>
        </w:rPr>
        <w:t xml:space="preserve"> find that the average monthly one</w:t>
      </w:r>
      <w:r w:rsidR="005B38CD">
        <w:rPr>
          <w:rFonts w:ascii="Times New Roman" w:hAnsi="Times New Roman" w:cs="Times New Roman"/>
          <w:sz w:val="24"/>
        </w:rPr>
        <w:t>-</w:t>
      </w:r>
      <w:r w:rsidR="00185284">
        <w:rPr>
          <w:rFonts w:ascii="Times New Roman" w:hAnsi="Times New Roman" w:cs="Times New Roman"/>
          <w:sz w:val="24"/>
        </w:rPr>
        <w:t xml:space="preserve"> (three</w:t>
      </w:r>
      <w:r w:rsidR="005B38CD">
        <w:rPr>
          <w:rFonts w:ascii="Times New Roman" w:hAnsi="Times New Roman" w:cs="Times New Roman"/>
          <w:sz w:val="24"/>
        </w:rPr>
        <w:t>-</w:t>
      </w:r>
      <w:r w:rsidR="00185284">
        <w:rPr>
          <w:rFonts w:ascii="Times New Roman" w:hAnsi="Times New Roman" w:cs="Times New Roman"/>
          <w:sz w:val="24"/>
        </w:rPr>
        <w:t xml:space="preserve">) year </w:t>
      </w:r>
      <w:r w:rsidR="00BC7283">
        <w:rPr>
          <w:rFonts w:ascii="Times New Roman" w:hAnsi="Times New Roman" w:cs="Times New Roman"/>
          <w:sz w:val="24"/>
        </w:rPr>
        <w:t>risk</w:t>
      </w:r>
      <w:r w:rsidR="005900EF">
        <w:rPr>
          <w:rFonts w:ascii="Times New Roman" w:hAnsi="Times New Roman" w:cs="Times New Roman"/>
          <w:sz w:val="24"/>
        </w:rPr>
        <w:t>-</w:t>
      </w:r>
      <w:r w:rsidR="00BC7283">
        <w:rPr>
          <w:rFonts w:ascii="Times New Roman" w:hAnsi="Times New Roman" w:cs="Times New Roman"/>
          <w:sz w:val="24"/>
        </w:rPr>
        <w:t xml:space="preserve">adjusted excess </w:t>
      </w:r>
      <w:r w:rsidR="00185284">
        <w:rPr>
          <w:rFonts w:ascii="Times New Roman" w:hAnsi="Times New Roman" w:cs="Times New Roman"/>
          <w:sz w:val="24"/>
        </w:rPr>
        <w:t xml:space="preserve">return is about </w:t>
      </w:r>
      <w:r w:rsidR="00620DA4">
        <w:rPr>
          <w:rFonts w:ascii="Times New Roman" w:hAnsi="Times New Roman" w:cs="Times New Roman"/>
          <w:sz w:val="24"/>
        </w:rPr>
        <w:t>-</w:t>
      </w:r>
      <w:r w:rsidR="00185284">
        <w:rPr>
          <w:rFonts w:ascii="Times New Roman" w:hAnsi="Times New Roman" w:cs="Times New Roman"/>
          <w:sz w:val="24"/>
        </w:rPr>
        <w:t>1.7% (-1.9%).</w:t>
      </w:r>
    </w:p>
    <w:p w14:paraId="267FDC42" w14:textId="507C5152" w:rsidR="008D5D77" w:rsidRDefault="00185284" w:rsidP="002928DC">
      <w:pPr>
        <w:spacing w:after="0" w:line="480" w:lineRule="auto"/>
        <w:jc w:val="both"/>
        <w:rPr>
          <w:rFonts w:ascii="Times New Roman" w:hAnsi="Times New Roman" w:cs="Times New Roman"/>
          <w:sz w:val="24"/>
        </w:rPr>
      </w:pPr>
      <w:r>
        <w:rPr>
          <w:rFonts w:ascii="Times New Roman" w:hAnsi="Times New Roman" w:cs="Times New Roman"/>
          <w:sz w:val="24"/>
        </w:rPr>
        <w:tab/>
      </w:r>
      <w:r w:rsidR="00A578AF">
        <w:rPr>
          <w:rFonts w:ascii="Times New Roman" w:hAnsi="Times New Roman" w:cs="Times New Roman"/>
          <w:sz w:val="24"/>
        </w:rPr>
        <w:t xml:space="preserve">Prior theoretical and empirical studies draw </w:t>
      </w:r>
      <w:r w:rsidR="0092109B">
        <w:rPr>
          <w:rFonts w:ascii="Times New Roman" w:hAnsi="Times New Roman" w:cs="Times New Roman"/>
          <w:sz w:val="24"/>
        </w:rPr>
        <w:t xml:space="preserve">linkages </w:t>
      </w:r>
      <w:r w:rsidR="00A578AF">
        <w:rPr>
          <w:rFonts w:ascii="Times New Roman" w:hAnsi="Times New Roman" w:cs="Times New Roman"/>
          <w:sz w:val="24"/>
        </w:rPr>
        <w:t>between information risk and the cost of equity</w:t>
      </w:r>
      <w:r w:rsidR="0092109B">
        <w:rPr>
          <w:rFonts w:ascii="Times New Roman" w:hAnsi="Times New Roman" w:cs="Times New Roman"/>
          <w:sz w:val="24"/>
        </w:rPr>
        <w:t>, i.e</w:t>
      </w:r>
      <w:r w:rsidR="00827109">
        <w:rPr>
          <w:rFonts w:ascii="Times New Roman" w:hAnsi="Times New Roman" w:cs="Times New Roman"/>
          <w:sz w:val="24"/>
        </w:rPr>
        <w:t>.</w:t>
      </w:r>
      <w:r w:rsidR="0092109B">
        <w:rPr>
          <w:rFonts w:ascii="Times New Roman" w:hAnsi="Times New Roman" w:cs="Times New Roman"/>
          <w:sz w:val="24"/>
        </w:rPr>
        <w:t xml:space="preserve">, </w:t>
      </w:r>
      <w:r w:rsidR="00A578AF">
        <w:rPr>
          <w:rFonts w:ascii="Times New Roman" w:hAnsi="Times New Roman" w:cs="Times New Roman"/>
          <w:sz w:val="24"/>
        </w:rPr>
        <w:t>the required rate of return (e.g., Lambert, Leuz and Verrecchia 2007</w:t>
      </w:r>
      <w:r w:rsidR="00AA1085">
        <w:rPr>
          <w:rFonts w:ascii="Times New Roman" w:hAnsi="Times New Roman" w:cs="Times New Roman"/>
          <w:sz w:val="24"/>
        </w:rPr>
        <w:t>; Kravert and Shevlin 2010; Reidl and Serafeim 2011</w:t>
      </w:r>
      <w:r w:rsidR="00A578AF">
        <w:rPr>
          <w:rFonts w:ascii="Times New Roman" w:hAnsi="Times New Roman" w:cs="Times New Roman"/>
          <w:sz w:val="24"/>
        </w:rPr>
        <w:t>). Drawing on th</w:t>
      </w:r>
      <w:r w:rsidR="0092109B">
        <w:rPr>
          <w:rFonts w:ascii="Times New Roman" w:hAnsi="Times New Roman" w:cs="Times New Roman"/>
          <w:sz w:val="24"/>
        </w:rPr>
        <w:t xml:space="preserve">is </w:t>
      </w:r>
      <w:r w:rsidR="00A578AF">
        <w:rPr>
          <w:rFonts w:ascii="Times New Roman" w:hAnsi="Times New Roman" w:cs="Times New Roman"/>
          <w:sz w:val="24"/>
        </w:rPr>
        <w:t>line of literature, w</w:t>
      </w:r>
      <w:r>
        <w:rPr>
          <w:rFonts w:ascii="Times New Roman" w:hAnsi="Times New Roman" w:cs="Times New Roman"/>
          <w:sz w:val="24"/>
        </w:rPr>
        <w:t xml:space="preserve">e hypothesize that </w:t>
      </w:r>
      <w:r w:rsidR="00A578AF">
        <w:rPr>
          <w:rFonts w:ascii="Times New Roman" w:hAnsi="Times New Roman" w:cs="Times New Roman"/>
          <w:sz w:val="24"/>
        </w:rPr>
        <w:t xml:space="preserve">if </w:t>
      </w:r>
      <w:r w:rsidR="0092109B">
        <w:rPr>
          <w:rFonts w:ascii="Times New Roman" w:hAnsi="Times New Roman" w:cs="Times New Roman"/>
          <w:sz w:val="24"/>
        </w:rPr>
        <w:t xml:space="preserve">the firm-specific disclosures identified in our study </w:t>
      </w:r>
      <w:r w:rsidR="00827109">
        <w:rPr>
          <w:rFonts w:ascii="Times New Roman" w:hAnsi="Times New Roman" w:cs="Times New Roman"/>
          <w:sz w:val="24"/>
        </w:rPr>
        <w:t xml:space="preserve">serve as </w:t>
      </w:r>
      <w:r w:rsidR="0092109B">
        <w:rPr>
          <w:rFonts w:ascii="Times New Roman" w:hAnsi="Times New Roman" w:cs="Times New Roman"/>
          <w:sz w:val="24"/>
        </w:rPr>
        <w:t xml:space="preserve">negative </w:t>
      </w:r>
      <w:r w:rsidR="00827109">
        <w:rPr>
          <w:rFonts w:ascii="Times New Roman" w:hAnsi="Times New Roman" w:cs="Times New Roman"/>
          <w:sz w:val="24"/>
        </w:rPr>
        <w:t xml:space="preserve">information </w:t>
      </w:r>
      <w:r w:rsidR="0092109B">
        <w:rPr>
          <w:rFonts w:ascii="Times New Roman" w:hAnsi="Times New Roman" w:cs="Times New Roman"/>
          <w:sz w:val="24"/>
        </w:rPr>
        <w:t xml:space="preserve">signals about </w:t>
      </w:r>
      <w:r w:rsidR="00827109">
        <w:rPr>
          <w:rFonts w:ascii="Times New Roman" w:hAnsi="Times New Roman" w:cs="Times New Roman"/>
          <w:sz w:val="24"/>
        </w:rPr>
        <w:t xml:space="preserve">SPAC-IPOs’ </w:t>
      </w:r>
      <w:r w:rsidR="0092109B">
        <w:rPr>
          <w:rFonts w:ascii="Times New Roman" w:hAnsi="Times New Roman" w:cs="Times New Roman"/>
          <w:sz w:val="24"/>
        </w:rPr>
        <w:t>future performance</w:t>
      </w:r>
      <w:r w:rsidR="002A7CE9">
        <w:rPr>
          <w:rFonts w:ascii="Times New Roman" w:hAnsi="Times New Roman" w:cs="Times New Roman"/>
          <w:sz w:val="24"/>
        </w:rPr>
        <w:t>,</w:t>
      </w:r>
      <w:r w:rsidR="00827109">
        <w:rPr>
          <w:rFonts w:ascii="Times New Roman" w:hAnsi="Times New Roman" w:cs="Times New Roman"/>
          <w:sz w:val="24"/>
        </w:rPr>
        <w:t xml:space="preserve"> and th</w:t>
      </w:r>
      <w:r w:rsidR="002A7CE9">
        <w:rPr>
          <w:rFonts w:ascii="Times New Roman" w:hAnsi="Times New Roman" w:cs="Times New Roman"/>
          <w:sz w:val="24"/>
        </w:rPr>
        <w:t xml:space="preserve">e </w:t>
      </w:r>
      <w:r w:rsidR="00827109">
        <w:rPr>
          <w:rFonts w:ascii="Times New Roman" w:hAnsi="Times New Roman" w:cs="Times New Roman"/>
          <w:sz w:val="24"/>
        </w:rPr>
        <w:t xml:space="preserve">information risk represents a non-diversifiable risk factor, we expect investors to price this information. Under these conditions, the </w:t>
      </w:r>
      <w:r>
        <w:rPr>
          <w:rFonts w:ascii="Times New Roman" w:hAnsi="Times New Roman" w:cs="Times New Roman"/>
          <w:sz w:val="24"/>
        </w:rPr>
        <w:t>information risk proxies should explain the SPAC-IPO</w:t>
      </w:r>
      <w:r w:rsidR="002A7CE9">
        <w:rPr>
          <w:rFonts w:ascii="Times New Roman" w:hAnsi="Times New Roman" w:cs="Times New Roman"/>
          <w:sz w:val="24"/>
        </w:rPr>
        <w:t>s’</w:t>
      </w:r>
      <w:r>
        <w:rPr>
          <w:rFonts w:ascii="Times New Roman" w:hAnsi="Times New Roman" w:cs="Times New Roman"/>
          <w:sz w:val="24"/>
        </w:rPr>
        <w:t xml:space="preserve"> underperformance</w:t>
      </w:r>
      <w:r w:rsidR="00827109">
        <w:rPr>
          <w:rFonts w:ascii="Times New Roman" w:hAnsi="Times New Roman" w:cs="Times New Roman"/>
          <w:sz w:val="24"/>
        </w:rPr>
        <w:t>.</w:t>
      </w:r>
      <w:r w:rsidR="008D5D77">
        <w:rPr>
          <w:rFonts w:ascii="Times New Roman" w:hAnsi="Times New Roman" w:cs="Times New Roman"/>
          <w:sz w:val="24"/>
        </w:rPr>
        <w:t xml:space="preserve"> Conversely, if the information risk does not represent a non-diversifiable risk factor, we do not expect investors to price this information.</w:t>
      </w:r>
      <w:r w:rsidR="00B40D54">
        <w:rPr>
          <w:rFonts w:ascii="Times New Roman" w:hAnsi="Times New Roman" w:cs="Times New Roman"/>
          <w:sz w:val="24"/>
        </w:rPr>
        <w:t xml:space="preserve"> Stated in </w:t>
      </w:r>
      <w:r w:rsidR="00E37972">
        <w:rPr>
          <w:rFonts w:ascii="Times New Roman" w:hAnsi="Times New Roman" w:cs="Times New Roman"/>
          <w:sz w:val="24"/>
        </w:rPr>
        <w:t xml:space="preserve">an </w:t>
      </w:r>
      <w:r w:rsidR="00B40D54">
        <w:rPr>
          <w:rFonts w:ascii="Times New Roman" w:hAnsi="Times New Roman" w:cs="Times New Roman"/>
          <w:sz w:val="24"/>
        </w:rPr>
        <w:t>alternative form,</w:t>
      </w:r>
      <w:r w:rsidR="008D5D77">
        <w:rPr>
          <w:rFonts w:ascii="Times New Roman" w:hAnsi="Times New Roman" w:cs="Times New Roman"/>
          <w:sz w:val="24"/>
        </w:rPr>
        <w:t xml:space="preserve"> </w:t>
      </w:r>
      <w:r>
        <w:rPr>
          <w:rFonts w:ascii="Times New Roman" w:hAnsi="Times New Roman" w:cs="Times New Roman"/>
          <w:sz w:val="24"/>
        </w:rPr>
        <w:t xml:space="preserve"> </w:t>
      </w:r>
    </w:p>
    <w:p w14:paraId="44137D92" w14:textId="0749F383" w:rsidR="008D5D77" w:rsidRDefault="008D5D77" w:rsidP="008D5D77">
      <w:pPr>
        <w:spacing w:after="0" w:line="240" w:lineRule="auto"/>
        <w:ind w:left="2070" w:hanging="1350"/>
        <w:jc w:val="both"/>
        <w:rPr>
          <w:rFonts w:ascii="Times New Roman" w:hAnsi="Times New Roman" w:cs="Times New Roman"/>
          <w:i/>
          <w:sz w:val="24"/>
        </w:rPr>
      </w:pPr>
      <w:r w:rsidRPr="00906B5B">
        <w:rPr>
          <w:rFonts w:ascii="Times New Roman" w:hAnsi="Times New Roman" w:cs="Times New Roman"/>
          <w:i/>
          <w:sz w:val="24"/>
        </w:rPr>
        <w:t xml:space="preserve">Hypothesis </w:t>
      </w:r>
      <w:r>
        <w:rPr>
          <w:rFonts w:ascii="Times New Roman" w:hAnsi="Times New Roman" w:cs="Times New Roman"/>
          <w:i/>
          <w:sz w:val="24"/>
        </w:rPr>
        <w:t>5</w:t>
      </w:r>
      <w:r w:rsidRPr="00906B5B">
        <w:rPr>
          <w:rFonts w:ascii="Times New Roman" w:hAnsi="Times New Roman" w:cs="Times New Roman"/>
          <w:i/>
          <w:sz w:val="24"/>
        </w:rPr>
        <w:t xml:space="preserve">: </w:t>
      </w:r>
      <w:r w:rsidR="00B40D54">
        <w:rPr>
          <w:rFonts w:ascii="Times New Roman" w:hAnsi="Times New Roman" w:cs="Times New Roman"/>
          <w:i/>
          <w:sz w:val="24"/>
        </w:rPr>
        <w:t xml:space="preserve">The </w:t>
      </w:r>
      <w:r>
        <w:rPr>
          <w:rFonts w:ascii="Times New Roman" w:hAnsi="Times New Roman" w:cs="Times New Roman"/>
          <w:i/>
          <w:sz w:val="24"/>
        </w:rPr>
        <w:t xml:space="preserve">information risk </w:t>
      </w:r>
      <w:r w:rsidR="00B40D54">
        <w:rPr>
          <w:rFonts w:ascii="Times New Roman" w:hAnsi="Times New Roman" w:cs="Times New Roman"/>
          <w:i/>
          <w:sz w:val="24"/>
        </w:rPr>
        <w:t xml:space="preserve">is priced by SPAC-IPO investors. </w:t>
      </w:r>
      <w:r w:rsidRPr="00906B5B">
        <w:rPr>
          <w:rFonts w:ascii="Times New Roman" w:hAnsi="Times New Roman" w:cs="Times New Roman"/>
          <w:i/>
          <w:sz w:val="24"/>
        </w:rPr>
        <w:t xml:space="preserve"> </w:t>
      </w:r>
    </w:p>
    <w:p w14:paraId="3196AE35" w14:textId="77777777" w:rsidR="008D5D77" w:rsidRDefault="008D5D77" w:rsidP="008D5D77">
      <w:pPr>
        <w:spacing w:after="0" w:line="240" w:lineRule="auto"/>
        <w:ind w:left="2070" w:hanging="1350"/>
        <w:jc w:val="both"/>
        <w:rPr>
          <w:rFonts w:ascii="Times New Roman" w:hAnsi="Times New Roman" w:cs="Times New Roman"/>
          <w:i/>
          <w:sz w:val="24"/>
        </w:rPr>
      </w:pPr>
    </w:p>
    <w:p w14:paraId="535DF834" w14:textId="46D2BB0C" w:rsidR="001E1EE1" w:rsidRPr="001E1EE1" w:rsidRDefault="001E1EE1" w:rsidP="004207D2">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t>Research Design</w:t>
      </w:r>
    </w:p>
    <w:p w14:paraId="4196CC0D" w14:textId="1988FD63" w:rsidR="00543569" w:rsidRDefault="007B745C" w:rsidP="005435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both SPAC- and non-SPAC-IPOs raise public funds, the</w:t>
      </w:r>
      <w:r w:rsidR="00553FC0">
        <w:rPr>
          <w:rFonts w:ascii="Times New Roman" w:hAnsi="Times New Roman" w:cs="Times New Roman"/>
          <w:sz w:val="24"/>
          <w:szCs w:val="24"/>
        </w:rPr>
        <w:t xml:space="preserve">y vary in their </w:t>
      </w:r>
      <w:r>
        <w:rPr>
          <w:rFonts w:ascii="Times New Roman" w:hAnsi="Times New Roman" w:cs="Times New Roman"/>
          <w:sz w:val="24"/>
          <w:szCs w:val="24"/>
        </w:rPr>
        <w:t>method</w:t>
      </w:r>
      <w:r w:rsidR="00553FC0">
        <w:rPr>
          <w:rFonts w:ascii="Times New Roman" w:hAnsi="Times New Roman" w:cs="Times New Roman"/>
          <w:sz w:val="24"/>
          <w:szCs w:val="24"/>
        </w:rPr>
        <w:t>s</w:t>
      </w:r>
      <w:r>
        <w:rPr>
          <w:rFonts w:ascii="Times New Roman" w:hAnsi="Times New Roman" w:cs="Times New Roman"/>
          <w:sz w:val="24"/>
          <w:szCs w:val="24"/>
        </w:rPr>
        <w:t xml:space="preserve"> to raise </w:t>
      </w:r>
      <w:r w:rsidR="00553FC0">
        <w:rPr>
          <w:rFonts w:ascii="Times New Roman" w:hAnsi="Times New Roman" w:cs="Times New Roman"/>
          <w:sz w:val="24"/>
          <w:szCs w:val="24"/>
        </w:rPr>
        <w:t xml:space="preserve">those </w:t>
      </w:r>
      <w:r>
        <w:rPr>
          <w:rFonts w:ascii="Times New Roman" w:hAnsi="Times New Roman" w:cs="Times New Roman"/>
          <w:sz w:val="24"/>
          <w:szCs w:val="24"/>
        </w:rPr>
        <w:t xml:space="preserve">funds. </w:t>
      </w:r>
      <w:r w:rsidR="00CA78A1">
        <w:rPr>
          <w:rFonts w:ascii="Times New Roman" w:hAnsi="Times New Roman" w:cs="Times New Roman"/>
          <w:sz w:val="24"/>
          <w:szCs w:val="24"/>
        </w:rPr>
        <w:t xml:space="preserve">Exploiting this key differential, </w:t>
      </w:r>
      <w:r w:rsidR="00B578FB">
        <w:rPr>
          <w:rFonts w:ascii="Times New Roman" w:hAnsi="Times New Roman" w:cs="Times New Roman"/>
          <w:sz w:val="24"/>
          <w:szCs w:val="24"/>
        </w:rPr>
        <w:t xml:space="preserve">we use </w:t>
      </w:r>
      <w:r>
        <w:rPr>
          <w:rFonts w:ascii="Times New Roman" w:hAnsi="Times New Roman" w:cs="Times New Roman"/>
          <w:sz w:val="24"/>
          <w:szCs w:val="24"/>
        </w:rPr>
        <w:t>matched non-SPAC-</w:t>
      </w:r>
      <w:r w:rsidR="00B578FB">
        <w:rPr>
          <w:rFonts w:ascii="Times New Roman" w:hAnsi="Times New Roman" w:cs="Times New Roman"/>
          <w:sz w:val="24"/>
          <w:szCs w:val="24"/>
        </w:rPr>
        <w:t xml:space="preserve">IPOs as </w:t>
      </w:r>
      <w:r w:rsidR="00543569" w:rsidRPr="00543569">
        <w:rPr>
          <w:rFonts w:ascii="Times New Roman" w:hAnsi="Times New Roman" w:cs="Times New Roman"/>
          <w:sz w:val="24"/>
          <w:szCs w:val="24"/>
        </w:rPr>
        <w:t>benchmark companies</w:t>
      </w:r>
      <w:r>
        <w:rPr>
          <w:rFonts w:ascii="Times New Roman" w:hAnsi="Times New Roman" w:cs="Times New Roman"/>
          <w:sz w:val="24"/>
          <w:szCs w:val="24"/>
        </w:rPr>
        <w:t xml:space="preserve"> </w:t>
      </w:r>
      <w:r w:rsidR="00CA78A1">
        <w:rPr>
          <w:rFonts w:ascii="Times New Roman" w:hAnsi="Times New Roman" w:cs="Times New Roman"/>
          <w:sz w:val="24"/>
          <w:szCs w:val="24"/>
        </w:rPr>
        <w:t xml:space="preserve">for our empirical tests, </w:t>
      </w:r>
      <w:r>
        <w:rPr>
          <w:rFonts w:ascii="Times New Roman" w:hAnsi="Times New Roman" w:cs="Times New Roman"/>
          <w:sz w:val="24"/>
          <w:szCs w:val="24"/>
        </w:rPr>
        <w:t xml:space="preserve">where matching is </w:t>
      </w:r>
      <w:r w:rsidR="00FA74EC">
        <w:rPr>
          <w:rFonts w:ascii="Times New Roman" w:hAnsi="Times New Roman" w:cs="Times New Roman"/>
          <w:sz w:val="24"/>
          <w:szCs w:val="24"/>
        </w:rPr>
        <w:t xml:space="preserve">done </w:t>
      </w:r>
      <w:r>
        <w:rPr>
          <w:rFonts w:ascii="Times New Roman" w:hAnsi="Times New Roman" w:cs="Times New Roman"/>
          <w:sz w:val="24"/>
          <w:szCs w:val="24"/>
        </w:rPr>
        <w:t xml:space="preserve">by year and the </w:t>
      </w:r>
      <w:r w:rsidR="00354E14">
        <w:rPr>
          <w:rFonts w:ascii="Times New Roman" w:hAnsi="Times New Roman" w:cs="Times New Roman"/>
          <w:sz w:val="24"/>
          <w:szCs w:val="24"/>
        </w:rPr>
        <w:t xml:space="preserve">amount of </w:t>
      </w:r>
      <w:r w:rsidR="00CA78A1">
        <w:rPr>
          <w:rFonts w:ascii="Times New Roman" w:hAnsi="Times New Roman" w:cs="Times New Roman"/>
          <w:sz w:val="24"/>
          <w:szCs w:val="24"/>
        </w:rPr>
        <w:t xml:space="preserve">funds </w:t>
      </w:r>
      <w:r>
        <w:rPr>
          <w:rFonts w:ascii="Times New Roman" w:hAnsi="Times New Roman" w:cs="Times New Roman"/>
          <w:sz w:val="24"/>
          <w:szCs w:val="24"/>
        </w:rPr>
        <w:t>raised</w:t>
      </w:r>
      <w:r w:rsidR="00D40923">
        <w:rPr>
          <w:rFonts w:ascii="Times New Roman" w:hAnsi="Times New Roman" w:cs="Times New Roman"/>
          <w:sz w:val="24"/>
          <w:szCs w:val="24"/>
        </w:rPr>
        <w:t xml:space="preserve"> (without replacement). </w:t>
      </w:r>
      <w:r>
        <w:rPr>
          <w:rFonts w:ascii="Times New Roman" w:hAnsi="Times New Roman" w:cs="Times New Roman"/>
          <w:sz w:val="24"/>
          <w:szCs w:val="24"/>
        </w:rPr>
        <w:t xml:space="preserve">For the SPAC-IPO, the event year </w:t>
      </w:r>
      <w:r w:rsidR="00553FC0">
        <w:rPr>
          <w:rFonts w:ascii="Times New Roman" w:hAnsi="Times New Roman" w:cs="Times New Roman"/>
          <w:sz w:val="24"/>
          <w:szCs w:val="24"/>
        </w:rPr>
        <w:t xml:space="preserve">corresponds to </w:t>
      </w:r>
      <w:r>
        <w:rPr>
          <w:rFonts w:ascii="Times New Roman" w:hAnsi="Times New Roman" w:cs="Times New Roman"/>
          <w:sz w:val="24"/>
          <w:szCs w:val="24"/>
        </w:rPr>
        <w:t>the year the target is</w:t>
      </w:r>
      <w:r w:rsidR="00553FC0">
        <w:rPr>
          <w:rFonts w:ascii="Times New Roman" w:hAnsi="Times New Roman" w:cs="Times New Roman"/>
          <w:sz w:val="24"/>
          <w:szCs w:val="24"/>
        </w:rPr>
        <w:t xml:space="preserve"> </w:t>
      </w:r>
      <w:r>
        <w:rPr>
          <w:rFonts w:ascii="Times New Roman" w:hAnsi="Times New Roman" w:cs="Times New Roman"/>
          <w:sz w:val="24"/>
          <w:szCs w:val="24"/>
        </w:rPr>
        <w:lastRenderedPageBreak/>
        <w:t>acquired by the SPAC</w:t>
      </w:r>
      <w:r w:rsidR="00553FC0">
        <w:rPr>
          <w:rFonts w:ascii="Times New Roman" w:hAnsi="Times New Roman" w:cs="Times New Roman"/>
          <w:sz w:val="24"/>
          <w:szCs w:val="24"/>
        </w:rPr>
        <w:t>. F</w:t>
      </w:r>
      <w:r>
        <w:rPr>
          <w:rFonts w:ascii="Times New Roman" w:hAnsi="Times New Roman" w:cs="Times New Roman"/>
          <w:sz w:val="24"/>
          <w:szCs w:val="24"/>
        </w:rPr>
        <w:t>or the non-SPAC-IPO</w:t>
      </w:r>
      <w:r w:rsidR="00553FC0">
        <w:rPr>
          <w:rFonts w:ascii="Times New Roman" w:hAnsi="Times New Roman" w:cs="Times New Roman"/>
          <w:sz w:val="24"/>
          <w:szCs w:val="24"/>
        </w:rPr>
        <w:t>,</w:t>
      </w:r>
      <w:r>
        <w:rPr>
          <w:rFonts w:ascii="Times New Roman" w:hAnsi="Times New Roman" w:cs="Times New Roman"/>
          <w:sz w:val="24"/>
          <w:szCs w:val="24"/>
        </w:rPr>
        <w:t xml:space="preserve"> the event year </w:t>
      </w:r>
      <w:r w:rsidR="00553FC0">
        <w:rPr>
          <w:rFonts w:ascii="Times New Roman" w:hAnsi="Times New Roman" w:cs="Times New Roman"/>
          <w:sz w:val="24"/>
          <w:szCs w:val="24"/>
        </w:rPr>
        <w:t xml:space="preserve">corresponds to </w:t>
      </w:r>
      <w:r>
        <w:rPr>
          <w:rFonts w:ascii="Times New Roman" w:hAnsi="Times New Roman" w:cs="Times New Roman"/>
          <w:sz w:val="24"/>
          <w:szCs w:val="24"/>
        </w:rPr>
        <w:t xml:space="preserve">the year the IPO is completed. </w:t>
      </w:r>
    </w:p>
    <w:p w14:paraId="41553D56" w14:textId="1E2B81F7" w:rsidR="002A7CE9" w:rsidRPr="002A7CE9" w:rsidRDefault="002A7CE9" w:rsidP="002A7CE9">
      <w:pPr>
        <w:autoSpaceDE w:val="0"/>
        <w:autoSpaceDN w:val="0"/>
        <w:adjustRightInd w:val="0"/>
        <w:spacing w:after="0" w:line="480" w:lineRule="auto"/>
        <w:jc w:val="both"/>
        <w:rPr>
          <w:rFonts w:ascii="Times New Roman" w:hAnsi="Times New Roman" w:cs="Times New Roman"/>
          <w:i/>
          <w:sz w:val="24"/>
          <w:szCs w:val="24"/>
        </w:rPr>
      </w:pPr>
      <w:r w:rsidRPr="002A7CE9">
        <w:rPr>
          <w:rFonts w:ascii="Times New Roman" w:hAnsi="Times New Roman" w:cs="Times New Roman"/>
          <w:i/>
          <w:sz w:val="24"/>
          <w:szCs w:val="24"/>
        </w:rPr>
        <w:t>4.1.</w:t>
      </w:r>
      <w:r w:rsidRPr="002A7CE9">
        <w:rPr>
          <w:rFonts w:ascii="Times New Roman" w:hAnsi="Times New Roman" w:cs="Times New Roman"/>
          <w:i/>
          <w:sz w:val="24"/>
          <w:szCs w:val="24"/>
        </w:rPr>
        <w:tab/>
        <w:t>Information Risk Proxies</w:t>
      </w:r>
    </w:p>
    <w:p w14:paraId="17067A88" w14:textId="5F78D378" w:rsidR="00B97BAD" w:rsidRPr="00543569" w:rsidRDefault="00B97BAD" w:rsidP="00B97BAD">
      <w:pPr>
        <w:spacing w:after="0" w:line="480" w:lineRule="auto"/>
        <w:jc w:val="both"/>
        <w:rPr>
          <w:rFonts w:ascii="Times New Roman" w:hAnsi="Times New Roman" w:cs="Times New Roman"/>
          <w:i/>
          <w:sz w:val="24"/>
          <w:szCs w:val="24"/>
        </w:rPr>
      </w:pPr>
      <w:r w:rsidRPr="00543569">
        <w:rPr>
          <w:rFonts w:ascii="Times New Roman" w:hAnsi="Times New Roman" w:cs="Times New Roman"/>
          <w:i/>
          <w:sz w:val="24"/>
          <w:szCs w:val="24"/>
        </w:rPr>
        <w:t>4.1.</w:t>
      </w:r>
      <w:r w:rsidR="002A7CE9">
        <w:rPr>
          <w:rFonts w:ascii="Times New Roman" w:hAnsi="Times New Roman" w:cs="Times New Roman"/>
          <w:i/>
          <w:sz w:val="24"/>
          <w:szCs w:val="24"/>
        </w:rPr>
        <w:t>1.</w:t>
      </w:r>
      <w:r w:rsidRPr="00543569">
        <w:rPr>
          <w:rFonts w:ascii="Times New Roman" w:hAnsi="Times New Roman" w:cs="Times New Roman"/>
          <w:i/>
          <w:sz w:val="24"/>
          <w:szCs w:val="24"/>
        </w:rPr>
        <w:tab/>
        <w:t>Economic Demand for Auditing Services</w:t>
      </w:r>
    </w:p>
    <w:p w14:paraId="6E9777F7" w14:textId="73801D13" w:rsidR="00B97BAD" w:rsidRPr="00543569" w:rsidRDefault="00B97BAD" w:rsidP="00B97BA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estimate the differences in the economic demand for auditing services between SPAC- and non-SPAC-IPOs, we estimate a </w:t>
      </w:r>
      <w:r w:rsidRPr="00543569">
        <w:rPr>
          <w:rFonts w:ascii="Times New Roman" w:hAnsi="Times New Roman" w:cs="Times New Roman"/>
          <w:sz w:val="24"/>
          <w:szCs w:val="24"/>
        </w:rPr>
        <w:t xml:space="preserve">logistic </w:t>
      </w:r>
      <w:r>
        <w:rPr>
          <w:rFonts w:ascii="Times New Roman" w:hAnsi="Times New Roman" w:cs="Times New Roman"/>
          <w:sz w:val="24"/>
          <w:szCs w:val="24"/>
        </w:rPr>
        <w:t xml:space="preserve">regression similar to the </w:t>
      </w:r>
      <w:r w:rsidRPr="00543569">
        <w:rPr>
          <w:rFonts w:ascii="Times New Roman" w:hAnsi="Times New Roman" w:cs="Times New Roman"/>
          <w:sz w:val="24"/>
          <w:szCs w:val="24"/>
        </w:rPr>
        <w:t>Lawrence, Minutti-Meza, and Zhang (2011)</w:t>
      </w:r>
      <w:r>
        <w:rPr>
          <w:rFonts w:ascii="Times New Roman" w:hAnsi="Times New Roman" w:cs="Times New Roman"/>
          <w:sz w:val="24"/>
          <w:szCs w:val="24"/>
        </w:rPr>
        <w:t xml:space="preserve"> specification</w:t>
      </w:r>
      <w:r w:rsidRPr="00543569">
        <w:rPr>
          <w:rFonts w:ascii="Times New Roman" w:hAnsi="Times New Roman" w:cs="Times New Roman"/>
          <w:sz w:val="24"/>
          <w:szCs w:val="24"/>
        </w:rPr>
        <w:t xml:space="preserve">. </w:t>
      </w:r>
      <w:r>
        <w:rPr>
          <w:rFonts w:ascii="Times New Roman" w:hAnsi="Times New Roman" w:cs="Times New Roman"/>
          <w:sz w:val="24"/>
          <w:szCs w:val="24"/>
        </w:rPr>
        <w:t>Additionally, we include funds raised from the IPO/SPAC (</w:t>
      </w:r>
      <w:r w:rsidRPr="00543569">
        <w:rPr>
          <w:rFonts w:ascii="Times New Roman" w:hAnsi="Times New Roman" w:cs="Times New Roman"/>
          <w:sz w:val="24"/>
          <w:szCs w:val="24"/>
        </w:rPr>
        <w:t>Willenborg 1999)</w:t>
      </w:r>
      <w:r>
        <w:rPr>
          <w:rFonts w:ascii="Times New Roman" w:hAnsi="Times New Roman" w:cs="Times New Roman"/>
          <w:sz w:val="24"/>
          <w:szCs w:val="24"/>
        </w:rPr>
        <w:t xml:space="preserve">, whether the SPAC/IPO </w:t>
      </w:r>
      <w:r w:rsidRPr="00543569">
        <w:rPr>
          <w:rFonts w:ascii="Times New Roman" w:hAnsi="Times New Roman" w:cs="Times New Roman"/>
          <w:sz w:val="24"/>
          <w:szCs w:val="24"/>
        </w:rPr>
        <w:t>is an emerging growth company</w:t>
      </w:r>
      <w:r>
        <w:rPr>
          <w:rFonts w:ascii="Times New Roman" w:hAnsi="Times New Roman" w:cs="Times New Roman"/>
          <w:sz w:val="24"/>
          <w:szCs w:val="24"/>
        </w:rPr>
        <w:t xml:space="preserve">, and whether the company is </w:t>
      </w:r>
      <w:r w:rsidRPr="00543569">
        <w:rPr>
          <w:rFonts w:ascii="Times New Roman" w:hAnsi="Times New Roman" w:cs="Times New Roman"/>
          <w:sz w:val="24"/>
          <w:szCs w:val="24"/>
        </w:rPr>
        <w:t xml:space="preserve">incorporated </w:t>
      </w:r>
      <w:r>
        <w:rPr>
          <w:rFonts w:ascii="Times New Roman" w:hAnsi="Times New Roman" w:cs="Times New Roman"/>
          <w:sz w:val="24"/>
          <w:szCs w:val="24"/>
        </w:rPr>
        <w:t xml:space="preserve">outside </w:t>
      </w:r>
      <w:r w:rsidRPr="00543569">
        <w:rPr>
          <w:rFonts w:ascii="Times New Roman" w:hAnsi="Times New Roman" w:cs="Times New Roman"/>
          <w:sz w:val="24"/>
          <w:szCs w:val="24"/>
        </w:rPr>
        <w:t xml:space="preserve">the U.S. </w:t>
      </w:r>
      <w:r>
        <w:rPr>
          <w:rFonts w:ascii="Times New Roman" w:hAnsi="Times New Roman" w:cs="Times New Roman"/>
          <w:sz w:val="24"/>
          <w:szCs w:val="24"/>
        </w:rPr>
        <w:t>Therefore, w</w:t>
      </w:r>
      <w:r w:rsidRPr="00543569">
        <w:rPr>
          <w:rFonts w:ascii="Times New Roman" w:hAnsi="Times New Roman" w:cs="Times New Roman"/>
          <w:sz w:val="24"/>
          <w:szCs w:val="24"/>
        </w:rPr>
        <w:t xml:space="preserve">e estimate the following model: </w:t>
      </w:r>
    </w:p>
    <w:p w14:paraId="43E2204A" w14:textId="06C75B70" w:rsidR="00B97BAD" w:rsidRDefault="00B97BAD" w:rsidP="00B97BAD">
      <w:pPr>
        <w:spacing w:after="0" w:line="240" w:lineRule="auto"/>
        <w:ind w:left="1980" w:hanging="1260"/>
        <w:jc w:val="both"/>
        <w:rPr>
          <w:rFonts w:ascii="Times New Roman" w:hAnsi="Times New Roman" w:cs="Times New Roman"/>
          <w:color w:val="000000"/>
          <w:sz w:val="24"/>
          <w:szCs w:val="24"/>
        </w:rPr>
      </w:pPr>
      <w:r w:rsidRPr="007648C9">
        <w:rPr>
          <w:rFonts w:ascii="Times New Roman" w:hAnsi="Times New Roman" w:cs="Times New Roman"/>
          <w:i/>
        </w:rPr>
        <w:t xml:space="preserve">     </w:t>
      </w:r>
      <w:r w:rsidR="007648C9" w:rsidRPr="007648C9">
        <w:rPr>
          <w:rFonts w:ascii="Times New Roman" w:hAnsi="Times New Roman" w:cs="Times New Roman"/>
          <w:i/>
        </w:rPr>
        <w:t>NON</w:t>
      </w:r>
      <w:r w:rsidRPr="007648C9">
        <w:rPr>
          <w:rFonts w:ascii="Times New Roman" w:hAnsi="Times New Roman" w:cs="Times New Roman"/>
          <w:i/>
        </w:rPr>
        <w:t>BIG4</w:t>
      </w:r>
      <w:r w:rsidRPr="00AA20D5">
        <w:rPr>
          <w:rFonts w:ascii="Times New Roman" w:hAnsi="Times New Roman" w:cs="Times New Roman"/>
          <w:i/>
          <w:color w:val="000000"/>
          <w:szCs w:val="24"/>
        </w:rPr>
        <w:t xml:space="preserve"> =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 xml:space="preserve">0 </w:t>
      </w:r>
      <w:r w:rsidRPr="00AA20D5">
        <w:rPr>
          <w:rFonts w:ascii="Times New Roman" w:hAnsi="Times New Roman" w:cs="Times New Roman"/>
          <w:i/>
          <w:color w:val="000000"/>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1</w:t>
      </w:r>
      <w:r w:rsidRPr="00AA20D5">
        <w:rPr>
          <w:rFonts w:ascii="Times New Roman" w:hAnsi="Times New Roman" w:cs="Times New Roman"/>
          <w:i/>
          <w:szCs w:val="24"/>
        </w:rPr>
        <w:t>SPAC-IPO</w:t>
      </w:r>
      <w:r w:rsidRPr="00AA20D5">
        <w:rPr>
          <w:rFonts w:ascii="Times New Roman" w:hAnsi="Times New Roman" w:cs="Times New Roman"/>
          <w:i/>
          <w:szCs w:val="24"/>
          <w:vertAlign w:val="subscript"/>
        </w:rPr>
        <w:t xml:space="preserve"> </w:t>
      </w:r>
      <w:r w:rsidRPr="00AA20D5">
        <w:rPr>
          <w:rFonts w:ascii="Times New Roman" w:hAnsi="Times New Roman" w:cs="Times New Roman"/>
          <w:i/>
          <w:color w:val="000000"/>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2</w:t>
      </w:r>
      <w:r w:rsidRPr="00AA20D5">
        <w:rPr>
          <w:rFonts w:ascii="Times New Roman" w:hAnsi="Times New Roman" w:cs="Times New Roman"/>
          <w:i/>
          <w:szCs w:val="24"/>
        </w:rPr>
        <w:t>PROCEEDS</w:t>
      </w:r>
      <w:r w:rsidRPr="00AA20D5">
        <w:rPr>
          <w:rFonts w:ascii="Times New Roman" w:hAnsi="Times New Roman" w:cs="Times New Roman"/>
          <w:i/>
          <w:szCs w:val="24"/>
          <w:vertAlign w:val="subscript"/>
        </w:rPr>
        <w:t xml:space="preserve"> </w:t>
      </w:r>
      <w:r w:rsidRPr="00AA20D5">
        <w:rPr>
          <w:rFonts w:ascii="Times New Roman" w:hAnsi="Times New Roman" w:cs="Times New Roman"/>
          <w:i/>
          <w:color w:val="000000"/>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3</w:t>
      </w:r>
      <w:r w:rsidRPr="00AA20D5">
        <w:rPr>
          <w:rFonts w:ascii="Times New Roman" w:hAnsi="Times New Roman" w:cs="Times New Roman"/>
          <w:i/>
          <w:szCs w:val="24"/>
        </w:rPr>
        <w:t>ASSETS</w:t>
      </w:r>
      <w:r>
        <w:rPr>
          <w:rFonts w:ascii="Times New Roman" w:hAnsi="Times New Roman" w:cs="Times New Roman"/>
          <w:i/>
          <w:szCs w:val="24"/>
        </w:rPr>
        <w:t xml:space="preserve">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4</w:t>
      </w:r>
      <w:r w:rsidRPr="00AA20D5">
        <w:rPr>
          <w:rFonts w:ascii="Times New Roman" w:hAnsi="Times New Roman" w:cs="Times New Roman"/>
          <w:i/>
          <w:color w:val="000000"/>
          <w:szCs w:val="24"/>
        </w:rPr>
        <w:t xml:space="preserve">ASSETTURNOVER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5</w:t>
      </w:r>
      <w:r w:rsidRPr="00AA20D5">
        <w:rPr>
          <w:rFonts w:ascii="Times New Roman" w:hAnsi="Times New Roman" w:cs="Times New Roman"/>
          <w:i/>
          <w:color w:val="000000"/>
          <w:szCs w:val="24"/>
        </w:rPr>
        <w:t xml:space="preserve">CURRATIO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6</w:t>
      </w:r>
      <w:r w:rsidRPr="00AA20D5">
        <w:rPr>
          <w:rFonts w:ascii="Times New Roman" w:hAnsi="Times New Roman" w:cs="Times New Roman"/>
          <w:i/>
          <w:color w:val="000000"/>
          <w:szCs w:val="24"/>
        </w:rPr>
        <w:t>LEVERAGE</w:t>
      </w:r>
      <w:r>
        <w:rPr>
          <w:rFonts w:ascii="Times New Roman" w:hAnsi="Times New Roman" w:cs="Times New Roman"/>
          <w:i/>
          <w:color w:val="000000"/>
          <w:szCs w:val="24"/>
        </w:rPr>
        <w:t xml:space="preserve">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7</w:t>
      </w:r>
      <w:r w:rsidRPr="00AA20D5">
        <w:rPr>
          <w:rFonts w:ascii="Times New Roman" w:hAnsi="Times New Roman" w:cs="Times New Roman"/>
          <w:i/>
          <w:color w:val="000000"/>
          <w:szCs w:val="24"/>
        </w:rPr>
        <w:t>ROA</w:t>
      </w:r>
      <w:r>
        <w:rPr>
          <w:rFonts w:ascii="Times New Roman" w:hAnsi="Times New Roman" w:cs="Times New Roman"/>
          <w:i/>
          <w:color w:val="000000"/>
          <w:szCs w:val="24"/>
        </w:rPr>
        <w:t xml:space="preserve">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8</w:t>
      </w:r>
      <w:r w:rsidRPr="00AA20D5">
        <w:rPr>
          <w:rFonts w:ascii="Times New Roman" w:hAnsi="Times New Roman" w:cs="Times New Roman"/>
          <w:i/>
          <w:color w:val="000000"/>
          <w:szCs w:val="24"/>
        </w:rPr>
        <w:t>EGC</w:t>
      </w:r>
      <w:r>
        <w:rPr>
          <w:rFonts w:ascii="Times New Roman" w:hAnsi="Times New Roman" w:cs="Times New Roman"/>
          <w:i/>
          <w:color w:val="000000"/>
          <w:szCs w:val="24"/>
        </w:rPr>
        <w:t xml:space="preserve"> </w:t>
      </w:r>
      <w:r w:rsidRPr="00AA20D5">
        <w:rPr>
          <w:rFonts w:ascii="Times New Roman" w:hAnsi="Times New Roman" w:cs="Times New Roman"/>
          <w:i/>
          <w:szCs w:val="24"/>
        </w:rPr>
        <w:t xml:space="preserve">+ </w:t>
      </w:r>
      <w:r w:rsidRPr="00AA20D5">
        <w:rPr>
          <w:rFonts w:ascii="Times New Roman" w:hAnsi="Times New Roman" w:cs="Times New Roman"/>
          <w:i/>
          <w:color w:val="000000"/>
          <w:szCs w:val="24"/>
        </w:rPr>
        <w:sym w:font="Symbol" w:char="F062"/>
      </w:r>
      <w:r w:rsidRPr="00AA20D5">
        <w:rPr>
          <w:rFonts w:ascii="Times New Roman" w:hAnsi="Times New Roman" w:cs="Times New Roman"/>
          <w:i/>
          <w:color w:val="000000"/>
          <w:szCs w:val="24"/>
          <w:vertAlign w:val="subscript"/>
        </w:rPr>
        <w:t>9</w:t>
      </w:r>
      <w:r w:rsidRPr="00AA20D5">
        <w:rPr>
          <w:rFonts w:ascii="Times New Roman" w:hAnsi="Times New Roman" w:cs="Times New Roman"/>
          <w:i/>
          <w:color w:val="000000"/>
          <w:szCs w:val="24"/>
        </w:rPr>
        <w:t xml:space="preserve">FOREIGNFIRM </w:t>
      </w:r>
      <w:r w:rsidRPr="00543569">
        <w:rPr>
          <w:rFonts w:ascii="Times New Roman" w:hAnsi="Times New Roman" w:cs="Times New Roman"/>
          <w:i/>
          <w:sz w:val="24"/>
          <w:szCs w:val="24"/>
        </w:rPr>
        <w:t xml:space="preserve">+ </w:t>
      </w:r>
      <w:r w:rsidRPr="00543569">
        <w:rPr>
          <w:rFonts w:ascii="Times New Roman" w:hAnsi="Times New Roman" w:cs="Times New Roman"/>
          <w:i/>
          <w:color w:val="000000"/>
          <w:sz w:val="24"/>
          <w:szCs w:val="24"/>
        </w:rPr>
        <w:t xml:space="preserve">FIXED EFFECTS </w:t>
      </w:r>
      <w:r w:rsidRPr="00543569">
        <w:rPr>
          <w:rFonts w:ascii="Times New Roman" w:hAnsi="Times New Roman" w:cs="Times New Roman"/>
          <w:i/>
          <w:sz w:val="24"/>
          <w:szCs w:val="24"/>
        </w:rPr>
        <w:t>+</w:t>
      </w:r>
      <w:r w:rsidRPr="00543569">
        <w:rPr>
          <w:rFonts w:ascii="Times New Roman" w:hAnsi="Times New Roman" w:cs="Times New Roman"/>
          <w:i/>
          <w:color w:val="000000"/>
          <w:sz w:val="24"/>
          <w:szCs w:val="24"/>
        </w:rPr>
        <w:sym w:font="Symbol" w:char="F065"/>
      </w:r>
      <w:r w:rsidRPr="00543569">
        <w:rPr>
          <w:rFonts w:ascii="Times New Roman" w:hAnsi="Times New Roman" w:cs="Times New Roman"/>
          <w:i/>
          <w:color w:val="000000"/>
          <w:sz w:val="24"/>
          <w:szCs w:val="24"/>
        </w:rPr>
        <w:tab/>
      </w:r>
      <w:r w:rsidRPr="00543569">
        <w:rPr>
          <w:rFonts w:ascii="Times New Roman" w:hAnsi="Times New Roman" w:cs="Times New Roman"/>
          <w:color w:val="000000"/>
          <w:sz w:val="24"/>
          <w:szCs w:val="24"/>
        </w:rPr>
        <w:t xml:space="preserve">       </w:t>
      </w:r>
      <w:r w:rsidRPr="00543569">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543569">
        <w:rPr>
          <w:rFonts w:ascii="Times New Roman" w:hAnsi="Times New Roman" w:cs="Times New Roman"/>
          <w:color w:val="000000"/>
          <w:sz w:val="24"/>
          <w:szCs w:val="24"/>
        </w:rPr>
        <w:t>(1)</w:t>
      </w:r>
    </w:p>
    <w:p w14:paraId="54FD7D8A" w14:textId="77777777" w:rsidR="00B97BAD" w:rsidRPr="00543569" w:rsidRDefault="00B97BAD" w:rsidP="00B97BAD">
      <w:pPr>
        <w:spacing w:after="0" w:line="240" w:lineRule="auto"/>
        <w:ind w:left="1980" w:hanging="1260"/>
        <w:jc w:val="both"/>
        <w:rPr>
          <w:rFonts w:ascii="Times New Roman" w:hAnsi="Times New Roman" w:cs="Times New Roman"/>
          <w:color w:val="000000"/>
          <w:sz w:val="24"/>
          <w:szCs w:val="24"/>
          <w:vertAlign w:val="subscript"/>
        </w:rPr>
      </w:pPr>
    </w:p>
    <w:p w14:paraId="1BC5FBFD" w14:textId="68718E59" w:rsidR="00B97BAD" w:rsidRPr="00543569" w:rsidRDefault="00B97BAD" w:rsidP="00B97BAD">
      <w:pPr>
        <w:autoSpaceDE w:val="0"/>
        <w:autoSpaceDN w:val="0"/>
        <w:adjustRightInd w:val="0"/>
        <w:spacing w:after="0" w:line="480" w:lineRule="auto"/>
        <w:jc w:val="both"/>
        <w:rPr>
          <w:rFonts w:ascii="Times New Roman" w:hAnsi="Times New Roman" w:cs="Times New Roman"/>
          <w:sz w:val="24"/>
          <w:szCs w:val="24"/>
        </w:rPr>
      </w:pPr>
      <w:r w:rsidRPr="00543569">
        <w:rPr>
          <w:rFonts w:ascii="Times New Roman" w:hAnsi="Times New Roman" w:cs="Times New Roman"/>
          <w:sz w:val="24"/>
          <w:szCs w:val="24"/>
        </w:rPr>
        <w:t xml:space="preserve">The dependent variable </w:t>
      </w:r>
      <w:r w:rsidR="007648C9">
        <w:rPr>
          <w:rFonts w:ascii="Times New Roman" w:hAnsi="Times New Roman" w:cs="Times New Roman"/>
          <w:sz w:val="24"/>
          <w:szCs w:val="24"/>
        </w:rPr>
        <w:t>(</w:t>
      </w:r>
      <w:r w:rsidR="007648C9" w:rsidRPr="007648C9">
        <w:rPr>
          <w:rFonts w:ascii="Times New Roman" w:hAnsi="Times New Roman" w:cs="Times New Roman"/>
          <w:i/>
          <w:sz w:val="24"/>
          <w:szCs w:val="24"/>
        </w:rPr>
        <w:t>NONBIG4</w:t>
      </w:r>
      <w:r w:rsidR="007648C9">
        <w:rPr>
          <w:rFonts w:ascii="Times New Roman" w:hAnsi="Times New Roman" w:cs="Times New Roman"/>
          <w:sz w:val="24"/>
          <w:szCs w:val="24"/>
        </w:rPr>
        <w:t xml:space="preserve">) </w:t>
      </w:r>
      <w:r w:rsidRPr="00543569">
        <w:rPr>
          <w:rFonts w:ascii="Times New Roman" w:hAnsi="Times New Roman" w:cs="Times New Roman"/>
          <w:sz w:val="24"/>
          <w:szCs w:val="24"/>
        </w:rPr>
        <w:t xml:space="preserve">is set to </w:t>
      </w:r>
      <w:r>
        <w:rPr>
          <w:rFonts w:ascii="Times New Roman" w:hAnsi="Times New Roman" w:cs="Times New Roman"/>
          <w:sz w:val="24"/>
          <w:szCs w:val="24"/>
        </w:rPr>
        <w:t>one</w:t>
      </w:r>
      <w:r w:rsidRPr="00543569">
        <w:rPr>
          <w:rFonts w:ascii="Times New Roman" w:hAnsi="Times New Roman" w:cs="Times New Roman"/>
          <w:sz w:val="24"/>
          <w:szCs w:val="24"/>
        </w:rPr>
        <w:t xml:space="preserve"> if the auditor is </w:t>
      </w:r>
      <w:r w:rsidR="00FE66B7">
        <w:rPr>
          <w:rFonts w:ascii="Times New Roman" w:hAnsi="Times New Roman" w:cs="Times New Roman"/>
          <w:sz w:val="24"/>
          <w:szCs w:val="24"/>
        </w:rPr>
        <w:t xml:space="preserve">not </w:t>
      </w:r>
      <w:r>
        <w:rPr>
          <w:rFonts w:ascii="Times New Roman" w:hAnsi="Times New Roman" w:cs="Times New Roman"/>
          <w:sz w:val="24"/>
          <w:szCs w:val="24"/>
        </w:rPr>
        <w:t xml:space="preserve">a Big 4 firm, </w:t>
      </w:r>
      <w:r w:rsidRPr="00543569">
        <w:rPr>
          <w:rFonts w:ascii="Times New Roman" w:hAnsi="Times New Roman" w:cs="Times New Roman"/>
          <w:sz w:val="24"/>
          <w:szCs w:val="24"/>
        </w:rPr>
        <w:t xml:space="preserve">and </w:t>
      </w:r>
      <w:r>
        <w:rPr>
          <w:rFonts w:ascii="Times New Roman" w:hAnsi="Times New Roman" w:cs="Times New Roman"/>
          <w:sz w:val="24"/>
          <w:szCs w:val="24"/>
        </w:rPr>
        <w:t>zero</w:t>
      </w:r>
      <w:r w:rsidRPr="00543569">
        <w:rPr>
          <w:rFonts w:ascii="Times New Roman" w:hAnsi="Times New Roman" w:cs="Times New Roman"/>
          <w:sz w:val="24"/>
          <w:szCs w:val="24"/>
        </w:rPr>
        <w:t xml:space="preserve"> otherwise. </w:t>
      </w:r>
      <w:r w:rsidRPr="00543569">
        <w:rPr>
          <w:rFonts w:ascii="Times New Roman" w:hAnsi="Times New Roman" w:cs="Times New Roman"/>
          <w:i/>
          <w:sz w:val="24"/>
          <w:szCs w:val="24"/>
        </w:rPr>
        <w:t>SPAC-IPO</w:t>
      </w:r>
      <w:r w:rsidRPr="00543569">
        <w:rPr>
          <w:rFonts w:ascii="Times New Roman" w:hAnsi="Times New Roman" w:cs="Times New Roman"/>
          <w:sz w:val="24"/>
          <w:szCs w:val="24"/>
        </w:rPr>
        <w:t xml:space="preserve"> is an indicator variable equal to </w:t>
      </w:r>
      <w:r>
        <w:rPr>
          <w:rFonts w:ascii="Times New Roman" w:hAnsi="Times New Roman" w:cs="Times New Roman"/>
          <w:sz w:val="24"/>
          <w:szCs w:val="24"/>
        </w:rPr>
        <w:t>one</w:t>
      </w:r>
      <w:r w:rsidRPr="00543569">
        <w:rPr>
          <w:rFonts w:ascii="Times New Roman" w:hAnsi="Times New Roman" w:cs="Times New Roman"/>
          <w:sz w:val="24"/>
          <w:szCs w:val="24"/>
        </w:rPr>
        <w:t xml:space="preserve"> for target companies acquired by SPACs, and </w:t>
      </w:r>
      <w:r>
        <w:rPr>
          <w:rFonts w:ascii="Times New Roman" w:hAnsi="Times New Roman" w:cs="Times New Roman"/>
          <w:sz w:val="24"/>
          <w:szCs w:val="24"/>
        </w:rPr>
        <w:t>zero</w:t>
      </w:r>
      <w:r w:rsidRPr="00543569">
        <w:rPr>
          <w:rFonts w:ascii="Times New Roman" w:hAnsi="Times New Roman" w:cs="Times New Roman"/>
          <w:sz w:val="24"/>
          <w:szCs w:val="24"/>
        </w:rPr>
        <w:t xml:space="preserve"> for </w:t>
      </w:r>
      <w:r>
        <w:rPr>
          <w:rFonts w:ascii="Times New Roman" w:hAnsi="Times New Roman" w:cs="Times New Roman"/>
          <w:sz w:val="24"/>
          <w:szCs w:val="24"/>
        </w:rPr>
        <w:t>non-SPAC-</w:t>
      </w:r>
      <w:r w:rsidRPr="00543569">
        <w:rPr>
          <w:rFonts w:ascii="Times New Roman" w:hAnsi="Times New Roman" w:cs="Times New Roman"/>
          <w:sz w:val="24"/>
          <w:szCs w:val="24"/>
        </w:rPr>
        <w:t>IPO</w:t>
      </w:r>
      <w:r>
        <w:rPr>
          <w:rFonts w:ascii="Times New Roman" w:hAnsi="Times New Roman" w:cs="Times New Roman"/>
          <w:sz w:val="24"/>
          <w:szCs w:val="24"/>
        </w:rPr>
        <w:t>s</w:t>
      </w:r>
      <w:r w:rsidRPr="00543569">
        <w:rPr>
          <w:rFonts w:ascii="Times New Roman" w:hAnsi="Times New Roman" w:cs="Times New Roman"/>
          <w:sz w:val="24"/>
          <w:szCs w:val="24"/>
        </w:rPr>
        <w:t>.</w:t>
      </w:r>
      <w:r>
        <w:rPr>
          <w:rFonts w:ascii="Times New Roman" w:hAnsi="Times New Roman" w:cs="Times New Roman"/>
          <w:sz w:val="24"/>
          <w:szCs w:val="24"/>
        </w:rPr>
        <w:t xml:space="preserve"> According to Hypothesis 1, </w:t>
      </w:r>
      <w:r w:rsidRPr="007F724A">
        <w:rPr>
          <w:rFonts w:ascii="Times New Roman" w:hAnsi="Times New Roman" w:cs="Times New Roman"/>
          <w:i/>
          <w:color w:val="000000"/>
          <w:sz w:val="24"/>
          <w:szCs w:val="24"/>
        </w:rPr>
        <w:sym w:font="Symbol" w:char="F062"/>
      </w:r>
      <w:r w:rsidRPr="007F724A">
        <w:rPr>
          <w:rFonts w:ascii="Times New Roman" w:hAnsi="Times New Roman" w:cs="Times New Roman"/>
          <w:i/>
          <w:color w:val="000000"/>
          <w:sz w:val="24"/>
          <w:szCs w:val="24"/>
          <w:vertAlign w:val="subscript"/>
        </w:rPr>
        <w:t xml:space="preserve">1 </w:t>
      </w:r>
      <w:r>
        <w:rPr>
          <w:rFonts w:ascii="Times New Roman" w:hAnsi="Times New Roman" w:cs="Times New Roman"/>
          <w:sz w:val="24"/>
          <w:szCs w:val="24"/>
        </w:rPr>
        <w:t xml:space="preserve">is </w:t>
      </w:r>
      <w:r w:rsidR="00AF4322">
        <w:rPr>
          <w:rFonts w:ascii="Times New Roman" w:hAnsi="Times New Roman" w:cs="Times New Roman"/>
          <w:sz w:val="24"/>
          <w:szCs w:val="24"/>
        </w:rPr>
        <w:t>positive</w:t>
      </w:r>
      <w:r>
        <w:rPr>
          <w:rFonts w:ascii="Times New Roman" w:hAnsi="Times New Roman" w:cs="Times New Roman"/>
          <w:sz w:val="24"/>
          <w:szCs w:val="24"/>
        </w:rPr>
        <w:t xml:space="preserve">. The control variables are defined as follows. </w:t>
      </w:r>
      <w:r w:rsidRPr="00543569">
        <w:rPr>
          <w:rFonts w:ascii="Times New Roman" w:hAnsi="Times New Roman" w:cs="Times New Roman"/>
          <w:i/>
          <w:sz w:val="24"/>
          <w:szCs w:val="24"/>
        </w:rPr>
        <w:t xml:space="preserve">PROCEEDS </w:t>
      </w:r>
      <w:r w:rsidRPr="00543569">
        <w:rPr>
          <w:rFonts w:ascii="Times New Roman" w:hAnsi="Times New Roman" w:cs="Times New Roman"/>
          <w:sz w:val="24"/>
          <w:szCs w:val="24"/>
        </w:rPr>
        <w:t xml:space="preserve">is the natural logarithm of proceeds from the SPAC or IPO transaction. </w:t>
      </w:r>
      <w:r w:rsidRPr="00543569">
        <w:rPr>
          <w:rFonts w:ascii="Times New Roman" w:hAnsi="Times New Roman" w:cs="Times New Roman"/>
          <w:i/>
          <w:sz w:val="24"/>
          <w:szCs w:val="24"/>
        </w:rPr>
        <w:t>ASSETS</w:t>
      </w:r>
      <w:r w:rsidRPr="00543569">
        <w:rPr>
          <w:rFonts w:ascii="Times New Roman" w:hAnsi="Times New Roman" w:cs="Times New Roman"/>
          <w:sz w:val="24"/>
          <w:szCs w:val="24"/>
        </w:rPr>
        <w:t xml:space="preserve"> is the natural logarithm of total assets. </w:t>
      </w:r>
      <w:r w:rsidRPr="00543569">
        <w:rPr>
          <w:rFonts w:ascii="Times New Roman" w:hAnsi="Times New Roman" w:cs="Times New Roman"/>
          <w:i/>
          <w:sz w:val="24"/>
          <w:szCs w:val="24"/>
        </w:rPr>
        <w:t>ASSETTURNOVER</w:t>
      </w:r>
      <w:r w:rsidRPr="00543569">
        <w:rPr>
          <w:rFonts w:ascii="Times New Roman" w:hAnsi="Times New Roman" w:cs="Times New Roman"/>
          <w:sz w:val="24"/>
          <w:szCs w:val="24"/>
        </w:rPr>
        <w:t xml:space="preserve"> is the ratio of total revenue to total assets. </w:t>
      </w:r>
      <w:r w:rsidRPr="00543569">
        <w:rPr>
          <w:rFonts w:ascii="Times New Roman" w:hAnsi="Times New Roman" w:cs="Times New Roman"/>
          <w:i/>
          <w:sz w:val="24"/>
          <w:szCs w:val="24"/>
        </w:rPr>
        <w:t>CURRATIO</w:t>
      </w:r>
      <w:r w:rsidRPr="00543569">
        <w:rPr>
          <w:rFonts w:ascii="Times New Roman" w:hAnsi="Times New Roman" w:cs="Times New Roman"/>
          <w:sz w:val="24"/>
          <w:szCs w:val="24"/>
        </w:rPr>
        <w:t xml:space="preserve"> is current assets to current liabilities. </w:t>
      </w:r>
      <w:r w:rsidRPr="00543569">
        <w:rPr>
          <w:rFonts w:ascii="Times New Roman" w:hAnsi="Times New Roman" w:cs="Times New Roman"/>
          <w:i/>
          <w:sz w:val="24"/>
          <w:szCs w:val="24"/>
        </w:rPr>
        <w:t>LEVERAGE</w:t>
      </w:r>
      <w:r w:rsidRPr="00543569">
        <w:rPr>
          <w:rFonts w:ascii="Times New Roman" w:hAnsi="Times New Roman" w:cs="Times New Roman"/>
          <w:sz w:val="24"/>
          <w:szCs w:val="24"/>
        </w:rPr>
        <w:t xml:space="preserve"> is the ratio of total debt to total assets. </w:t>
      </w:r>
      <w:r w:rsidRPr="00543569">
        <w:rPr>
          <w:rFonts w:ascii="Times New Roman" w:hAnsi="Times New Roman" w:cs="Times New Roman"/>
          <w:i/>
          <w:sz w:val="24"/>
          <w:szCs w:val="24"/>
        </w:rPr>
        <w:t>ROA</w:t>
      </w:r>
      <w:r w:rsidRPr="00543569">
        <w:rPr>
          <w:rFonts w:ascii="Times New Roman" w:hAnsi="Times New Roman" w:cs="Times New Roman"/>
          <w:sz w:val="24"/>
          <w:szCs w:val="24"/>
        </w:rPr>
        <w:t xml:space="preserve"> is the ratio of net income before extraordinary items to total assets. </w:t>
      </w:r>
      <w:r w:rsidRPr="00543569">
        <w:rPr>
          <w:rFonts w:ascii="Times New Roman" w:hAnsi="Times New Roman" w:cs="Times New Roman"/>
          <w:i/>
          <w:sz w:val="24"/>
          <w:szCs w:val="24"/>
        </w:rPr>
        <w:t>EGC</w:t>
      </w:r>
      <w:r w:rsidRPr="00543569">
        <w:rPr>
          <w:rFonts w:ascii="Times New Roman" w:hAnsi="Times New Roman" w:cs="Times New Roman"/>
          <w:sz w:val="24"/>
          <w:szCs w:val="24"/>
        </w:rPr>
        <w:t xml:space="preserve"> equal</w:t>
      </w:r>
      <w:r>
        <w:rPr>
          <w:rFonts w:ascii="Times New Roman" w:hAnsi="Times New Roman" w:cs="Times New Roman"/>
          <w:sz w:val="24"/>
          <w:szCs w:val="24"/>
        </w:rPr>
        <w:t>s</w:t>
      </w:r>
      <w:r w:rsidRPr="00543569">
        <w:rPr>
          <w:rFonts w:ascii="Times New Roman" w:hAnsi="Times New Roman" w:cs="Times New Roman"/>
          <w:sz w:val="24"/>
          <w:szCs w:val="24"/>
        </w:rPr>
        <w:t xml:space="preserve"> </w:t>
      </w:r>
      <w:r>
        <w:rPr>
          <w:rFonts w:ascii="Times New Roman" w:hAnsi="Times New Roman" w:cs="Times New Roman"/>
          <w:sz w:val="24"/>
          <w:szCs w:val="24"/>
        </w:rPr>
        <w:t>one</w:t>
      </w:r>
      <w:r w:rsidRPr="00543569">
        <w:rPr>
          <w:rFonts w:ascii="Times New Roman" w:hAnsi="Times New Roman" w:cs="Times New Roman"/>
          <w:sz w:val="24"/>
          <w:szCs w:val="24"/>
        </w:rPr>
        <w:t xml:space="preserve"> if a company is an emerging growth company, and </w:t>
      </w:r>
      <w:r>
        <w:rPr>
          <w:rFonts w:ascii="Times New Roman" w:hAnsi="Times New Roman" w:cs="Times New Roman"/>
          <w:sz w:val="24"/>
          <w:szCs w:val="24"/>
        </w:rPr>
        <w:t>zero</w:t>
      </w:r>
      <w:r w:rsidRPr="00543569">
        <w:rPr>
          <w:rFonts w:ascii="Times New Roman" w:hAnsi="Times New Roman" w:cs="Times New Roman"/>
          <w:sz w:val="24"/>
          <w:szCs w:val="24"/>
        </w:rPr>
        <w:t xml:space="preserve"> otherwise.</w:t>
      </w:r>
      <w:r w:rsidRPr="00543569">
        <w:rPr>
          <w:rStyle w:val="FootnoteReference"/>
          <w:rFonts w:ascii="Times New Roman" w:hAnsi="Times New Roman" w:cs="Times New Roman"/>
          <w:sz w:val="24"/>
          <w:szCs w:val="24"/>
        </w:rPr>
        <w:footnoteReference w:id="15"/>
      </w:r>
      <w:r w:rsidRPr="00543569">
        <w:rPr>
          <w:rFonts w:ascii="Times New Roman" w:hAnsi="Times New Roman" w:cs="Times New Roman"/>
          <w:sz w:val="24"/>
          <w:szCs w:val="24"/>
        </w:rPr>
        <w:t xml:space="preserve"> </w:t>
      </w:r>
      <w:r w:rsidRPr="00543569">
        <w:rPr>
          <w:rFonts w:ascii="Times New Roman" w:hAnsi="Times New Roman" w:cs="Times New Roman"/>
          <w:i/>
          <w:sz w:val="24"/>
          <w:szCs w:val="24"/>
        </w:rPr>
        <w:t>FOREIGNFIRM</w:t>
      </w:r>
      <w:r w:rsidRPr="00543569">
        <w:rPr>
          <w:rFonts w:ascii="Times New Roman" w:hAnsi="Times New Roman" w:cs="Times New Roman"/>
          <w:sz w:val="24"/>
          <w:szCs w:val="24"/>
        </w:rPr>
        <w:t xml:space="preserve"> is an indicator variable equal to </w:t>
      </w:r>
      <w:r>
        <w:rPr>
          <w:rFonts w:ascii="Times New Roman" w:hAnsi="Times New Roman" w:cs="Times New Roman"/>
          <w:sz w:val="24"/>
          <w:szCs w:val="24"/>
        </w:rPr>
        <w:t>one</w:t>
      </w:r>
      <w:r w:rsidRPr="00543569">
        <w:rPr>
          <w:rFonts w:ascii="Times New Roman" w:hAnsi="Times New Roman" w:cs="Times New Roman"/>
          <w:sz w:val="24"/>
          <w:szCs w:val="24"/>
        </w:rPr>
        <w:t xml:space="preserve"> if the firm is incorporated outside of the U.S., </w:t>
      </w:r>
      <w:r w:rsidRPr="00543569">
        <w:rPr>
          <w:rFonts w:ascii="Times New Roman" w:hAnsi="Times New Roman" w:cs="Times New Roman"/>
          <w:sz w:val="24"/>
          <w:szCs w:val="24"/>
        </w:rPr>
        <w:lastRenderedPageBreak/>
        <w:t xml:space="preserve">and </w:t>
      </w:r>
      <w:r>
        <w:rPr>
          <w:rFonts w:ascii="Times New Roman" w:hAnsi="Times New Roman" w:cs="Times New Roman"/>
          <w:sz w:val="24"/>
          <w:szCs w:val="24"/>
        </w:rPr>
        <w:t>zero</w:t>
      </w:r>
      <w:r w:rsidRPr="00543569">
        <w:rPr>
          <w:rFonts w:ascii="Times New Roman" w:hAnsi="Times New Roman" w:cs="Times New Roman"/>
          <w:sz w:val="24"/>
          <w:szCs w:val="24"/>
        </w:rPr>
        <w:t xml:space="preserve"> otherwise. We also include industry fixed effects (Fama</w:t>
      </w:r>
      <w:r>
        <w:rPr>
          <w:rFonts w:ascii="Times New Roman" w:hAnsi="Times New Roman" w:cs="Times New Roman"/>
          <w:sz w:val="24"/>
          <w:szCs w:val="24"/>
        </w:rPr>
        <w:t>-</w:t>
      </w:r>
      <w:r w:rsidRPr="00543569">
        <w:rPr>
          <w:rFonts w:ascii="Times New Roman" w:hAnsi="Times New Roman" w:cs="Times New Roman"/>
          <w:sz w:val="24"/>
          <w:szCs w:val="24"/>
        </w:rPr>
        <w:t xml:space="preserve">French </w:t>
      </w:r>
      <w:r>
        <w:rPr>
          <w:rFonts w:ascii="Times New Roman" w:hAnsi="Times New Roman" w:cs="Times New Roman"/>
          <w:sz w:val="24"/>
          <w:szCs w:val="24"/>
        </w:rPr>
        <w:t>12</w:t>
      </w:r>
      <w:r w:rsidR="00356DBD">
        <w:rPr>
          <w:rFonts w:ascii="Times New Roman" w:hAnsi="Times New Roman" w:cs="Times New Roman"/>
          <w:sz w:val="24"/>
          <w:szCs w:val="24"/>
        </w:rPr>
        <w:t xml:space="preserve"> industry classification</w:t>
      </w:r>
      <w:r w:rsidRPr="00543569">
        <w:rPr>
          <w:rFonts w:ascii="Times New Roman" w:hAnsi="Times New Roman" w:cs="Times New Roman"/>
          <w:sz w:val="24"/>
          <w:szCs w:val="24"/>
        </w:rPr>
        <w:t xml:space="preserve">). </w:t>
      </w:r>
    </w:p>
    <w:p w14:paraId="1560DF1F" w14:textId="1E22760D" w:rsidR="00B97BAD" w:rsidRPr="00350369" w:rsidRDefault="00B97BAD" w:rsidP="00B97BAD">
      <w:pPr>
        <w:rPr>
          <w:rFonts w:ascii="Times New Roman" w:hAnsi="Times New Roman" w:cs="Times New Roman"/>
          <w:i/>
          <w:sz w:val="24"/>
          <w:szCs w:val="24"/>
        </w:rPr>
      </w:pPr>
      <w:r w:rsidRPr="00350369">
        <w:rPr>
          <w:rFonts w:ascii="Times New Roman" w:hAnsi="Times New Roman" w:cs="Times New Roman"/>
          <w:i/>
          <w:sz w:val="24"/>
          <w:szCs w:val="24"/>
        </w:rPr>
        <w:t>4.</w:t>
      </w:r>
      <w:r w:rsidR="002A7CE9">
        <w:rPr>
          <w:rFonts w:ascii="Times New Roman" w:hAnsi="Times New Roman" w:cs="Times New Roman"/>
          <w:i/>
          <w:sz w:val="24"/>
          <w:szCs w:val="24"/>
        </w:rPr>
        <w:t>1.</w:t>
      </w:r>
      <w:r>
        <w:rPr>
          <w:rFonts w:ascii="Times New Roman" w:hAnsi="Times New Roman" w:cs="Times New Roman"/>
          <w:i/>
          <w:sz w:val="24"/>
          <w:szCs w:val="24"/>
        </w:rPr>
        <w:t>2</w:t>
      </w:r>
      <w:r w:rsidRPr="00350369">
        <w:rPr>
          <w:rFonts w:ascii="Times New Roman" w:hAnsi="Times New Roman" w:cs="Times New Roman"/>
          <w:i/>
          <w:sz w:val="24"/>
          <w:szCs w:val="24"/>
        </w:rPr>
        <w:t>.</w:t>
      </w:r>
      <w:r w:rsidRPr="00350369">
        <w:rPr>
          <w:rFonts w:ascii="Times New Roman" w:hAnsi="Times New Roman" w:cs="Times New Roman"/>
          <w:i/>
          <w:sz w:val="24"/>
          <w:szCs w:val="24"/>
        </w:rPr>
        <w:tab/>
        <w:t xml:space="preserve">Earnings </w:t>
      </w:r>
      <w:r>
        <w:rPr>
          <w:rFonts w:ascii="Times New Roman" w:hAnsi="Times New Roman" w:cs="Times New Roman"/>
          <w:i/>
          <w:sz w:val="24"/>
          <w:szCs w:val="24"/>
        </w:rPr>
        <w:t xml:space="preserve">and Accruals </w:t>
      </w:r>
      <w:r w:rsidRPr="00350369">
        <w:rPr>
          <w:rFonts w:ascii="Times New Roman" w:hAnsi="Times New Roman" w:cs="Times New Roman"/>
          <w:i/>
          <w:sz w:val="24"/>
          <w:szCs w:val="24"/>
        </w:rPr>
        <w:t>Persistence</w:t>
      </w:r>
    </w:p>
    <w:p w14:paraId="405C634E" w14:textId="2D717756" w:rsidR="00B97BAD" w:rsidRPr="00350369" w:rsidRDefault="00B97BAD" w:rsidP="00B97BAD">
      <w:pPr>
        <w:autoSpaceDE w:val="0"/>
        <w:autoSpaceDN w:val="0"/>
        <w:adjustRightInd w:val="0"/>
        <w:spacing w:after="0" w:line="480" w:lineRule="auto"/>
        <w:ind w:firstLine="720"/>
        <w:jc w:val="both"/>
        <w:rPr>
          <w:rFonts w:ascii="Times New Roman" w:hAnsi="Times New Roman" w:cs="Times New Roman"/>
          <w:sz w:val="24"/>
          <w:szCs w:val="24"/>
        </w:rPr>
      </w:pPr>
      <w:r w:rsidRPr="00350369">
        <w:rPr>
          <w:rFonts w:ascii="Times New Roman" w:hAnsi="Times New Roman" w:cs="Times New Roman"/>
          <w:sz w:val="24"/>
          <w:szCs w:val="24"/>
        </w:rPr>
        <w:t xml:space="preserve">Prior </w:t>
      </w:r>
      <w:r>
        <w:rPr>
          <w:rFonts w:ascii="Times New Roman" w:hAnsi="Times New Roman" w:cs="Times New Roman"/>
          <w:sz w:val="24"/>
          <w:szCs w:val="24"/>
        </w:rPr>
        <w:t xml:space="preserve">studies use earnings persistence as </w:t>
      </w:r>
      <w:r w:rsidR="00AA1085">
        <w:rPr>
          <w:rFonts w:ascii="Times New Roman" w:hAnsi="Times New Roman" w:cs="Times New Roman"/>
          <w:sz w:val="24"/>
          <w:szCs w:val="24"/>
        </w:rPr>
        <w:t xml:space="preserve">a </w:t>
      </w:r>
      <w:r>
        <w:rPr>
          <w:rFonts w:ascii="Times New Roman" w:hAnsi="Times New Roman" w:cs="Times New Roman"/>
          <w:sz w:val="24"/>
          <w:szCs w:val="24"/>
        </w:rPr>
        <w:t>proxy for financial reporting quality because higher earnings p</w:t>
      </w:r>
      <w:r w:rsidRPr="00350369">
        <w:rPr>
          <w:rFonts w:ascii="Times New Roman" w:hAnsi="Times New Roman" w:cs="Times New Roman"/>
          <w:sz w:val="24"/>
          <w:szCs w:val="24"/>
        </w:rPr>
        <w:t>ersisten</w:t>
      </w:r>
      <w:r>
        <w:rPr>
          <w:rFonts w:ascii="Times New Roman" w:hAnsi="Times New Roman" w:cs="Times New Roman"/>
          <w:sz w:val="24"/>
          <w:szCs w:val="24"/>
        </w:rPr>
        <w:t xml:space="preserve">ce suggests more predictable earnings </w:t>
      </w:r>
      <w:r w:rsidRPr="00350369">
        <w:rPr>
          <w:rFonts w:ascii="Times New Roman" w:hAnsi="Times New Roman" w:cs="Times New Roman"/>
          <w:sz w:val="24"/>
          <w:szCs w:val="24"/>
        </w:rPr>
        <w:t xml:space="preserve">(e.g., Penman and Zhang 2002; Francis, LaFond Olsson, and Schipper 2004). </w:t>
      </w:r>
      <w:r>
        <w:rPr>
          <w:rFonts w:ascii="Times New Roman" w:hAnsi="Times New Roman" w:cs="Times New Roman"/>
          <w:sz w:val="24"/>
          <w:szCs w:val="24"/>
        </w:rPr>
        <w:t>Consistent with the premise that earnings persistence serves as metric for earnings/reporting quality, e</w:t>
      </w:r>
      <w:r w:rsidRPr="00350369">
        <w:rPr>
          <w:rFonts w:ascii="Times New Roman" w:hAnsi="Times New Roman" w:cs="Times New Roman"/>
          <w:sz w:val="24"/>
          <w:szCs w:val="24"/>
        </w:rPr>
        <w:t xml:space="preserve">mpirical </w:t>
      </w:r>
      <w:r>
        <w:rPr>
          <w:rFonts w:ascii="Times New Roman" w:hAnsi="Times New Roman" w:cs="Times New Roman"/>
          <w:sz w:val="24"/>
          <w:szCs w:val="24"/>
        </w:rPr>
        <w:t xml:space="preserve">studies document that </w:t>
      </w:r>
      <w:r w:rsidRPr="00350369">
        <w:rPr>
          <w:rFonts w:ascii="Times New Roman" w:hAnsi="Times New Roman" w:cs="Times New Roman"/>
          <w:sz w:val="24"/>
          <w:szCs w:val="24"/>
        </w:rPr>
        <w:t>more persisten</w:t>
      </w:r>
      <w:r>
        <w:rPr>
          <w:rFonts w:ascii="Times New Roman" w:hAnsi="Times New Roman" w:cs="Times New Roman"/>
          <w:sz w:val="24"/>
          <w:szCs w:val="24"/>
        </w:rPr>
        <w:t>t</w:t>
      </w:r>
      <w:r w:rsidRPr="00350369">
        <w:rPr>
          <w:rFonts w:ascii="Times New Roman" w:hAnsi="Times New Roman" w:cs="Times New Roman"/>
          <w:sz w:val="24"/>
          <w:szCs w:val="24"/>
        </w:rPr>
        <w:t xml:space="preserve"> earnings are associated larger stock price reactions (Kormendi and Lipe 1987; Collins and Kothari 1989) and with lower costs of capital (Francis et al. 2004). </w:t>
      </w:r>
      <w:r>
        <w:rPr>
          <w:rFonts w:ascii="Times New Roman" w:hAnsi="Times New Roman" w:cs="Times New Roman"/>
          <w:sz w:val="24"/>
          <w:szCs w:val="24"/>
        </w:rPr>
        <w:t xml:space="preserve">Therefore, we rely on earnings persistence as a second proxy for financial reporting quality. </w:t>
      </w:r>
      <w:r w:rsidRPr="00350369">
        <w:rPr>
          <w:rFonts w:ascii="Times New Roman" w:hAnsi="Times New Roman" w:cs="Times New Roman"/>
          <w:sz w:val="24"/>
          <w:szCs w:val="24"/>
        </w:rPr>
        <w:t xml:space="preserve">To </w:t>
      </w:r>
      <w:r>
        <w:rPr>
          <w:rFonts w:ascii="Times New Roman" w:hAnsi="Times New Roman" w:cs="Times New Roman"/>
          <w:sz w:val="24"/>
          <w:szCs w:val="24"/>
        </w:rPr>
        <w:t xml:space="preserve">capture differences in </w:t>
      </w:r>
      <w:r w:rsidRPr="00350369">
        <w:rPr>
          <w:rFonts w:ascii="Times New Roman" w:hAnsi="Times New Roman" w:cs="Times New Roman"/>
          <w:sz w:val="24"/>
          <w:szCs w:val="24"/>
        </w:rPr>
        <w:t xml:space="preserve">earnings </w:t>
      </w:r>
      <w:r>
        <w:rPr>
          <w:rFonts w:ascii="Times New Roman" w:hAnsi="Times New Roman" w:cs="Times New Roman"/>
          <w:sz w:val="24"/>
          <w:szCs w:val="24"/>
        </w:rPr>
        <w:t xml:space="preserve">persistence between </w:t>
      </w:r>
      <w:r w:rsidRPr="00350369">
        <w:rPr>
          <w:rFonts w:ascii="Times New Roman" w:hAnsi="Times New Roman" w:cs="Times New Roman"/>
          <w:sz w:val="24"/>
          <w:szCs w:val="24"/>
        </w:rPr>
        <w:t>SPAC</w:t>
      </w:r>
      <w:r>
        <w:rPr>
          <w:rFonts w:ascii="Times New Roman" w:hAnsi="Times New Roman" w:cs="Times New Roman"/>
          <w:sz w:val="24"/>
          <w:szCs w:val="24"/>
        </w:rPr>
        <w:t xml:space="preserve">- and non-SPAC-IPOs, </w:t>
      </w:r>
      <w:r w:rsidRPr="00350369">
        <w:rPr>
          <w:rFonts w:ascii="Times New Roman" w:hAnsi="Times New Roman" w:cs="Times New Roman"/>
          <w:sz w:val="24"/>
          <w:szCs w:val="24"/>
        </w:rPr>
        <w:t>we estimate the following model</w:t>
      </w:r>
      <w:r>
        <w:rPr>
          <w:rFonts w:ascii="Times New Roman" w:hAnsi="Times New Roman" w:cs="Times New Roman"/>
          <w:sz w:val="24"/>
          <w:szCs w:val="24"/>
        </w:rPr>
        <w:t>.</w:t>
      </w:r>
      <w:r w:rsidRPr="00350369">
        <w:rPr>
          <w:rFonts w:ascii="Times New Roman" w:hAnsi="Times New Roman" w:cs="Times New Roman"/>
          <w:sz w:val="24"/>
          <w:szCs w:val="24"/>
        </w:rPr>
        <w:t xml:space="preserve"> </w:t>
      </w:r>
    </w:p>
    <w:p w14:paraId="335A8645" w14:textId="5BA88F69" w:rsidR="00B97BAD" w:rsidRPr="002252E7" w:rsidRDefault="00B97BAD" w:rsidP="00B97BAD">
      <w:pPr>
        <w:spacing w:after="0" w:line="480" w:lineRule="auto"/>
        <w:ind w:firstLine="720"/>
        <w:jc w:val="both"/>
        <w:rPr>
          <w:rFonts w:ascii="Times New Roman" w:hAnsi="Times New Roman" w:cs="Times New Roman"/>
          <w:color w:val="000000"/>
        </w:rPr>
      </w:pPr>
      <w:r w:rsidRPr="002252E7">
        <w:rPr>
          <w:rFonts w:ascii="Times New Roman" w:hAnsi="Times New Roman" w:cs="Times New Roman"/>
          <w:i/>
        </w:rPr>
        <w:t>EARN</w:t>
      </w:r>
      <w:r w:rsidRPr="002252E7">
        <w:rPr>
          <w:rFonts w:ascii="Times New Roman" w:hAnsi="Times New Roman" w:cs="Times New Roman"/>
          <w:i/>
          <w:vertAlign w:val="subscript"/>
        </w:rPr>
        <w:t>t</w:t>
      </w:r>
      <w:r w:rsidRPr="002252E7">
        <w:rPr>
          <w:rFonts w:ascii="Times New Roman" w:hAnsi="Times New Roman" w:cs="Times New Roman"/>
          <w:i/>
          <w:color w:val="000000"/>
        </w:rPr>
        <w:t xml:space="preserve"> = γ</w:t>
      </w:r>
      <w:r w:rsidRPr="002252E7">
        <w:rPr>
          <w:rFonts w:ascii="Times New Roman" w:hAnsi="Times New Roman" w:cs="Times New Roman"/>
          <w:i/>
          <w:color w:val="000000"/>
          <w:vertAlign w:val="subscript"/>
        </w:rPr>
        <w:t xml:space="preserve">0 </w:t>
      </w:r>
      <w:r w:rsidRPr="002252E7">
        <w:rPr>
          <w:rFonts w:ascii="Times New Roman" w:hAnsi="Times New Roman" w:cs="Times New Roman"/>
          <w:i/>
          <w:color w:val="000000"/>
        </w:rPr>
        <w:t>+ γ</w:t>
      </w:r>
      <w:r w:rsidRPr="002252E7">
        <w:rPr>
          <w:rFonts w:ascii="Times New Roman" w:hAnsi="Times New Roman" w:cs="Times New Roman"/>
          <w:i/>
          <w:color w:val="000000"/>
          <w:vertAlign w:val="subscript"/>
        </w:rPr>
        <w:t>1</w:t>
      </w:r>
      <w:r w:rsidRPr="002252E7">
        <w:rPr>
          <w:rFonts w:ascii="Times New Roman" w:hAnsi="Times New Roman" w:cs="Times New Roman"/>
          <w:i/>
          <w:color w:val="000000"/>
        </w:rPr>
        <w:t>SPAC-IPO</w:t>
      </w:r>
      <w:r w:rsidRPr="002252E7" w:rsidDel="00685F24">
        <w:rPr>
          <w:rFonts w:ascii="Times New Roman" w:hAnsi="Times New Roman" w:cs="Times New Roman"/>
          <w:i/>
          <w:color w:val="000000"/>
        </w:rPr>
        <w:t xml:space="preserve"> </w:t>
      </w:r>
      <w:r w:rsidRPr="002252E7">
        <w:rPr>
          <w:rFonts w:ascii="Times New Roman" w:hAnsi="Times New Roman" w:cs="Times New Roman"/>
          <w:i/>
          <w:color w:val="000000"/>
        </w:rPr>
        <w:t>+ γ</w:t>
      </w:r>
      <w:r w:rsidRPr="002252E7">
        <w:rPr>
          <w:rFonts w:ascii="Times New Roman" w:hAnsi="Times New Roman" w:cs="Times New Roman"/>
          <w:i/>
          <w:color w:val="000000"/>
          <w:vertAlign w:val="subscript"/>
        </w:rPr>
        <w:t>2</w:t>
      </w:r>
      <w:r w:rsidRPr="002252E7">
        <w:rPr>
          <w:rFonts w:ascii="Times New Roman" w:hAnsi="Times New Roman" w:cs="Times New Roman"/>
          <w:i/>
          <w:color w:val="000000"/>
        </w:rPr>
        <w:t>EARN</w:t>
      </w:r>
      <w:r w:rsidRPr="002252E7">
        <w:rPr>
          <w:rFonts w:ascii="Times New Roman" w:hAnsi="Times New Roman" w:cs="Times New Roman"/>
          <w:i/>
          <w:vertAlign w:val="subscript"/>
        </w:rPr>
        <w:t xml:space="preserve">t-1 </w:t>
      </w:r>
      <w:r w:rsidRPr="002252E7">
        <w:rPr>
          <w:rFonts w:ascii="Times New Roman" w:hAnsi="Times New Roman" w:cs="Times New Roman"/>
          <w:i/>
          <w:color w:val="000000"/>
        </w:rPr>
        <w:t>+ γ</w:t>
      </w:r>
      <w:r w:rsidRPr="002252E7">
        <w:rPr>
          <w:rFonts w:ascii="Times New Roman" w:hAnsi="Times New Roman" w:cs="Times New Roman"/>
          <w:i/>
          <w:color w:val="000000"/>
          <w:vertAlign w:val="subscript"/>
        </w:rPr>
        <w:t>3</w:t>
      </w:r>
      <w:r w:rsidRPr="002252E7">
        <w:rPr>
          <w:rFonts w:ascii="Times New Roman" w:hAnsi="Times New Roman" w:cs="Times New Roman"/>
          <w:i/>
          <w:color w:val="000000"/>
        </w:rPr>
        <w:t>SPAC-IPO×EARN</w:t>
      </w:r>
      <w:r w:rsidRPr="002252E7">
        <w:rPr>
          <w:rFonts w:ascii="Times New Roman" w:hAnsi="Times New Roman" w:cs="Times New Roman"/>
          <w:i/>
          <w:vertAlign w:val="subscript"/>
        </w:rPr>
        <w:t xml:space="preserve">t-1 </w:t>
      </w:r>
      <w:r w:rsidRPr="002252E7">
        <w:rPr>
          <w:rFonts w:ascii="Times New Roman" w:hAnsi="Times New Roman" w:cs="Times New Roman"/>
          <w:i/>
        </w:rPr>
        <w:t>+</w:t>
      </w:r>
      <w:r w:rsidR="00AA1085">
        <w:rPr>
          <w:rFonts w:ascii="Times New Roman" w:hAnsi="Times New Roman" w:cs="Times New Roman"/>
          <w:i/>
        </w:rPr>
        <w:t xml:space="preserve"> </w:t>
      </w:r>
      <w:r w:rsidR="00AA1085" w:rsidRPr="00A0626B">
        <w:rPr>
          <w:rFonts w:ascii="Times New Roman" w:hAnsi="Times New Roman" w:cs="Times New Roman"/>
          <w:i/>
        </w:rPr>
        <w:t>FIXED EFFECTS</w:t>
      </w:r>
      <w:r w:rsidR="00AA1085">
        <w:rPr>
          <w:rFonts w:ascii="Times New Roman" w:hAnsi="Times New Roman" w:cs="Times New Roman"/>
        </w:rPr>
        <w:t xml:space="preserve"> +</w:t>
      </w:r>
      <w:r w:rsidRPr="002252E7">
        <w:rPr>
          <w:rFonts w:ascii="Times New Roman" w:hAnsi="Times New Roman" w:cs="Times New Roman"/>
          <w:i/>
        </w:rPr>
        <w:t xml:space="preserve"> </w:t>
      </w:r>
      <w:r w:rsidRPr="002252E7">
        <w:rPr>
          <w:rFonts w:ascii="Times New Roman" w:hAnsi="Times New Roman" w:cs="Times New Roman"/>
          <w:i/>
          <w:color w:val="000000"/>
        </w:rPr>
        <w:sym w:font="Symbol" w:char="F065"/>
      </w:r>
      <w:r w:rsidRPr="002252E7">
        <w:rPr>
          <w:rFonts w:ascii="Times New Roman" w:hAnsi="Times New Roman" w:cs="Times New Roman"/>
          <w:i/>
          <w:color w:val="000000"/>
          <w:vertAlign w:val="subscript"/>
        </w:rPr>
        <w:t>t</w:t>
      </w:r>
      <w:r>
        <w:rPr>
          <w:rFonts w:ascii="Times New Roman" w:hAnsi="Times New Roman" w:cs="Times New Roman"/>
          <w:i/>
          <w:color w:val="000000"/>
        </w:rPr>
        <w:t xml:space="preserve">             </w:t>
      </w:r>
      <w:r w:rsidRPr="002252E7">
        <w:rPr>
          <w:rFonts w:ascii="Times New Roman" w:hAnsi="Times New Roman" w:cs="Times New Roman"/>
          <w:color w:val="000000"/>
        </w:rPr>
        <w:t>(</w:t>
      </w:r>
      <w:r>
        <w:rPr>
          <w:rFonts w:ascii="Times New Roman" w:hAnsi="Times New Roman" w:cs="Times New Roman"/>
          <w:color w:val="000000"/>
        </w:rPr>
        <w:t>2</w:t>
      </w:r>
      <w:r w:rsidRPr="002252E7">
        <w:rPr>
          <w:rFonts w:ascii="Times New Roman" w:hAnsi="Times New Roman" w:cs="Times New Roman"/>
          <w:color w:val="000000"/>
        </w:rPr>
        <w:t>)</w:t>
      </w:r>
    </w:p>
    <w:p w14:paraId="32DDE43A" w14:textId="77777777" w:rsidR="00B97BAD" w:rsidRPr="00350369" w:rsidRDefault="00B97BAD" w:rsidP="00B97BAD">
      <w:pPr>
        <w:spacing w:after="0" w:line="480" w:lineRule="auto"/>
        <w:ind w:firstLine="720"/>
        <w:jc w:val="both"/>
        <w:rPr>
          <w:rFonts w:ascii="Times New Roman" w:hAnsi="Times New Roman" w:cs="Times New Roman"/>
          <w:color w:val="000000"/>
          <w:sz w:val="24"/>
        </w:rPr>
      </w:pPr>
      <w:r w:rsidRPr="00350369">
        <w:rPr>
          <w:rFonts w:ascii="Times New Roman" w:hAnsi="Times New Roman" w:cs="Times New Roman"/>
          <w:i/>
          <w:color w:val="000000"/>
          <w:sz w:val="24"/>
        </w:rPr>
        <w:t>EARN</w:t>
      </w:r>
      <w:r w:rsidRPr="00350369">
        <w:rPr>
          <w:rFonts w:ascii="Times New Roman" w:hAnsi="Times New Roman" w:cs="Times New Roman"/>
          <w:color w:val="000000"/>
          <w:sz w:val="24"/>
        </w:rPr>
        <w:t xml:space="preserve"> is income before extraordinary items scaled by the end of </w:t>
      </w:r>
      <w:r>
        <w:rPr>
          <w:rFonts w:ascii="Times New Roman" w:hAnsi="Times New Roman" w:cs="Times New Roman"/>
          <w:color w:val="000000"/>
          <w:sz w:val="24"/>
        </w:rPr>
        <w:t xml:space="preserve">the </w:t>
      </w:r>
      <w:r w:rsidRPr="00350369">
        <w:rPr>
          <w:rFonts w:ascii="Times New Roman" w:hAnsi="Times New Roman" w:cs="Times New Roman"/>
          <w:color w:val="000000"/>
          <w:sz w:val="24"/>
        </w:rPr>
        <w:t xml:space="preserve">year total assets for year t. The coefficient </w:t>
      </w:r>
      <w:r w:rsidRPr="00350369">
        <w:rPr>
          <w:rFonts w:ascii="Times New Roman" w:hAnsi="Times New Roman" w:cs="Times New Roman"/>
          <w:i/>
          <w:color w:val="000000"/>
          <w:sz w:val="24"/>
        </w:rPr>
        <w:t>γ</w:t>
      </w:r>
      <w:r>
        <w:rPr>
          <w:rFonts w:ascii="Times New Roman" w:hAnsi="Times New Roman" w:cs="Times New Roman"/>
          <w:i/>
          <w:color w:val="000000"/>
          <w:sz w:val="24"/>
          <w:vertAlign w:val="subscript"/>
        </w:rPr>
        <w:t>2</w:t>
      </w:r>
      <w:r w:rsidRPr="00350369">
        <w:rPr>
          <w:rFonts w:ascii="Times New Roman" w:hAnsi="Times New Roman" w:cs="Times New Roman"/>
          <w:i/>
          <w:color w:val="000000"/>
          <w:sz w:val="24"/>
          <w:vertAlign w:val="subscript"/>
        </w:rPr>
        <w:t xml:space="preserve"> </w:t>
      </w:r>
      <w:r w:rsidRPr="00350369">
        <w:rPr>
          <w:rFonts w:ascii="Times New Roman" w:hAnsi="Times New Roman" w:cs="Times New Roman"/>
          <w:color w:val="000000"/>
          <w:sz w:val="24"/>
        </w:rPr>
        <w:t xml:space="preserve">measures earnings persistence of </w:t>
      </w:r>
      <w:r>
        <w:rPr>
          <w:rFonts w:ascii="Times New Roman" w:hAnsi="Times New Roman" w:cs="Times New Roman"/>
          <w:color w:val="000000"/>
          <w:sz w:val="24"/>
        </w:rPr>
        <w:t>non-SPAC-</w:t>
      </w:r>
      <w:r w:rsidRPr="00350369">
        <w:rPr>
          <w:rFonts w:ascii="Times New Roman" w:hAnsi="Times New Roman" w:cs="Times New Roman"/>
          <w:color w:val="000000"/>
          <w:sz w:val="24"/>
        </w:rPr>
        <w:t>IPO</w:t>
      </w:r>
      <w:r>
        <w:rPr>
          <w:rFonts w:ascii="Times New Roman" w:hAnsi="Times New Roman" w:cs="Times New Roman"/>
          <w:color w:val="000000"/>
          <w:sz w:val="24"/>
        </w:rPr>
        <w:t xml:space="preserve">s, while </w:t>
      </w:r>
      <w:r w:rsidRPr="00350369">
        <w:rPr>
          <w:rFonts w:ascii="Times New Roman" w:hAnsi="Times New Roman" w:cs="Times New Roman"/>
          <w:i/>
          <w:color w:val="000000"/>
          <w:sz w:val="24"/>
        </w:rPr>
        <w:t>γ</w:t>
      </w:r>
      <w:r>
        <w:rPr>
          <w:rFonts w:ascii="Times New Roman" w:hAnsi="Times New Roman" w:cs="Times New Roman"/>
          <w:i/>
          <w:color w:val="000000"/>
          <w:sz w:val="24"/>
          <w:vertAlign w:val="subscript"/>
        </w:rPr>
        <w:t>3</w:t>
      </w:r>
      <w:r w:rsidRPr="00350369">
        <w:rPr>
          <w:rFonts w:ascii="Times New Roman" w:hAnsi="Times New Roman" w:cs="Times New Roman"/>
          <w:i/>
          <w:color w:val="000000"/>
          <w:sz w:val="24"/>
          <w:vertAlign w:val="subscript"/>
        </w:rPr>
        <w:t xml:space="preserve"> </w:t>
      </w:r>
      <w:r w:rsidRPr="00350369">
        <w:rPr>
          <w:rFonts w:ascii="Times New Roman" w:hAnsi="Times New Roman" w:cs="Times New Roman"/>
          <w:color w:val="000000"/>
          <w:sz w:val="24"/>
        </w:rPr>
        <w:t xml:space="preserve">measures the </w:t>
      </w:r>
      <w:r>
        <w:rPr>
          <w:rFonts w:ascii="Times New Roman" w:hAnsi="Times New Roman" w:cs="Times New Roman"/>
          <w:color w:val="000000"/>
          <w:sz w:val="24"/>
        </w:rPr>
        <w:t xml:space="preserve">incremental difference in </w:t>
      </w:r>
      <w:r w:rsidRPr="00350369">
        <w:rPr>
          <w:rFonts w:ascii="Times New Roman" w:hAnsi="Times New Roman" w:cs="Times New Roman"/>
          <w:color w:val="000000"/>
          <w:sz w:val="24"/>
        </w:rPr>
        <w:t xml:space="preserve">earnings persistence </w:t>
      </w:r>
      <w:r>
        <w:rPr>
          <w:rFonts w:ascii="Times New Roman" w:hAnsi="Times New Roman" w:cs="Times New Roman"/>
          <w:color w:val="000000"/>
          <w:sz w:val="24"/>
        </w:rPr>
        <w:t>between SPAC- and non-SPAC-IPOs</w:t>
      </w:r>
      <w:r w:rsidRPr="00350369">
        <w:rPr>
          <w:rFonts w:ascii="Times New Roman" w:hAnsi="Times New Roman" w:cs="Times New Roman"/>
          <w:color w:val="000000"/>
          <w:sz w:val="24"/>
        </w:rPr>
        <w:t xml:space="preserve">. </w:t>
      </w:r>
      <w:r>
        <w:rPr>
          <w:rFonts w:ascii="Times New Roman" w:hAnsi="Times New Roman" w:cs="Times New Roman"/>
          <w:color w:val="000000"/>
          <w:sz w:val="24"/>
        </w:rPr>
        <w:t xml:space="preserve">According to Hypothesis 2, </w:t>
      </w:r>
      <w:r w:rsidRPr="00350369">
        <w:rPr>
          <w:rFonts w:ascii="Times New Roman" w:hAnsi="Times New Roman" w:cs="Times New Roman"/>
          <w:i/>
          <w:color w:val="000000"/>
          <w:sz w:val="24"/>
        </w:rPr>
        <w:t>γ</w:t>
      </w:r>
      <w:r w:rsidRPr="00350369">
        <w:rPr>
          <w:rFonts w:ascii="Times New Roman" w:hAnsi="Times New Roman" w:cs="Times New Roman"/>
          <w:i/>
          <w:color w:val="000000"/>
          <w:sz w:val="24"/>
          <w:vertAlign w:val="subscript"/>
        </w:rPr>
        <w:t xml:space="preserve">3 </w:t>
      </w:r>
      <w:r>
        <w:rPr>
          <w:rFonts w:ascii="Times New Roman" w:hAnsi="Times New Roman" w:cs="Times New Roman"/>
          <w:color w:val="000000"/>
          <w:sz w:val="24"/>
        </w:rPr>
        <w:t xml:space="preserve">is </w:t>
      </w:r>
      <w:r w:rsidRPr="00350369">
        <w:rPr>
          <w:rFonts w:ascii="Times New Roman" w:hAnsi="Times New Roman" w:cs="Times New Roman"/>
          <w:color w:val="000000"/>
          <w:sz w:val="24"/>
        </w:rPr>
        <w:t>negativ</w:t>
      </w:r>
      <w:r>
        <w:rPr>
          <w:rFonts w:ascii="Times New Roman" w:hAnsi="Times New Roman" w:cs="Times New Roman"/>
          <w:color w:val="000000"/>
          <w:sz w:val="24"/>
        </w:rPr>
        <w:t xml:space="preserve">e. </w:t>
      </w:r>
      <w:r w:rsidRPr="00350369">
        <w:rPr>
          <w:rFonts w:ascii="Times New Roman" w:hAnsi="Times New Roman" w:cs="Times New Roman"/>
          <w:color w:val="000000"/>
          <w:sz w:val="24"/>
        </w:rPr>
        <w:t xml:space="preserve">We </w:t>
      </w:r>
      <w:r>
        <w:rPr>
          <w:rFonts w:ascii="Times New Roman" w:hAnsi="Times New Roman" w:cs="Times New Roman"/>
          <w:color w:val="000000"/>
          <w:sz w:val="24"/>
        </w:rPr>
        <w:t xml:space="preserve">also </w:t>
      </w:r>
      <w:r w:rsidRPr="00350369">
        <w:rPr>
          <w:rFonts w:ascii="Times New Roman" w:hAnsi="Times New Roman" w:cs="Times New Roman"/>
          <w:color w:val="000000"/>
          <w:sz w:val="24"/>
        </w:rPr>
        <w:t>decompose earnings into accrual</w:t>
      </w:r>
      <w:r>
        <w:rPr>
          <w:rFonts w:ascii="Times New Roman" w:hAnsi="Times New Roman" w:cs="Times New Roman"/>
          <w:color w:val="000000"/>
          <w:sz w:val="24"/>
        </w:rPr>
        <w:t>s</w:t>
      </w:r>
      <w:r w:rsidRPr="00350369">
        <w:rPr>
          <w:rFonts w:ascii="Times New Roman" w:hAnsi="Times New Roman" w:cs="Times New Roman"/>
          <w:color w:val="000000"/>
          <w:sz w:val="24"/>
        </w:rPr>
        <w:t xml:space="preserve"> and cash flow</w:t>
      </w:r>
      <w:r>
        <w:rPr>
          <w:rFonts w:ascii="Times New Roman" w:hAnsi="Times New Roman" w:cs="Times New Roman"/>
          <w:color w:val="000000"/>
          <w:sz w:val="24"/>
        </w:rPr>
        <w:t>s</w:t>
      </w:r>
      <w:r w:rsidRPr="00350369">
        <w:rPr>
          <w:rFonts w:ascii="Times New Roman" w:hAnsi="Times New Roman" w:cs="Times New Roman"/>
          <w:color w:val="000000"/>
          <w:sz w:val="24"/>
        </w:rPr>
        <w:t xml:space="preserve"> to investigate whether </w:t>
      </w:r>
      <w:r>
        <w:rPr>
          <w:rFonts w:ascii="Times New Roman" w:hAnsi="Times New Roman" w:cs="Times New Roman"/>
          <w:color w:val="000000"/>
          <w:sz w:val="24"/>
        </w:rPr>
        <w:t xml:space="preserve">the differences </w:t>
      </w:r>
      <w:r w:rsidRPr="00350369">
        <w:rPr>
          <w:rFonts w:ascii="Times New Roman" w:hAnsi="Times New Roman" w:cs="Times New Roman"/>
          <w:color w:val="000000"/>
          <w:sz w:val="24"/>
        </w:rPr>
        <w:t xml:space="preserve">in persistence </w:t>
      </w:r>
      <w:r>
        <w:rPr>
          <w:rFonts w:ascii="Times New Roman" w:hAnsi="Times New Roman" w:cs="Times New Roman"/>
          <w:color w:val="000000"/>
          <w:sz w:val="24"/>
        </w:rPr>
        <w:t>are attributable to the variations in the predictability of accruals. Accor</w:t>
      </w:r>
      <w:r w:rsidRPr="00350369">
        <w:rPr>
          <w:rFonts w:ascii="Times New Roman" w:hAnsi="Times New Roman" w:cs="Times New Roman"/>
          <w:color w:val="000000"/>
          <w:sz w:val="24"/>
        </w:rPr>
        <w:t>dingly, we estimate the following model</w:t>
      </w:r>
      <w:r>
        <w:rPr>
          <w:rFonts w:ascii="Times New Roman" w:hAnsi="Times New Roman" w:cs="Times New Roman"/>
          <w:color w:val="000000"/>
          <w:sz w:val="24"/>
        </w:rPr>
        <w:t>.</w:t>
      </w:r>
    </w:p>
    <w:p w14:paraId="058952C6" w14:textId="77777777" w:rsidR="00B97BAD" w:rsidRDefault="00B97BAD" w:rsidP="00B97BAD">
      <w:pPr>
        <w:tabs>
          <w:tab w:val="left" w:pos="2880"/>
          <w:tab w:val="left" w:pos="3600"/>
          <w:tab w:val="left" w:pos="4320"/>
          <w:tab w:val="left" w:pos="5040"/>
          <w:tab w:val="left" w:pos="5760"/>
          <w:tab w:val="left" w:pos="6480"/>
          <w:tab w:val="right" w:pos="9360"/>
        </w:tabs>
        <w:spacing w:after="0" w:line="240" w:lineRule="auto"/>
        <w:ind w:left="2160" w:hanging="1440"/>
        <w:jc w:val="both"/>
        <w:rPr>
          <w:rFonts w:ascii="Times New Roman" w:hAnsi="Times New Roman" w:cs="Times New Roman"/>
          <w:i/>
          <w:vertAlign w:val="subscript"/>
        </w:rPr>
      </w:pPr>
      <w:r w:rsidRPr="002252E7">
        <w:rPr>
          <w:rFonts w:ascii="Times New Roman" w:hAnsi="Times New Roman" w:cs="Times New Roman"/>
          <w:i/>
        </w:rPr>
        <w:t>EARN</w:t>
      </w:r>
      <w:r w:rsidRPr="002252E7">
        <w:rPr>
          <w:rFonts w:ascii="Times New Roman" w:hAnsi="Times New Roman" w:cs="Times New Roman"/>
          <w:i/>
          <w:vertAlign w:val="subscript"/>
        </w:rPr>
        <w:t>t</w:t>
      </w:r>
      <w:r w:rsidRPr="002252E7">
        <w:rPr>
          <w:rFonts w:ascii="Times New Roman" w:hAnsi="Times New Roman" w:cs="Times New Roman"/>
          <w:i/>
          <w:color w:val="000000"/>
        </w:rPr>
        <w:t xml:space="preserve"> = γ</w:t>
      </w:r>
      <w:r w:rsidRPr="002252E7">
        <w:rPr>
          <w:rFonts w:ascii="Times New Roman" w:hAnsi="Times New Roman" w:cs="Times New Roman"/>
          <w:i/>
          <w:color w:val="000000"/>
          <w:vertAlign w:val="subscript"/>
        </w:rPr>
        <w:t xml:space="preserve">0 </w:t>
      </w:r>
      <w:r w:rsidRPr="002252E7">
        <w:rPr>
          <w:rFonts w:ascii="Times New Roman" w:hAnsi="Times New Roman" w:cs="Times New Roman"/>
          <w:i/>
          <w:color w:val="000000"/>
        </w:rPr>
        <w:t>+ γ</w:t>
      </w:r>
      <w:r>
        <w:rPr>
          <w:rFonts w:ascii="Times New Roman" w:hAnsi="Times New Roman" w:cs="Times New Roman"/>
          <w:i/>
          <w:color w:val="000000"/>
          <w:vertAlign w:val="subscript"/>
        </w:rPr>
        <w:t>1</w:t>
      </w:r>
      <w:r w:rsidRPr="002252E7">
        <w:rPr>
          <w:rFonts w:ascii="Times New Roman" w:hAnsi="Times New Roman" w:cs="Times New Roman"/>
          <w:i/>
          <w:color w:val="000000"/>
        </w:rPr>
        <w:t>SPAC-IPO + γ</w:t>
      </w:r>
      <w:r w:rsidRPr="002252E7">
        <w:rPr>
          <w:rFonts w:ascii="Times New Roman" w:hAnsi="Times New Roman" w:cs="Times New Roman"/>
          <w:i/>
          <w:color w:val="000000"/>
          <w:vertAlign w:val="subscript"/>
        </w:rPr>
        <w:t>2</w:t>
      </w:r>
      <w:r w:rsidRPr="002252E7">
        <w:rPr>
          <w:rFonts w:ascii="Times New Roman" w:hAnsi="Times New Roman" w:cs="Times New Roman"/>
          <w:i/>
          <w:color w:val="000000"/>
        </w:rPr>
        <w:t>CFO</w:t>
      </w:r>
      <w:r w:rsidRPr="002252E7">
        <w:rPr>
          <w:rFonts w:ascii="Times New Roman" w:hAnsi="Times New Roman" w:cs="Times New Roman"/>
          <w:i/>
          <w:vertAlign w:val="subscript"/>
        </w:rPr>
        <w:t xml:space="preserve">t-1 </w:t>
      </w:r>
      <w:r w:rsidRPr="002252E7">
        <w:rPr>
          <w:rFonts w:ascii="Times New Roman" w:hAnsi="Times New Roman" w:cs="Times New Roman"/>
          <w:i/>
          <w:color w:val="000000"/>
        </w:rPr>
        <w:t>+ γ</w:t>
      </w:r>
      <w:r>
        <w:rPr>
          <w:rFonts w:ascii="Times New Roman" w:hAnsi="Times New Roman" w:cs="Times New Roman"/>
          <w:i/>
          <w:color w:val="000000"/>
          <w:vertAlign w:val="subscript"/>
        </w:rPr>
        <w:t>3</w:t>
      </w:r>
      <w:r w:rsidRPr="002252E7">
        <w:rPr>
          <w:rFonts w:ascii="Times New Roman" w:hAnsi="Times New Roman" w:cs="Times New Roman"/>
          <w:i/>
          <w:color w:val="000000"/>
        </w:rPr>
        <w:t>SPAC-IPO×CFO</w:t>
      </w:r>
      <w:r w:rsidRPr="002252E7">
        <w:rPr>
          <w:rFonts w:ascii="Times New Roman" w:hAnsi="Times New Roman" w:cs="Times New Roman"/>
          <w:i/>
          <w:vertAlign w:val="subscript"/>
        </w:rPr>
        <w:t xml:space="preserve">t-1 </w:t>
      </w:r>
      <w:r>
        <w:rPr>
          <w:rFonts w:ascii="Times New Roman" w:hAnsi="Times New Roman" w:cs="Times New Roman"/>
          <w:i/>
          <w:color w:val="000000"/>
        </w:rPr>
        <w:t xml:space="preserve">+ </w:t>
      </w:r>
      <w:r w:rsidRPr="002252E7">
        <w:rPr>
          <w:rFonts w:ascii="Times New Roman" w:hAnsi="Times New Roman" w:cs="Times New Roman"/>
          <w:i/>
          <w:color w:val="000000"/>
        </w:rPr>
        <w:t>γ</w:t>
      </w:r>
      <w:r>
        <w:rPr>
          <w:rFonts w:ascii="Times New Roman" w:hAnsi="Times New Roman" w:cs="Times New Roman"/>
          <w:i/>
          <w:color w:val="000000"/>
          <w:vertAlign w:val="subscript"/>
        </w:rPr>
        <w:t>4</w:t>
      </w:r>
      <w:r w:rsidRPr="002252E7">
        <w:rPr>
          <w:rFonts w:ascii="Times New Roman" w:hAnsi="Times New Roman" w:cs="Times New Roman"/>
          <w:i/>
          <w:color w:val="000000"/>
        </w:rPr>
        <w:t>ACC</w:t>
      </w:r>
      <w:r w:rsidRPr="002252E7">
        <w:rPr>
          <w:rFonts w:ascii="Times New Roman" w:hAnsi="Times New Roman" w:cs="Times New Roman"/>
          <w:i/>
          <w:vertAlign w:val="subscript"/>
        </w:rPr>
        <w:t xml:space="preserve">t-1 </w:t>
      </w:r>
      <w:r w:rsidRPr="002252E7">
        <w:rPr>
          <w:rFonts w:ascii="Times New Roman" w:hAnsi="Times New Roman" w:cs="Times New Roman"/>
          <w:i/>
          <w:color w:val="000000"/>
        </w:rPr>
        <w:t>+ γ</w:t>
      </w:r>
      <w:r>
        <w:rPr>
          <w:rFonts w:ascii="Times New Roman" w:hAnsi="Times New Roman" w:cs="Times New Roman"/>
          <w:i/>
          <w:color w:val="000000"/>
          <w:vertAlign w:val="subscript"/>
        </w:rPr>
        <w:t>5</w:t>
      </w:r>
      <w:r w:rsidRPr="002252E7">
        <w:rPr>
          <w:rFonts w:ascii="Times New Roman" w:hAnsi="Times New Roman" w:cs="Times New Roman"/>
          <w:i/>
          <w:color w:val="000000"/>
        </w:rPr>
        <w:t>SPAC-IPO×ACC</w:t>
      </w:r>
      <w:r w:rsidRPr="00F93089">
        <w:rPr>
          <w:rFonts w:ascii="Times New Roman" w:hAnsi="Times New Roman" w:cs="Times New Roman"/>
          <w:i/>
          <w:color w:val="000000"/>
          <w:vertAlign w:val="subscript"/>
        </w:rPr>
        <w:t>t-1</w:t>
      </w:r>
    </w:p>
    <w:p w14:paraId="00393745" w14:textId="4DCD949D" w:rsidR="00B97BAD" w:rsidRDefault="00B97BAD" w:rsidP="00B97BAD">
      <w:pPr>
        <w:tabs>
          <w:tab w:val="left" w:pos="2880"/>
          <w:tab w:val="left" w:pos="3600"/>
          <w:tab w:val="left" w:pos="4320"/>
          <w:tab w:val="left" w:pos="5040"/>
          <w:tab w:val="left" w:pos="5760"/>
          <w:tab w:val="left" w:pos="6480"/>
          <w:tab w:val="right" w:pos="9360"/>
        </w:tabs>
        <w:spacing w:after="0" w:line="240" w:lineRule="auto"/>
        <w:ind w:left="2160" w:hanging="1440"/>
        <w:jc w:val="both"/>
        <w:rPr>
          <w:rFonts w:ascii="Times New Roman" w:hAnsi="Times New Roman" w:cs="Times New Roman"/>
          <w:i/>
          <w:color w:val="000000"/>
        </w:rPr>
      </w:pPr>
      <w:r>
        <w:rPr>
          <w:rFonts w:ascii="Times New Roman" w:hAnsi="Times New Roman" w:cs="Times New Roman"/>
          <w:i/>
        </w:rPr>
        <w:t xml:space="preserve">               </w:t>
      </w:r>
      <w:r w:rsidR="00AA1085">
        <w:rPr>
          <w:rFonts w:ascii="Times New Roman" w:hAnsi="Times New Roman" w:cs="Times New Roman"/>
          <w:i/>
        </w:rPr>
        <w:t xml:space="preserve">+ </w:t>
      </w:r>
      <w:r w:rsidR="00AA1085" w:rsidRPr="00A0626B">
        <w:rPr>
          <w:rFonts w:ascii="Times New Roman" w:hAnsi="Times New Roman" w:cs="Times New Roman"/>
          <w:i/>
        </w:rPr>
        <w:t>FIXED EFFECTS</w:t>
      </w:r>
      <w:r w:rsidR="00AA1085">
        <w:rPr>
          <w:rFonts w:ascii="Times New Roman" w:hAnsi="Times New Roman" w:cs="Times New Roman"/>
        </w:rPr>
        <w:t xml:space="preserve"> </w:t>
      </w:r>
      <w:r w:rsidRPr="002252E7">
        <w:rPr>
          <w:rFonts w:ascii="Times New Roman" w:hAnsi="Times New Roman" w:cs="Times New Roman"/>
          <w:i/>
        </w:rPr>
        <w:t xml:space="preserve">+ </w:t>
      </w:r>
      <w:r w:rsidRPr="002252E7">
        <w:rPr>
          <w:rFonts w:ascii="Times New Roman" w:hAnsi="Times New Roman" w:cs="Times New Roman"/>
          <w:i/>
          <w:color w:val="000000"/>
        </w:rPr>
        <w:sym w:font="Symbol" w:char="F065"/>
      </w:r>
      <w:r w:rsidRPr="002252E7">
        <w:rPr>
          <w:rFonts w:ascii="Times New Roman" w:hAnsi="Times New Roman" w:cs="Times New Roman"/>
          <w:i/>
          <w:color w:val="000000"/>
          <w:vertAlign w:val="subscript"/>
        </w:rPr>
        <w:t>t</w:t>
      </w:r>
      <w:r>
        <w:rPr>
          <w:rFonts w:ascii="Times New Roman" w:hAnsi="Times New Roman" w:cs="Times New Roman"/>
          <w:i/>
          <w:color w:val="000000"/>
        </w:rPr>
        <w:t xml:space="preserve">  </w:t>
      </w:r>
      <w:r w:rsidRPr="002252E7">
        <w:rPr>
          <w:rFonts w:ascii="Times New Roman" w:hAnsi="Times New Roman" w:cs="Times New Roman"/>
          <w:i/>
          <w:color w:val="000000"/>
        </w:rPr>
        <w:t xml:space="preserve">   </w:t>
      </w:r>
      <w:r>
        <w:rPr>
          <w:rFonts w:ascii="Times New Roman" w:hAnsi="Times New Roman" w:cs="Times New Roman"/>
          <w:i/>
          <w:color w:val="000000"/>
        </w:rPr>
        <w:t xml:space="preserve">                                                                                       </w:t>
      </w:r>
      <w:r w:rsidR="00AA1085">
        <w:rPr>
          <w:rFonts w:ascii="Times New Roman" w:hAnsi="Times New Roman" w:cs="Times New Roman"/>
          <w:i/>
          <w:color w:val="000000"/>
        </w:rPr>
        <w:t xml:space="preserve">    </w:t>
      </w:r>
      <w:r w:rsidRPr="002252E7">
        <w:rPr>
          <w:rFonts w:ascii="Times New Roman" w:hAnsi="Times New Roman" w:cs="Times New Roman"/>
          <w:color w:val="000000"/>
        </w:rPr>
        <w:t>(</w:t>
      </w:r>
      <w:r>
        <w:rPr>
          <w:rFonts w:ascii="Times New Roman" w:hAnsi="Times New Roman" w:cs="Times New Roman"/>
          <w:color w:val="000000"/>
        </w:rPr>
        <w:t>3</w:t>
      </w:r>
      <w:r w:rsidRPr="002252E7">
        <w:rPr>
          <w:rFonts w:ascii="Times New Roman" w:hAnsi="Times New Roman" w:cs="Times New Roman"/>
          <w:color w:val="000000"/>
        </w:rPr>
        <w:t>)</w:t>
      </w:r>
      <w:r w:rsidRPr="002252E7">
        <w:rPr>
          <w:rFonts w:ascii="Times New Roman" w:hAnsi="Times New Roman" w:cs="Times New Roman"/>
          <w:i/>
          <w:color w:val="000000"/>
        </w:rPr>
        <w:tab/>
      </w:r>
    </w:p>
    <w:p w14:paraId="2E0A1487" w14:textId="77777777" w:rsidR="00B97BAD" w:rsidRPr="002252E7" w:rsidRDefault="00B97BAD" w:rsidP="00B97BAD">
      <w:pPr>
        <w:tabs>
          <w:tab w:val="left" w:pos="2880"/>
          <w:tab w:val="left" w:pos="3600"/>
          <w:tab w:val="left" w:pos="4320"/>
          <w:tab w:val="left" w:pos="5040"/>
          <w:tab w:val="left" w:pos="5760"/>
          <w:tab w:val="left" w:pos="6480"/>
          <w:tab w:val="right" w:pos="9360"/>
        </w:tabs>
        <w:spacing w:after="0" w:line="240" w:lineRule="auto"/>
        <w:ind w:left="2160" w:hanging="1440"/>
        <w:jc w:val="both"/>
        <w:rPr>
          <w:rFonts w:ascii="Times New Roman" w:hAnsi="Times New Roman" w:cs="Times New Roman"/>
          <w:i/>
          <w:color w:val="000000"/>
        </w:rPr>
      </w:pPr>
    </w:p>
    <w:p w14:paraId="53C25D4E" w14:textId="77777777" w:rsidR="00B97BAD" w:rsidRDefault="00B97BAD" w:rsidP="00B97BAD">
      <w:pPr>
        <w:spacing w:after="0" w:line="480" w:lineRule="auto"/>
        <w:jc w:val="both"/>
        <w:rPr>
          <w:rFonts w:ascii="Times New Roman" w:hAnsi="Times New Roman" w:cs="Times New Roman"/>
          <w:color w:val="000000"/>
          <w:sz w:val="24"/>
        </w:rPr>
      </w:pPr>
      <w:r w:rsidRPr="00350369">
        <w:rPr>
          <w:rFonts w:ascii="Times New Roman" w:hAnsi="Times New Roman" w:cs="Times New Roman"/>
          <w:i/>
          <w:color w:val="000000"/>
          <w:sz w:val="24"/>
        </w:rPr>
        <w:t>CFO</w:t>
      </w:r>
      <w:r w:rsidRPr="00350369">
        <w:rPr>
          <w:rFonts w:ascii="Times New Roman" w:hAnsi="Times New Roman" w:cs="Times New Roman"/>
          <w:color w:val="000000"/>
          <w:sz w:val="24"/>
        </w:rPr>
        <w:t xml:space="preserve"> is cash flows from operations</w:t>
      </w:r>
      <w:r w:rsidRPr="00350369">
        <w:rPr>
          <w:rFonts w:ascii="Times New Roman" w:hAnsi="Times New Roman" w:cs="Times New Roman"/>
          <w:i/>
          <w:color w:val="000000"/>
          <w:sz w:val="24"/>
        </w:rPr>
        <w:t xml:space="preserve"> </w:t>
      </w:r>
      <w:r w:rsidRPr="00EF24EC">
        <w:rPr>
          <w:rFonts w:ascii="Times New Roman" w:hAnsi="Times New Roman" w:cs="Times New Roman"/>
          <w:color w:val="000000"/>
          <w:sz w:val="24"/>
        </w:rPr>
        <w:t>and</w:t>
      </w:r>
      <w:r>
        <w:rPr>
          <w:rFonts w:ascii="Times New Roman" w:hAnsi="Times New Roman" w:cs="Times New Roman"/>
          <w:i/>
          <w:color w:val="000000"/>
          <w:sz w:val="24"/>
        </w:rPr>
        <w:t xml:space="preserve"> </w:t>
      </w:r>
      <w:r w:rsidRPr="00350369">
        <w:rPr>
          <w:rFonts w:ascii="Times New Roman" w:hAnsi="Times New Roman" w:cs="Times New Roman"/>
          <w:i/>
          <w:color w:val="000000"/>
          <w:sz w:val="24"/>
        </w:rPr>
        <w:t>ACC</w:t>
      </w:r>
      <w:r w:rsidRPr="00350369">
        <w:rPr>
          <w:rFonts w:ascii="Times New Roman" w:hAnsi="Times New Roman" w:cs="Times New Roman"/>
          <w:color w:val="000000"/>
          <w:sz w:val="24"/>
        </w:rPr>
        <w:t xml:space="preserve"> is income before extraordinary items less cash flows from operations</w:t>
      </w:r>
      <w:r>
        <w:rPr>
          <w:rFonts w:ascii="Times New Roman" w:hAnsi="Times New Roman" w:cs="Times New Roman"/>
          <w:color w:val="000000"/>
          <w:sz w:val="24"/>
        </w:rPr>
        <w:t xml:space="preserve">. Both </w:t>
      </w:r>
      <w:r w:rsidRPr="002252E7">
        <w:rPr>
          <w:rFonts w:ascii="Times New Roman" w:hAnsi="Times New Roman" w:cs="Times New Roman"/>
          <w:i/>
          <w:color w:val="000000"/>
          <w:sz w:val="24"/>
        </w:rPr>
        <w:t>CFO</w:t>
      </w:r>
      <w:r>
        <w:rPr>
          <w:rFonts w:ascii="Times New Roman" w:hAnsi="Times New Roman" w:cs="Times New Roman"/>
          <w:color w:val="000000"/>
          <w:sz w:val="24"/>
        </w:rPr>
        <w:t xml:space="preserve"> and </w:t>
      </w:r>
      <w:r w:rsidRPr="00EF24EC">
        <w:rPr>
          <w:rFonts w:ascii="Times New Roman" w:hAnsi="Times New Roman" w:cs="Times New Roman"/>
          <w:i/>
          <w:color w:val="000000"/>
          <w:sz w:val="24"/>
        </w:rPr>
        <w:t>ACC</w:t>
      </w:r>
      <w:r>
        <w:rPr>
          <w:rFonts w:ascii="Times New Roman" w:hAnsi="Times New Roman" w:cs="Times New Roman"/>
          <w:color w:val="000000"/>
          <w:sz w:val="24"/>
        </w:rPr>
        <w:t xml:space="preserve"> are </w:t>
      </w:r>
      <w:r w:rsidRPr="00350369">
        <w:rPr>
          <w:rFonts w:ascii="Times New Roman" w:hAnsi="Times New Roman" w:cs="Times New Roman"/>
          <w:color w:val="000000"/>
          <w:sz w:val="24"/>
        </w:rPr>
        <w:t xml:space="preserve">scaled by </w:t>
      </w:r>
      <w:r>
        <w:rPr>
          <w:rFonts w:ascii="Times New Roman" w:hAnsi="Times New Roman" w:cs="Times New Roman"/>
          <w:color w:val="000000"/>
          <w:sz w:val="24"/>
        </w:rPr>
        <w:t xml:space="preserve">the </w:t>
      </w:r>
      <w:r w:rsidRPr="00350369">
        <w:rPr>
          <w:rFonts w:ascii="Times New Roman" w:hAnsi="Times New Roman" w:cs="Times New Roman"/>
          <w:color w:val="000000"/>
          <w:sz w:val="24"/>
        </w:rPr>
        <w:t xml:space="preserve">end of year </w:t>
      </w:r>
      <w:r>
        <w:rPr>
          <w:rFonts w:ascii="Times New Roman" w:hAnsi="Times New Roman" w:cs="Times New Roman"/>
          <w:color w:val="000000"/>
          <w:sz w:val="24"/>
        </w:rPr>
        <w:t xml:space="preserve">t </w:t>
      </w:r>
      <w:r w:rsidRPr="00350369">
        <w:rPr>
          <w:rFonts w:ascii="Times New Roman" w:hAnsi="Times New Roman" w:cs="Times New Roman"/>
          <w:color w:val="000000"/>
          <w:sz w:val="24"/>
        </w:rPr>
        <w:t>total assets.</w:t>
      </w:r>
      <w:r>
        <w:rPr>
          <w:rStyle w:val="FootnoteReference"/>
          <w:rFonts w:ascii="Times New Roman" w:hAnsi="Times New Roman" w:cs="Times New Roman"/>
          <w:color w:val="000000"/>
          <w:sz w:val="24"/>
        </w:rPr>
        <w:footnoteReference w:id="16"/>
      </w:r>
      <w:r w:rsidRPr="00350369">
        <w:rPr>
          <w:rFonts w:ascii="Times New Roman" w:hAnsi="Times New Roman" w:cs="Times New Roman"/>
          <w:color w:val="000000"/>
          <w:sz w:val="24"/>
        </w:rPr>
        <w:t xml:space="preserve"> The coefficient </w:t>
      </w:r>
      <w:r w:rsidRPr="00350369">
        <w:rPr>
          <w:rFonts w:ascii="Times New Roman" w:hAnsi="Times New Roman" w:cs="Times New Roman"/>
          <w:i/>
          <w:color w:val="000000"/>
          <w:sz w:val="24"/>
        </w:rPr>
        <w:lastRenderedPageBreak/>
        <w:t>γ</w:t>
      </w:r>
      <w:r>
        <w:rPr>
          <w:rFonts w:ascii="Times New Roman" w:hAnsi="Times New Roman" w:cs="Times New Roman"/>
          <w:i/>
          <w:color w:val="000000"/>
          <w:sz w:val="24"/>
          <w:vertAlign w:val="subscript"/>
        </w:rPr>
        <w:t>4</w:t>
      </w:r>
      <w:r w:rsidRPr="00350369">
        <w:rPr>
          <w:rFonts w:ascii="Times New Roman" w:hAnsi="Times New Roman" w:cs="Times New Roman"/>
          <w:i/>
          <w:color w:val="000000"/>
          <w:sz w:val="24"/>
          <w:vertAlign w:val="subscript"/>
        </w:rPr>
        <w:t xml:space="preserve"> </w:t>
      </w:r>
      <w:r w:rsidRPr="00350369">
        <w:rPr>
          <w:rFonts w:ascii="Times New Roman" w:hAnsi="Times New Roman" w:cs="Times New Roman"/>
          <w:color w:val="000000"/>
          <w:sz w:val="24"/>
        </w:rPr>
        <w:t xml:space="preserve">measures the </w:t>
      </w:r>
      <w:r>
        <w:rPr>
          <w:rFonts w:ascii="Times New Roman" w:hAnsi="Times New Roman" w:cs="Times New Roman"/>
          <w:color w:val="000000"/>
          <w:sz w:val="24"/>
        </w:rPr>
        <w:t xml:space="preserve">ability of </w:t>
      </w:r>
      <w:r w:rsidRPr="00350369">
        <w:rPr>
          <w:rFonts w:ascii="Times New Roman" w:hAnsi="Times New Roman" w:cs="Times New Roman"/>
          <w:color w:val="000000"/>
          <w:sz w:val="24"/>
        </w:rPr>
        <w:t>accrual</w:t>
      </w:r>
      <w:r>
        <w:rPr>
          <w:rFonts w:ascii="Times New Roman" w:hAnsi="Times New Roman" w:cs="Times New Roman"/>
          <w:color w:val="000000"/>
          <w:sz w:val="24"/>
        </w:rPr>
        <w:t>s to predict future earnings in non-SPAC-</w:t>
      </w:r>
      <w:r w:rsidRPr="00350369">
        <w:rPr>
          <w:rFonts w:ascii="Times New Roman" w:hAnsi="Times New Roman" w:cs="Times New Roman"/>
          <w:color w:val="000000"/>
          <w:sz w:val="24"/>
        </w:rPr>
        <w:t xml:space="preserve">IPO. The coefficient </w:t>
      </w:r>
      <w:r w:rsidRPr="00350369">
        <w:rPr>
          <w:rFonts w:ascii="Times New Roman" w:hAnsi="Times New Roman" w:cs="Times New Roman"/>
          <w:i/>
          <w:color w:val="000000"/>
          <w:sz w:val="24"/>
        </w:rPr>
        <w:t>γ</w:t>
      </w:r>
      <w:r>
        <w:rPr>
          <w:rFonts w:ascii="Times New Roman" w:hAnsi="Times New Roman" w:cs="Times New Roman"/>
          <w:i/>
          <w:color w:val="000000"/>
          <w:sz w:val="24"/>
          <w:vertAlign w:val="subscript"/>
        </w:rPr>
        <w:t>5</w:t>
      </w:r>
      <w:r w:rsidRPr="00350369">
        <w:rPr>
          <w:rFonts w:ascii="Times New Roman" w:hAnsi="Times New Roman" w:cs="Times New Roman"/>
          <w:i/>
          <w:color w:val="000000"/>
          <w:sz w:val="24"/>
          <w:vertAlign w:val="subscript"/>
        </w:rPr>
        <w:t xml:space="preserve"> </w:t>
      </w:r>
      <w:r w:rsidRPr="00350369">
        <w:rPr>
          <w:rFonts w:ascii="Times New Roman" w:hAnsi="Times New Roman" w:cs="Times New Roman"/>
          <w:color w:val="000000"/>
          <w:sz w:val="24"/>
        </w:rPr>
        <w:t xml:space="preserve">measures whether the </w:t>
      </w:r>
      <w:r>
        <w:rPr>
          <w:rFonts w:ascii="Times New Roman" w:hAnsi="Times New Roman" w:cs="Times New Roman"/>
          <w:color w:val="000000"/>
          <w:sz w:val="24"/>
        </w:rPr>
        <w:t xml:space="preserve">ability of </w:t>
      </w:r>
      <w:r w:rsidRPr="00350369">
        <w:rPr>
          <w:rFonts w:ascii="Times New Roman" w:hAnsi="Times New Roman" w:cs="Times New Roman"/>
          <w:color w:val="000000"/>
          <w:sz w:val="24"/>
        </w:rPr>
        <w:t>accrual</w:t>
      </w:r>
      <w:r>
        <w:rPr>
          <w:rFonts w:ascii="Times New Roman" w:hAnsi="Times New Roman" w:cs="Times New Roman"/>
          <w:color w:val="000000"/>
          <w:sz w:val="24"/>
        </w:rPr>
        <w:t>s</w:t>
      </w:r>
      <w:r w:rsidRPr="00350369">
        <w:rPr>
          <w:rFonts w:ascii="Times New Roman" w:hAnsi="Times New Roman" w:cs="Times New Roman"/>
          <w:color w:val="000000"/>
          <w:sz w:val="24"/>
        </w:rPr>
        <w:t xml:space="preserve"> </w:t>
      </w:r>
      <w:r>
        <w:rPr>
          <w:rFonts w:ascii="Times New Roman" w:hAnsi="Times New Roman" w:cs="Times New Roman"/>
          <w:color w:val="000000"/>
          <w:sz w:val="24"/>
        </w:rPr>
        <w:t>to predict future earnings</w:t>
      </w:r>
      <w:r w:rsidRPr="00350369">
        <w:rPr>
          <w:rFonts w:ascii="Times New Roman" w:hAnsi="Times New Roman" w:cs="Times New Roman"/>
          <w:color w:val="000000"/>
          <w:sz w:val="24"/>
        </w:rPr>
        <w:t xml:space="preserve"> </w:t>
      </w:r>
      <w:r>
        <w:rPr>
          <w:rFonts w:ascii="Times New Roman" w:hAnsi="Times New Roman" w:cs="Times New Roman"/>
          <w:color w:val="000000"/>
          <w:sz w:val="24"/>
        </w:rPr>
        <w:t>in SPAC-IPOs is incrementally different from that in non-</w:t>
      </w:r>
      <w:r w:rsidRPr="00350369">
        <w:rPr>
          <w:rFonts w:ascii="Times New Roman" w:hAnsi="Times New Roman" w:cs="Times New Roman"/>
          <w:color w:val="000000"/>
          <w:sz w:val="24"/>
        </w:rPr>
        <w:t>SPAC-IPO</w:t>
      </w:r>
      <w:r>
        <w:rPr>
          <w:rFonts w:ascii="Times New Roman" w:hAnsi="Times New Roman" w:cs="Times New Roman"/>
          <w:color w:val="000000"/>
          <w:sz w:val="24"/>
        </w:rPr>
        <w:t>s</w:t>
      </w:r>
      <w:r w:rsidRPr="00350369">
        <w:rPr>
          <w:rFonts w:ascii="Times New Roman" w:hAnsi="Times New Roman" w:cs="Times New Roman"/>
          <w:color w:val="000000"/>
          <w:sz w:val="24"/>
        </w:rPr>
        <w:t xml:space="preserve">. </w:t>
      </w:r>
    </w:p>
    <w:p w14:paraId="62824E87" w14:textId="7F767518" w:rsidR="00B97BAD" w:rsidRPr="00180C71" w:rsidRDefault="00B97BAD" w:rsidP="00B97BAD">
      <w:pPr>
        <w:jc w:val="both"/>
        <w:rPr>
          <w:rFonts w:ascii="Times New Roman" w:hAnsi="Times New Roman" w:cs="Times New Roman"/>
          <w:i/>
          <w:sz w:val="24"/>
          <w:szCs w:val="24"/>
        </w:rPr>
      </w:pPr>
      <w:r w:rsidRPr="00180C71">
        <w:rPr>
          <w:rFonts w:ascii="Times New Roman" w:hAnsi="Times New Roman" w:cs="Times New Roman"/>
          <w:i/>
          <w:sz w:val="24"/>
          <w:szCs w:val="24"/>
        </w:rPr>
        <w:t>4.</w:t>
      </w:r>
      <w:r w:rsidR="002A7CE9">
        <w:rPr>
          <w:rFonts w:ascii="Times New Roman" w:hAnsi="Times New Roman" w:cs="Times New Roman"/>
          <w:i/>
          <w:sz w:val="24"/>
          <w:szCs w:val="24"/>
        </w:rPr>
        <w:t>1.</w:t>
      </w:r>
      <w:r>
        <w:rPr>
          <w:rFonts w:ascii="Times New Roman" w:hAnsi="Times New Roman" w:cs="Times New Roman"/>
          <w:i/>
          <w:sz w:val="24"/>
          <w:szCs w:val="24"/>
        </w:rPr>
        <w:t>3</w:t>
      </w:r>
      <w:r w:rsidRPr="00180C71">
        <w:rPr>
          <w:rFonts w:ascii="Times New Roman" w:hAnsi="Times New Roman" w:cs="Times New Roman"/>
          <w:i/>
          <w:sz w:val="24"/>
          <w:szCs w:val="24"/>
        </w:rPr>
        <w:t>.</w:t>
      </w:r>
      <w:r w:rsidRPr="00180C71">
        <w:rPr>
          <w:rFonts w:ascii="Times New Roman" w:hAnsi="Times New Roman" w:cs="Times New Roman"/>
          <w:i/>
          <w:sz w:val="24"/>
          <w:szCs w:val="24"/>
        </w:rPr>
        <w:tab/>
      </w:r>
      <w:r>
        <w:rPr>
          <w:rFonts w:ascii="Times New Roman" w:hAnsi="Times New Roman" w:cs="Times New Roman"/>
          <w:i/>
          <w:sz w:val="24"/>
          <w:szCs w:val="24"/>
        </w:rPr>
        <w:t>Stock Exchange Listing Choice</w:t>
      </w:r>
    </w:p>
    <w:p w14:paraId="3C0B7F0A" w14:textId="77777777" w:rsidR="00B97BAD" w:rsidRPr="00543569"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Firms on the NYSE stock exchange are perceived as being a more stable with less volatility than those traded on the NASDAQ stock exchange. Therefore, we rely on the stock exchange listing choice as an additional proxy for differences in risk between </w:t>
      </w:r>
      <w:r>
        <w:rPr>
          <w:rFonts w:ascii="Times New Roman" w:hAnsi="Times New Roman" w:cs="Times New Roman"/>
          <w:color w:val="000000"/>
          <w:sz w:val="24"/>
        </w:rPr>
        <w:t>SPAC- and non-SPAC-IPOs</w:t>
      </w:r>
      <w:r w:rsidRPr="00350369">
        <w:rPr>
          <w:rFonts w:ascii="Times New Roman" w:hAnsi="Times New Roman" w:cs="Times New Roman"/>
          <w:color w:val="000000"/>
          <w:sz w:val="24"/>
        </w:rPr>
        <w:t xml:space="preserve">. </w:t>
      </w:r>
      <w:r>
        <w:rPr>
          <w:rFonts w:ascii="Times New Roman" w:hAnsi="Times New Roman" w:cs="Times New Roman"/>
          <w:color w:val="000000"/>
          <w:sz w:val="24"/>
        </w:rPr>
        <w:t xml:space="preserve">As in </w:t>
      </w:r>
      <w:r>
        <w:rPr>
          <w:rFonts w:ascii="Times New Roman" w:hAnsi="Times New Roman" w:cs="Times New Roman"/>
          <w:sz w:val="24"/>
        </w:rPr>
        <w:t xml:space="preserve">Bushee and Leuz (2005), we model stock exchange listing choice as a function of size, profitability, and leverage. We augment the model with the IPO proceeds to capture the amount of capital firms are raising, segments to measure firm complexity, and whether or not a firm is an emerging growth company as they are subject to lower disclosure requirements. </w:t>
      </w:r>
    </w:p>
    <w:p w14:paraId="20156EFD" w14:textId="0E255535" w:rsidR="00B97BAD" w:rsidRPr="00767966" w:rsidRDefault="00AF4322" w:rsidP="00B97BAD">
      <w:pPr>
        <w:tabs>
          <w:tab w:val="left" w:pos="2430"/>
        </w:tabs>
        <w:spacing w:after="0"/>
        <w:ind w:left="2520" w:hanging="1800"/>
        <w:jc w:val="both"/>
        <w:rPr>
          <w:rFonts w:ascii="Times New Roman" w:hAnsi="Times New Roman" w:cs="Times New Roman"/>
          <w:color w:val="000000"/>
          <w:vertAlign w:val="subscript"/>
        </w:rPr>
      </w:pPr>
      <w:r>
        <w:rPr>
          <w:rFonts w:ascii="Times New Roman" w:hAnsi="Times New Roman" w:cs="Times New Roman"/>
          <w:i/>
        </w:rPr>
        <w:t>NON</w:t>
      </w:r>
      <w:r w:rsidR="00B97BAD">
        <w:rPr>
          <w:rFonts w:ascii="Times New Roman" w:hAnsi="Times New Roman" w:cs="Times New Roman"/>
          <w:i/>
        </w:rPr>
        <w:t>NYSE</w:t>
      </w:r>
      <w:r w:rsidR="00B97BAD" w:rsidRPr="00767966">
        <w:rPr>
          <w:rFonts w:ascii="Times New Roman" w:hAnsi="Times New Roman" w:cs="Times New Roman"/>
          <w:i/>
          <w:color w:val="000000"/>
        </w:rPr>
        <w:t xml:space="preserve"> =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 xml:space="preserve">0 </w:t>
      </w:r>
      <w:r w:rsidR="00B97BAD" w:rsidRPr="00767966">
        <w:rPr>
          <w:rFonts w:ascii="Times New Roman" w:hAnsi="Times New Roman" w:cs="Times New Roman"/>
          <w:i/>
          <w:color w:val="000000"/>
        </w:rPr>
        <w:t xml:space="preserve">+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1</w:t>
      </w:r>
      <w:r w:rsidR="00B97BAD" w:rsidRPr="00767966">
        <w:rPr>
          <w:rFonts w:ascii="Times New Roman" w:hAnsi="Times New Roman" w:cs="Times New Roman"/>
          <w:i/>
        </w:rPr>
        <w:t>SPAC-IPO</w:t>
      </w:r>
      <w:r w:rsidR="00B97BAD" w:rsidRPr="00767966">
        <w:rPr>
          <w:rFonts w:ascii="Times New Roman" w:hAnsi="Times New Roman" w:cs="Times New Roman"/>
          <w:i/>
          <w:vertAlign w:val="subscript"/>
        </w:rPr>
        <w:t xml:space="preserve"> </w:t>
      </w:r>
      <w:r w:rsidR="00B97BAD" w:rsidRPr="00767966">
        <w:rPr>
          <w:rFonts w:ascii="Times New Roman" w:hAnsi="Times New Roman" w:cs="Times New Roman"/>
          <w:i/>
          <w:color w:val="000000"/>
        </w:rPr>
        <w:t xml:space="preserve">+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2</w:t>
      </w:r>
      <w:r w:rsidR="00B97BAD" w:rsidRPr="00767966">
        <w:rPr>
          <w:rFonts w:ascii="Times New Roman" w:hAnsi="Times New Roman" w:cs="Times New Roman"/>
          <w:i/>
        </w:rPr>
        <w:t>PROCEEDS</w:t>
      </w:r>
      <w:r w:rsidR="00B97BAD" w:rsidRPr="00767966">
        <w:rPr>
          <w:rFonts w:ascii="Times New Roman" w:hAnsi="Times New Roman" w:cs="Times New Roman"/>
          <w:i/>
          <w:vertAlign w:val="subscript"/>
        </w:rPr>
        <w:t xml:space="preserve">  </w:t>
      </w:r>
      <w:r w:rsidR="00B97BAD" w:rsidRPr="00767966">
        <w:rPr>
          <w:rFonts w:ascii="Times New Roman" w:hAnsi="Times New Roman" w:cs="Times New Roman"/>
          <w:i/>
          <w:color w:val="000000"/>
        </w:rPr>
        <w:t xml:space="preserve">+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3</w:t>
      </w:r>
      <w:r w:rsidR="00B97BAD" w:rsidRPr="00767966">
        <w:rPr>
          <w:rFonts w:ascii="Times New Roman" w:hAnsi="Times New Roman" w:cs="Times New Roman"/>
          <w:i/>
        </w:rPr>
        <w:t>ASSETS</w:t>
      </w:r>
      <w:r w:rsidR="00B97BAD" w:rsidRPr="00767966">
        <w:rPr>
          <w:rFonts w:ascii="Times New Roman" w:hAnsi="Times New Roman" w:cs="Times New Roman"/>
          <w:i/>
          <w:vertAlign w:val="subscript"/>
        </w:rPr>
        <w:t xml:space="preserve">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2"/>
      </w:r>
      <w:r w:rsidR="00B97BAD">
        <w:rPr>
          <w:rFonts w:ascii="Times New Roman" w:hAnsi="Times New Roman" w:cs="Times New Roman"/>
          <w:i/>
          <w:color w:val="000000"/>
          <w:vertAlign w:val="subscript"/>
        </w:rPr>
        <w:t>4</w:t>
      </w:r>
      <w:r w:rsidR="00B97BAD" w:rsidRPr="00767966">
        <w:rPr>
          <w:rFonts w:ascii="Times New Roman" w:hAnsi="Times New Roman" w:cs="Times New Roman"/>
          <w:i/>
          <w:color w:val="000000"/>
        </w:rPr>
        <w:t xml:space="preserve">SEGMENTS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2"/>
      </w:r>
      <w:r w:rsidR="00B97BAD">
        <w:rPr>
          <w:rFonts w:ascii="Times New Roman" w:hAnsi="Times New Roman" w:cs="Times New Roman"/>
          <w:i/>
          <w:color w:val="000000"/>
          <w:vertAlign w:val="subscript"/>
        </w:rPr>
        <w:t>5</w:t>
      </w:r>
      <w:r w:rsidR="00B97BAD" w:rsidRPr="00767966">
        <w:rPr>
          <w:rFonts w:ascii="Times New Roman" w:hAnsi="Times New Roman" w:cs="Times New Roman"/>
          <w:i/>
          <w:color w:val="000000"/>
        </w:rPr>
        <w:t xml:space="preserve">ROA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6</w:t>
      </w:r>
      <w:r w:rsidR="00B97BAD">
        <w:rPr>
          <w:rFonts w:ascii="Times New Roman" w:hAnsi="Times New Roman" w:cs="Times New Roman"/>
          <w:i/>
          <w:color w:val="000000"/>
        </w:rPr>
        <w:t>LOSS</w:t>
      </w:r>
      <w:r w:rsidR="00B97BAD" w:rsidRPr="00767966">
        <w:rPr>
          <w:rFonts w:ascii="Times New Roman" w:hAnsi="Times New Roman" w:cs="Times New Roman"/>
          <w:i/>
          <w:color w:val="000000"/>
        </w:rPr>
        <w:t xml:space="preserve">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2"/>
      </w:r>
      <w:r w:rsidR="00B97BAD" w:rsidRPr="00767966">
        <w:rPr>
          <w:rFonts w:ascii="Times New Roman" w:hAnsi="Times New Roman" w:cs="Times New Roman"/>
          <w:i/>
          <w:color w:val="000000"/>
          <w:vertAlign w:val="subscript"/>
        </w:rPr>
        <w:t>7</w:t>
      </w:r>
      <w:r w:rsidR="00B97BAD" w:rsidRPr="00767966">
        <w:rPr>
          <w:rFonts w:ascii="Times New Roman" w:hAnsi="Times New Roman" w:cs="Times New Roman"/>
          <w:i/>
          <w:color w:val="000000"/>
        </w:rPr>
        <w:t xml:space="preserve">LEVERAGE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2"/>
      </w:r>
      <w:r w:rsidR="00B97BAD">
        <w:rPr>
          <w:rFonts w:ascii="Times New Roman" w:hAnsi="Times New Roman" w:cs="Times New Roman"/>
          <w:i/>
          <w:color w:val="000000"/>
          <w:vertAlign w:val="subscript"/>
        </w:rPr>
        <w:t>8</w:t>
      </w:r>
      <w:r w:rsidR="00B97BAD" w:rsidRPr="00767966">
        <w:rPr>
          <w:rFonts w:ascii="Times New Roman" w:hAnsi="Times New Roman" w:cs="Times New Roman"/>
          <w:i/>
          <w:color w:val="000000"/>
        </w:rPr>
        <w:t xml:space="preserve">EGC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t xml:space="preserve">FIXED EFFECTS </w:t>
      </w:r>
      <w:r w:rsidR="00B97BAD" w:rsidRPr="00767966">
        <w:rPr>
          <w:rFonts w:ascii="Times New Roman" w:hAnsi="Times New Roman" w:cs="Times New Roman"/>
          <w:i/>
        </w:rPr>
        <w:t xml:space="preserve">+ </w:t>
      </w:r>
      <w:r w:rsidR="00B97BAD" w:rsidRPr="00767966">
        <w:rPr>
          <w:rFonts w:ascii="Times New Roman" w:hAnsi="Times New Roman" w:cs="Times New Roman"/>
          <w:i/>
          <w:color w:val="000000"/>
        </w:rPr>
        <w:sym w:font="Symbol" w:char="F065"/>
      </w:r>
      <w:r w:rsidR="00B97BAD">
        <w:rPr>
          <w:rFonts w:ascii="Times New Roman" w:hAnsi="Times New Roman" w:cs="Times New Roman"/>
          <w:i/>
          <w:color w:val="000000"/>
        </w:rPr>
        <w:t xml:space="preserve"> </w:t>
      </w:r>
      <w:r w:rsidR="00B97BAD">
        <w:rPr>
          <w:rFonts w:ascii="Times New Roman" w:hAnsi="Times New Roman" w:cs="Times New Roman"/>
          <w:i/>
          <w:color w:val="000000"/>
        </w:rPr>
        <w:tab/>
        <w:t xml:space="preserve">        </w:t>
      </w:r>
      <w:r w:rsidR="00B97BAD" w:rsidRPr="00D40CEC">
        <w:rPr>
          <w:rFonts w:ascii="Times New Roman" w:hAnsi="Times New Roman" w:cs="Times New Roman"/>
          <w:color w:val="000000"/>
        </w:rPr>
        <w:t>(</w:t>
      </w:r>
      <w:r w:rsidR="00B97BAD">
        <w:rPr>
          <w:rFonts w:ascii="Times New Roman" w:hAnsi="Times New Roman" w:cs="Times New Roman"/>
          <w:color w:val="000000"/>
        </w:rPr>
        <w:t>4</w:t>
      </w:r>
      <w:r w:rsidR="00B97BAD" w:rsidRPr="00D40CEC">
        <w:rPr>
          <w:rFonts w:ascii="Times New Roman" w:hAnsi="Times New Roman" w:cs="Times New Roman"/>
          <w:color w:val="000000"/>
        </w:rPr>
        <w:t xml:space="preserve">)                                                                                       </w:t>
      </w:r>
    </w:p>
    <w:p w14:paraId="714F96E8" w14:textId="77777777" w:rsidR="00B97BAD" w:rsidRPr="00543569" w:rsidRDefault="00B97BAD" w:rsidP="00B97BAD">
      <w:pPr>
        <w:spacing w:after="0"/>
        <w:jc w:val="both"/>
        <w:rPr>
          <w:rFonts w:ascii="Times New Roman" w:hAnsi="Times New Roman" w:cs="Times New Roman"/>
          <w:sz w:val="24"/>
        </w:rPr>
      </w:pPr>
    </w:p>
    <w:p w14:paraId="155D2890" w14:textId="55A0AE66" w:rsidR="00B97BAD" w:rsidRDefault="00B97BAD" w:rsidP="00B97BAD">
      <w:pPr>
        <w:spacing w:after="0" w:line="480" w:lineRule="auto"/>
        <w:jc w:val="both"/>
        <w:rPr>
          <w:rFonts w:ascii="Times New Roman" w:hAnsi="Times New Roman" w:cs="Times New Roman"/>
          <w:sz w:val="24"/>
        </w:rPr>
      </w:pPr>
      <w:r w:rsidRPr="00543569">
        <w:rPr>
          <w:rFonts w:ascii="Times New Roman" w:hAnsi="Times New Roman" w:cs="Times New Roman"/>
          <w:sz w:val="24"/>
        </w:rPr>
        <w:t xml:space="preserve">The dependent variable </w:t>
      </w:r>
      <w:r>
        <w:rPr>
          <w:rFonts w:ascii="Times New Roman" w:hAnsi="Times New Roman" w:cs="Times New Roman"/>
          <w:i/>
          <w:sz w:val="24"/>
        </w:rPr>
        <w:t>N</w:t>
      </w:r>
      <w:r w:rsidR="00AF4322">
        <w:rPr>
          <w:rFonts w:ascii="Times New Roman" w:hAnsi="Times New Roman" w:cs="Times New Roman"/>
          <w:i/>
          <w:sz w:val="24"/>
        </w:rPr>
        <w:t>ONN</w:t>
      </w:r>
      <w:r>
        <w:rPr>
          <w:rFonts w:ascii="Times New Roman" w:hAnsi="Times New Roman" w:cs="Times New Roman"/>
          <w:i/>
          <w:sz w:val="24"/>
        </w:rPr>
        <w:t>YSE</w:t>
      </w:r>
      <w:r w:rsidRPr="00543569">
        <w:rPr>
          <w:rFonts w:ascii="Times New Roman" w:hAnsi="Times New Roman" w:cs="Times New Roman"/>
          <w:sz w:val="24"/>
        </w:rPr>
        <w:t xml:space="preserve"> equal</w:t>
      </w:r>
      <w:r>
        <w:rPr>
          <w:rFonts w:ascii="Times New Roman" w:hAnsi="Times New Roman" w:cs="Times New Roman"/>
          <w:sz w:val="24"/>
        </w:rPr>
        <w:t>s</w:t>
      </w:r>
      <w:r w:rsidRPr="00543569">
        <w:rPr>
          <w:rFonts w:ascii="Times New Roman" w:hAnsi="Times New Roman" w:cs="Times New Roman"/>
          <w:sz w:val="24"/>
        </w:rPr>
        <w:t xml:space="preserve"> one </w:t>
      </w:r>
      <w:r w:rsidRPr="00135FF1">
        <w:rPr>
          <w:rFonts w:ascii="Times New Roman" w:hAnsi="Times New Roman" w:cs="Times New Roman"/>
          <w:sz w:val="24"/>
          <w:szCs w:val="24"/>
        </w:rPr>
        <w:t xml:space="preserve">for companies that </w:t>
      </w:r>
      <w:r>
        <w:rPr>
          <w:rFonts w:ascii="Times New Roman" w:hAnsi="Times New Roman" w:cs="Times New Roman"/>
          <w:sz w:val="24"/>
          <w:szCs w:val="24"/>
        </w:rPr>
        <w:t xml:space="preserve">list on </w:t>
      </w:r>
      <w:r w:rsidR="00AF4322">
        <w:rPr>
          <w:rFonts w:ascii="Times New Roman" w:hAnsi="Times New Roman" w:cs="Times New Roman"/>
          <w:sz w:val="24"/>
          <w:szCs w:val="24"/>
        </w:rPr>
        <w:t>NASDAQ or OTC</w:t>
      </w:r>
      <w:r w:rsidRPr="00543569">
        <w:rPr>
          <w:rFonts w:ascii="Times New Roman" w:hAnsi="Times New Roman" w:cs="Times New Roman"/>
          <w:sz w:val="24"/>
        </w:rPr>
        <w:t xml:space="preserve">, and zero otherwise. </w:t>
      </w:r>
      <w:r>
        <w:rPr>
          <w:rFonts w:ascii="Times New Roman" w:hAnsi="Times New Roman" w:cs="Times New Roman"/>
          <w:sz w:val="24"/>
        </w:rPr>
        <w:t xml:space="preserve">According to Hypothesis 3, </w:t>
      </w:r>
      <w:r w:rsidRPr="00543569">
        <w:rPr>
          <w:rFonts w:ascii="Times New Roman" w:hAnsi="Times New Roman" w:cs="Times New Roman"/>
          <w:i/>
          <w:color w:val="000000"/>
          <w:sz w:val="24"/>
        </w:rPr>
        <w:sym w:font="Symbol" w:char="F062"/>
      </w:r>
      <w:r w:rsidRPr="00543569">
        <w:rPr>
          <w:rFonts w:ascii="Times New Roman" w:hAnsi="Times New Roman" w:cs="Times New Roman"/>
          <w:i/>
          <w:color w:val="000000"/>
          <w:sz w:val="24"/>
          <w:vertAlign w:val="subscript"/>
        </w:rPr>
        <w:t xml:space="preserve">1 </w:t>
      </w:r>
      <w:r>
        <w:rPr>
          <w:rFonts w:ascii="Times New Roman" w:hAnsi="Times New Roman" w:cs="Times New Roman"/>
          <w:sz w:val="24"/>
        </w:rPr>
        <w:t xml:space="preserve">is </w:t>
      </w:r>
      <w:r w:rsidR="00AF4322">
        <w:rPr>
          <w:rFonts w:ascii="Times New Roman" w:hAnsi="Times New Roman" w:cs="Times New Roman"/>
          <w:sz w:val="24"/>
        </w:rPr>
        <w:t>positive</w:t>
      </w:r>
      <w:r w:rsidR="00AA1085">
        <w:rPr>
          <w:rFonts w:ascii="Times New Roman" w:hAnsi="Times New Roman" w:cs="Times New Roman"/>
          <w:sz w:val="24"/>
        </w:rPr>
        <w:t>.</w:t>
      </w:r>
    </w:p>
    <w:p w14:paraId="31E9CD8B" w14:textId="5BDBC304" w:rsidR="00B97BAD" w:rsidRPr="00180C71" w:rsidRDefault="00B97BAD" w:rsidP="00B97BAD">
      <w:pPr>
        <w:jc w:val="both"/>
        <w:rPr>
          <w:rFonts w:ascii="Times New Roman" w:hAnsi="Times New Roman" w:cs="Times New Roman"/>
          <w:i/>
          <w:sz w:val="24"/>
          <w:szCs w:val="24"/>
        </w:rPr>
      </w:pPr>
      <w:r w:rsidRPr="00180C71">
        <w:rPr>
          <w:rFonts w:ascii="Times New Roman" w:hAnsi="Times New Roman" w:cs="Times New Roman"/>
          <w:i/>
          <w:sz w:val="24"/>
          <w:szCs w:val="24"/>
        </w:rPr>
        <w:t>4.</w:t>
      </w:r>
      <w:r w:rsidR="002A7CE9">
        <w:rPr>
          <w:rFonts w:ascii="Times New Roman" w:hAnsi="Times New Roman" w:cs="Times New Roman"/>
          <w:i/>
          <w:sz w:val="24"/>
          <w:szCs w:val="24"/>
        </w:rPr>
        <w:t>1.</w:t>
      </w:r>
      <w:r>
        <w:rPr>
          <w:rFonts w:ascii="Times New Roman" w:hAnsi="Times New Roman" w:cs="Times New Roman"/>
          <w:i/>
          <w:sz w:val="24"/>
          <w:szCs w:val="24"/>
        </w:rPr>
        <w:t>4</w:t>
      </w:r>
      <w:r w:rsidRPr="00180C71">
        <w:rPr>
          <w:rFonts w:ascii="Times New Roman" w:hAnsi="Times New Roman" w:cs="Times New Roman"/>
          <w:i/>
          <w:sz w:val="24"/>
          <w:szCs w:val="24"/>
        </w:rPr>
        <w:t>.</w:t>
      </w:r>
      <w:r w:rsidRPr="00180C71">
        <w:rPr>
          <w:rFonts w:ascii="Times New Roman" w:hAnsi="Times New Roman" w:cs="Times New Roman"/>
          <w:i/>
          <w:sz w:val="24"/>
          <w:szCs w:val="24"/>
        </w:rPr>
        <w:tab/>
      </w:r>
      <w:r>
        <w:rPr>
          <w:rFonts w:ascii="Times New Roman" w:hAnsi="Times New Roman" w:cs="Times New Roman"/>
          <w:i/>
          <w:sz w:val="24"/>
        </w:rPr>
        <w:t>Delisting</w:t>
      </w:r>
    </w:p>
    <w:p w14:paraId="717F0DEF" w14:textId="15E8C7E8" w:rsidR="00B97BAD" w:rsidRPr="00543569"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Delisting from stock exchanges can be voluntary or involuntary; voluntary delistings are the result of a choice by the firm whereas involuntary delistings arise from breaches of exchange regulations and/or bankruptcy (Macey et al. 2008). Thus, we rely on involuntary delistings as an additional proxy for differences in risk between </w:t>
      </w:r>
      <w:r>
        <w:rPr>
          <w:rFonts w:ascii="Times New Roman" w:hAnsi="Times New Roman" w:cs="Times New Roman"/>
          <w:color w:val="000000"/>
          <w:sz w:val="24"/>
        </w:rPr>
        <w:t>SPAC- and non-SPAC-IPOs</w:t>
      </w:r>
      <w:r>
        <w:rPr>
          <w:rFonts w:ascii="Times New Roman" w:hAnsi="Times New Roman" w:cs="Times New Roman"/>
          <w:sz w:val="24"/>
        </w:rPr>
        <w:t xml:space="preserve"> as they contain information about the beliefs of the stock exchange regarding the firms quality, its future prospects and its inability to meet the listing requirements. We model the likelihood of a delisting as follows. </w:t>
      </w:r>
    </w:p>
    <w:p w14:paraId="32466BC2" w14:textId="4246EE31" w:rsidR="00B97BAD" w:rsidRPr="00767966" w:rsidRDefault="00B97BAD" w:rsidP="00B97BAD">
      <w:pPr>
        <w:tabs>
          <w:tab w:val="left" w:pos="2430"/>
        </w:tabs>
        <w:spacing w:after="0"/>
        <w:ind w:left="2520" w:hanging="1800"/>
        <w:jc w:val="both"/>
        <w:rPr>
          <w:rFonts w:ascii="Times New Roman" w:hAnsi="Times New Roman" w:cs="Times New Roman"/>
          <w:color w:val="000000"/>
          <w:vertAlign w:val="subscript"/>
        </w:rPr>
      </w:pPr>
      <w:r>
        <w:rPr>
          <w:rFonts w:ascii="Times New Roman" w:hAnsi="Times New Roman" w:cs="Times New Roman"/>
          <w:i/>
        </w:rPr>
        <w:t>DELISTED</w:t>
      </w:r>
      <w:r w:rsidRPr="00767966">
        <w:rPr>
          <w:rFonts w:ascii="Times New Roman" w:hAnsi="Times New Roman" w:cs="Times New Roman"/>
          <w:i/>
          <w:color w:val="000000"/>
        </w:rPr>
        <w:t xml:space="preserve"> =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 xml:space="preserve">0 </w:t>
      </w:r>
      <w:r w:rsidRPr="00767966">
        <w:rPr>
          <w:rFonts w:ascii="Times New Roman" w:hAnsi="Times New Roman" w:cs="Times New Roman"/>
          <w:i/>
          <w:color w:val="000000"/>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1</w:t>
      </w:r>
      <w:r w:rsidRPr="00767966">
        <w:rPr>
          <w:rFonts w:ascii="Times New Roman" w:hAnsi="Times New Roman" w:cs="Times New Roman"/>
          <w:i/>
        </w:rPr>
        <w:t>SPAC-IPO</w:t>
      </w:r>
      <w:r w:rsidRPr="00767966">
        <w:rPr>
          <w:rFonts w:ascii="Times New Roman" w:hAnsi="Times New Roman" w:cs="Times New Roman"/>
          <w:i/>
          <w:vertAlign w:val="subscript"/>
        </w:rPr>
        <w:t xml:space="preserve"> </w:t>
      </w:r>
      <w:r w:rsidRPr="00767966">
        <w:rPr>
          <w:rFonts w:ascii="Times New Roman" w:hAnsi="Times New Roman" w:cs="Times New Roman"/>
          <w:i/>
          <w:color w:val="000000"/>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2</w:t>
      </w:r>
      <w:r w:rsidRPr="00767966">
        <w:rPr>
          <w:rFonts w:ascii="Times New Roman" w:hAnsi="Times New Roman" w:cs="Times New Roman"/>
          <w:i/>
        </w:rPr>
        <w:t>PROCEEDS</w:t>
      </w:r>
      <w:r w:rsidRPr="00767966">
        <w:rPr>
          <w:rFonts w:ascii="Times New Roman" w:hAnsi="Times New Roman" w:cs="Times New Roman"/>
          <w:i/>
          <w:vertAlign w:val="subscript"/>
        </w:rPr>
        <w:t xml:space="preserve">  </w:t>
      </w:r>
      <w:r w:rsidRPr="00767966">
        <w:rPr>
          <w:rFonts w:ascii="Times New Roman" w:hAnsi="Times New Roman" w:cs="Times New Roman"/>
          <w:i/>
          <w:color w:val="000000"/>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3</w:t>
      </w:r>
      <w:r w:rsidRPr="00767966">
        <w:rPr>
          <w:rFonts w:ascii="Times New Roman" w:hAnsi="Times New Roman" w:cs="Times New Roman"/>
          <w:i/>
        </w:rPr>
        <w:t>ASSETS</w:t>
      </w:r>
      <w:r w:rsidRPr="00767966">
        <w:rPr>
          <w:rFonts w:ascii="Times New Roman" w:hAnsi="Times New Roman" w:cs="Times New Roman"/>
          <w:i/>
          <w:vertAlign w:val="subscript"/>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Pr>
          <w:rFonts w:ascii="Times New Roman" w:hAnsi="Times New Roman" w:cs="Times New Roman"/>
          <w:i/>
          <w:color w:val="000000"/>
          <w:vertAlign w:val="subscript"/>
        </w:rPr>
        <w:t>4</w:t>
      </w:r>
      <w:r>
        <w:rPr>
          <w:rFonts w:ascii="Times New Roman" w:hAnsi="Times New Roman" w:cs="Times New Roman"/>
          <w:i/>
          <w:color w:val="000000"/>
        </w:rPr>
        <w:t>ASSETTURNOVER</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Pr>
          <w:rFonts w:ascii="Times New Roman" w:hAnsi="Times New Roman" w:cs="Times New Roman"/>
          <w:i/>
          <w:color w:val="000000"/>
          <w:vertAlign w:val="subscript"/>
        </w:rPr>
        <w:t>5</w:t>
      </w:r>
      <w:r>
        <w:rPr>
          <w:rFonts w:ascii="Times New Roman" w:hAnsi="Times New Roman" w:cs="Times New Roman"/>
          <w:i/>
          <w:color w:val="000000"/>
        </w:rPr>
        <w:t>CURRATIO</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6</w:t>
      </w:r>
      <w:r>
        <w:rPr>
          <w:rFonts w:ascii="Times New Roman" w:hAnsi="Times New Roman" w:cs="Times New Roman"/>
          <w:i/>
          <w:color w:val="000000"/>
        </w:rPr>
        <w:t>LEVERAGE</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7</w:t>
      </w:r>
      <w:r>
        <w:rPr>
          <w:rFonts w:ascii="Times New Roman" w:hAnsi="Times New Roman" w:cs="Times New Roman"/>
          <w:i/>
          <w:color w:val="000000"/>
        </w:rPr>
        <w:t>ROA</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Pr>
          <w:rFonts w:ascii="Times New Roman" w:hAnsi="Times New Roman" w:cs="Times New Roman"/>
          <w:i/>
          <w:color w:val="000000"/>
          <w:vertAlign w:val="subscript"/>
        </w:rPr>
        <w:t>8</w:t>
      </w:r>
      <w:r>
        <w:rPr>
          <w:rFonts w:ascii="Times New Roman" w:hAnsi="Times New Roman" w:cs="Times New Roman"/>
          <w:i/>
          <w:color w:val="000000"/>
        </w:rPr>
        <w:t>ZSCORE</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Pr>
          <w:rFonts w:ascii="Times New Roman" w:hAnsi="Times New Roman" w:cs="Times New Roman"/>
          <w:i/>
          <w:color w:val="000000"/>
          <w:vertAlign w:val="subscript"/>
        </w:rPr>
        <w:t>9</w:t>
      </w:r>
      <w:r>
        <w:rPr>
          <w:rFonts w:ascii="Times New Roman" w:hAnsi="Times New Roman" w:cs="Times New Roman"/>
          <w:i/>
          <w:color w:val="000000"/>
        </w:rPr>
        <w:t>EGC</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2"/>
      </w:r>
      <w:r>
        <w:rPr>
          <w:rFonts w:ascii="Times New Roman" w:hAnsi="Times New Roman" w:cs="Times New Roman"/>
          <w:i/>
          <w:color w:val="000000"/>
          <w:vertAlign w:val="subscript"/>
        </w:rPr>
        <w:t>10</w:t>
      </w:r>
      <w:r>
        <w:rPr>
          <w:rFonts w:ascii="Times New Roman" w:hAnsi="Times New Roman" w:cs="Times New Roman"/>
          <w:i/>
          <w:color w:val="000000"/>
        </w:rPr>
        <w:t>FOREIGNFIRM</w:t>
      </w:r>
      <w:r w:rsidRPr="00767966">
        <w:rPr>
          <w:rFonts w:ascii="Times New Roman" w:hAnsi="Times New Roman" w:cs="Times New Roman"/>
          <w:i/>
          <w:color w:val="000000"/>
        </w:rPr>
        <w:t xml:space="preserve"> </w:t>
      </w:r>
      <w:r w:rsidRPr="00767966">
        <w:rPr>
          <w:rFonts w:ascii="Times New Roman" w:hAnsi="Times New Roman" w:cs="Times New Roman"/>
          <w:i/>
        </w:rPr>
        <w:t xml:space="preserve">+ </w:t>
      </w:r>
      <w:r w:rsidRPr="00767966">
        <w:rPr>
          <w:rFonts w:ascii="Times New Roman" w:hAnsi="Times New Roman" w:cs="Times New Roman"/>
          <w:i/>
          <w:color w:val="000000"/>
        </w:rPr>
        <w:sym w:font="Symbol" w:char="F065"/>
      </w:r>
      <w:r>
        <w:rPr>
          <w:rFonts w:ascii="Times New Roman" w:hAnsi="Times New Roman" w:cs="Times New Roman"/>
          <w:i/>
          <w:color w:val="000000"/>
        </w:rPr>
        <w:t xml:space="preserve">                                                </w:t>
      </w:r>
      <w:r w:rsidRPr="00D40CEC">
        <w:rPr>
          <w:rFonts w:ascii="Times New Roman" w:hAnsi="Times New Roman" w:cs="Times New Roman"/>
          <w:color w:val="000000"/>
        </w:rPr>
        <w:t>(</w:t>
      </w:r>
      <w:r>
        <w:rPr>
          <w:rFonts w:ascii="Times New Roman" w:hAnsi="Times New Roman" w:cs="Times New Roman"/>
          <w:color w:val="000000"/>
        </w:rPr>
        <w:t>5</w:t>
      </w:r>
      <w:r w:rsidRPr="00D40CEC">
        <w:rPr>
          <w:rFonts w:ascii="Times New Roman" w:hAnsi="Times New Roman" w:cs="Times New Roman"/>
          <w:color w:val="000000"/>
        </w:rPr>
        <w:t xml:space="preserve">)                                                                                       </w:t>
      </w:r>
    </w:p>
    <w:p w14:paraId="52A0B489" w14:textId="77777777" w:rsidR="00B97BAD" w:rsidRPr="00543569" w:rsidRDefault="00B97BAD" w:rsidP="00B97BAD">
      <w:pPr>
        <w:spacing w:after="0"/>
        <w:jc w:val="both"/>
        <w:rPr>
          <w:rFonts w:ascii="Times New Roman" w:hAnsi="Times New Roman" w:cs="Times New Roman"/>
          <w:sz w:val="24"/>
        </w:rPr>
      </w:pPr>
    </w:p>
    <w:p w14:paraId="7A3ADB69" w14:textId="079F87D1" w:rsidR="00B97BAD" w:rsidRPr="00543569" w:rsidRDefault="00B97BAD" w:rsidP="00B97BAD">
      <w:pPr>
        <w:spacing w:after="0" w:line="480" w:lineRule="auto"/>
        <w:jc w:val="both"/>
        <w:rPr>
          <w:rFonts w:ascii="Times New Roman" w:hAnsi="Times New Roman" w:cs="Times New Roman"/>
          <w:sz w:val="24"/>
        </w:rPr>
      </w:pPr>
      <w:r w:rsidRPr="00543569">
        <w:rPr>
          <w:rFonts w:ascii="Times New Roman" w:hAnsi="Times New Roman" w:cs="Times New Roman"/>
          <w:sz w:val="24"/>
        </w:rPr>
        <w:lastRenderedPageBreak/>
        <w:t xml:space="preserve">The dependent variable </w:t>
      </w:r>
      <w:r>
        <w:rPr>
          <w:rFonts w:ascii="Times New Roman" w:hAnsi="Times New Roman" w:cs="Times New Roman"/>
          <w:i/>
          <w:sz w:val="24"/>
        </w:rPr>
        <w:t>DELISTED</w:t>
      </w:r>
      <w:r w:rsidRPr="00543569">
        <w:rPr>
          <w:rFonts w:ascii="Times New Roman" w:hAnsi="Times New Roman" w:cs="Times New Roman"/>
          <w:sz w:val="24"/>
        </w:rPr>
        <w:t xml:space="preserve"> equal</w:t>
      </w:r>
      <w:r>
        <w:rPr>
          <w:rFonts w:ascii="Times New Roman" w:hAnsi="Times New Roman" w:cs="Times New Roman"/>
          <w:sz w:val="24"/>
        </w:rPr>
        <w:t>s</w:t>
      </w:r>
      <w:r w:rsidRPr="00543569">
        <w:rPr>
          <w:rFonts w:ascii="Times New Roman" w:hAnsi="Times New Roman" w:cs="Times New Roman"/>
          <w:sz w:val="24"/>
        </w:rPr>
        <w:t xml:space="preserve"> one </w:t>
      </w:r>
      <w:r w:rsidRPr="00135FF1">
        <w:rPr>
          <w:rFonts w:ascii="Times New Roman" w:hAnsi="Times New Roman" w:cs="Times New Roman"/>
          <w:sz w:val="24"/>
          <w:szCs w:val="24"/>
        </w:rPr>
        <w:t xml:space="preserve">for companies that </w:t>
      </w:r>
      <w:r>
        <w:rPr>
          <w:rFonts w:ascii="Times New Roman" w:hAnsi="Times New Roman" w:cs="Times New Roman"/>
          <w:sz w:val="24"/>
          <w:szCs w:val="24"/>
        </w:rPr>
        <w:t>are involuntarily delisted from the stock exchange</w:t>
      </w:r>
      <w:r w:rsidRPr="00543569">
        <w:rPr>
          <w:rFonts w:ascii="Times New Roman" w:hAnsi="Times New Roman" w:cs="Times New Roman"/>
          <w:sz w:val="24"/>
        </w:rPr>
        <w:t xml:space="preserve">, and zero otherwise. </w:t>
      </w:r>
      <w:r>
        <w:rPr>
          <w:rFonts w:ascii="Times New Roman" w:hAnsi="Times New Roman" w:cs="Times New Roman"/>
          <w:sz w:val="24"/>
        </w:rPr>
        <w:t xml:space="preserve">According to Hypothesis 4, </w:t>
      </w:r>
      <w:r w:rsidRPr="00543569">
        <w:rPr>
          <w:rFonts w:ascii="Times New Roman" w:hAnsi="Times New Roman" w:cs="Times New Roman"/>
          <w:i/>
          <w:color w:val="000000"/>
          <w:sz w:val="24"/>
        </w:rPr>
        <w:sym w:font="Symbol" w:char="F062"/>
      </w:r>
      <w:r w:rsidRPr="00543569">
        <w:rPr>
          <w:rFonts w:ascii="Times New Roman" w:hAnsi="Times New Roman" w:cs="Times New Roman"/>
          <w:i/>
          <w:color w:val="000000"/>
          <w:sz w:val="24"/>
          <w:vertAlign w:val="subscript"/>
        </w:rPr>
        <w:t xml:space="preserve">1 </w:t>
      </w:r>
      <w:r>
        <w:rPr>
          <w:rFonts w:ascii="Times New Roman" w:hAnsi="Times New Roman" w:cs="Times New Roman"/>
          <w:sz w:val="24"/>
        </w:rPr>
        <w:t xml:space="preserve">is expected to be positive. </w:t>
      </w:r>
      <w:r>
        <w:rPr>
          <w:rFonts w:ascii="Times New Roman" w:hAnsi="Times New Roman" w:cs="Times New Roman"/>
          <w:sz w:val="24"/>
          <w:szCs w:val="24"/>
        </w:rPr>
        <w:t xml:space="preserve">The control variables model the determinants of delisting. </w:t>
      </w:r>
      <w:r>
        <w:rPr>
          <w:rFonts w:ascii="Times New Roman" w:hAnsi="Times New Roman" w:cs="Times New Roman"/>
          <w:sz w:val="24"/>
        </w:rPr>
        <w:t>IPO proceeds (</w:t>
      </w:r>
      <w:r w:rsidRPr="00625EAF">
        <w:rPr>
          <w:rFonts w:ascii="Times New Roman" w:hAnsi="Times New Roman" w:cs="Times New Roman"/>
          <w:i/>
          <w:sz w:val="24"/>
        </w:rPr>
        <w:t>PROCEEDS</w:t>
      </w:r>
      <w:r>
        <w:rPr>
          <w:rFonts w:ascii="Times New Roman" w:hAnsi="Times New Roman" w:cs="Times New Roman"/>
          <w:sz w:val="24"/>
        </w:rPr>
        <w:t>) capture the amount of capital firms are raising; more capital helps meet the minimum capital requirements of the stock exchanges. Additionally, larger (</w:t>
      </w:r>
      <w:r w:rsidRPr="00625EAF">
        <w:rPr>
          <w:rFonts w:ascii="Times New Roman" w:hAnsi="Times New Roman" w:cs="Times New Roman"/>
          <w:i/>
          <w:sz w:val="24"/>
        </w:rPr>
        <w:t>ASSETS</w:t>
      </w:r>
      <w:r>
        <w:rPr>
          <w:rFonts w:ascii="Times New Roman" w:hAnsi="Times New Roman" w:cs="Times New Roman"/>
          <w:sz w:val="24"/>
        </w:rPr>
        <w:t>), more efficient (</w:t>
      </w:r>
      <w:r w:rsidRPr="00625EAF">
        <w:rPr>
          <w:rFonts w:ascii="Times New Roman" w:hAnsi="Times New Roman" w:cs="Times New Roman"/>
          <w:i/>
          <w:sz w:val="24"/>
        </w:rPr>
        <w:t>ASSETTURNOVER</w:t>
      </w:r>
      <w:r>
        <w:rPr>
          <w:rFonts w:ascii="Times New Roman" w:hAnsi="Times New Roman" w:cs="Times New Roman"/>
          <w:sz w:val="24"/>
        </w:rPr>
        <w:t>), more liquid (</w:t>
      </w:r>
      <w:r w:rsidRPr="00625EAF">
        <w:rPr>
          <w:rFonts w:ascii="Times New Roman" w:hAnsi="Times New Roman" w:cs="Times New Roman"/>
          <w:i/>
          <w:sz w:val="24"/>
        </w:rPr>
        <w:t>CURRATIO</w:t>
      </w:r>
      <w:r>
        <w:rPr>
          <w:rFonts w:ascii="Times New Roman" w:hAnsi="Times New Roman" w:cs="Times New Roman"/>
          <w:sz w:val="24"/>
        </w:rPr>
        <w:t xml:space="preserve">), more solvent (lower </w:t>
      </w:r>
      <w:r w:rsidRPr="00625EAF">
        <w:rPr>
          <w:rFonts w:ascii="Times New Roman" w:hAnsi="Times New Roman" w:cs="Times New Roman"/>
          <w:i/>
          <w:sz w:val="24"/>
        </w:rPr>
        <w:t>LEVERAGE</w:t>
      </w:r>
      <w:r>
        <w:rPr>
          <w:rFonts w:ascii="Times New Roman" w:hAnsi="Times New Roman" w:cs="Times New Roman"/>
          <w:sz w:val="24"/>
        </w:rPr>
        <w:t>), and more profitable (</w:t>
      </w:r>
      <w:r w:rsidRPr="00625EAF">
        <w:rPr>
          <w:rFonts w:ascii="Times New Roman" w:hAnsi="Times New Roman" w:cs="Times New Roman"/>
          <w:i/>
          <w:sz w:val="24"/>
        </w:rPr>
        <w:t>ROA</w:t>
      </w:r>
      <w:r>
        <w:rPr>
          <w:rFonts w:ascii="Times New Roman" w:hAnsi="Times New Roman" w:cs="Times New Roman"/>
          <w:sz w:val="24"/>
        </w:rPr>
        <w:t>) firms should have a lower likelihood of delisting. Firms subject to less bankruptcy risk (</w:t>
      </w:r>
      <w:r w:rsidRPr="00625EAF">
        <w:rPr>
          <w:rFonts w:ascii="Times New Roman" w:hAnsi="Times New Roman" w:cs="Times New Roman"/>
          <w:i/>
          <w:sz w:val="24"/>
        </w:rPr>
        <w:t>ZSCORE</w:t>
      </w:r>
      <w:r>
        <w:rPr>
          <w:rFonts w:ascii="Times New Roman" w:hAnsi="Times New Roman" w:cs="Times New Roman"/>
          <w:sz w:val="24"/>
        </w:rPr>
        <w:t>) should also have a lower likelihood of delisting</w:t>
      </w:r>
      <w:r w:rsidR="00AA1085">
        <w:rPr>
          <w:rFonts w:ascii="Times New Roman" w:hAnsi="Times New Roman" w:cs="Times New Roman"/>
          <w:sz w:val="24"/>
        </w:rPr>
        <w:t xml:space="preserve"> while e</w:t>
      </w:r>
      <w:r>
        <w:rPr>
          <w:rFonts w:ascii="Times New Roman" w:hAnsi="Times New Roman" w:cs="Times New Roman"/>
          <w:sz w:val="24"/>
        </w:rPr>
        <w:t>merging growth companies (</w:t>
      </w:r>
      <w:r w:rsidRPr="00625EAF">
        <w:rPr>
          <w:rFonts w:ascii="Times New Roman" w:hAnsi="Times New Roman" w:cs="Times New Roman"/>
          <w:i/>
          <w:sz w:val="24"/>
        </w:rPr>
        <w:t>EGC</w:t>
      </w:r>
      <w:r>
        <w:rPr>
          <w:rFonts w:ascii="Times New Roman" w:hAnsi="Times New Roman" w:cs="Times New Roman"/>
          <w:sz w:val="24"/>
        </w:rPr>
        <w:t>) are younger and more volatile which may lead to a higher probability of delisting. Foreign firms (</w:t>
      </w:r>
      <w:r w:rsidRPr="00625EAF">
        <w:rPr>
          <w:rFonts w:ascii="Times New Roman" w:hAnsi="Times New Roman" w:cs="Times New Roman"/>
          <w:i/>
          <w:sz w:val="24"/>
        </w:rPr>
        <w:t>FOREIGNFIRM</w:t>
      </w:r>
      <w:r>
        <w:rPr>
          <w:rFonts w:ascii="Times New Roman" w:hAnsi="Times New Roman" w:cs="Times New Roman"/>
          <w:sz w:val="24"/>
        </w:rPr>
        <w:t xml:space="preserve">) are more likely to be dual listed in their home country and the U.S. and potentially more likely to delist and remain trading only on their home stock exchange. </w:t>
      </w:r>
    </w:p>
    <w:p w14:paraId="3F003DB6" w14:textId="46E3D539" w:rsidR="00B97BAD" w:rsidRPr="00180C71" w:rsidRDefault="00B97BAD" w:rsidP="00B97BAD">
      <w:pPr>
        <w:jc w:val="both"/>
        <w:rPr>
          <w:rFonts w:ascii="Times New Roman" w:hAnsi="Times New Roman" w:cs="Times New Roman"/>
          <w:i/>
          <w:sz w:val="24"/>
          <w:szCs w:val="24"/>
        </w:rPr>
      </w:pPr>
      <w:r w:rsidRPr="00180C71">
        <w:rPr>
          <w:rFonts w:ascii="Times New Roman" w:hAnsi="Times New Roman" w:cs="Times New Roman"/>
          <w:i/>
          <w:sz w:val="24"/>
          <w:szCs w:val="24"/>
        </w:rPr>
        <w:t>4.</w:t>
      </w:r>
      <w:r w:rsidR="00477D0A">
        <w:rPr>
          <w:rFonts w:ascii="Times New Roman" w:hAnsi="Times New Roman" w:cs="Times New Roman"/>
          <w:i/>
          <w:sz w:val="24"/>
          <w:szCs w:val="24"/>
        </w:rPr>
        <w:t>2</w:t>
      </w:r>
      <w:r w:rsidRPr="00180C71">
        <w:rPr>
          <w:rFonts w:ascii="Times New Roman" w:hAnsi="Times New Roman" w:cs="Times New Roman"/>
          <w:i/>
          <w:sz w:val="24"/>
          <w:szCs w:val="24"/>
        </w:rPr>
        <w:t>.</w:t>
      </w:r>
      <w:r w:rsidRPr="00180C71">
        <w:rPr>
          <w:rFonts w:ascii="Times New Roman" w:hAnsi="Times New Roman" w:cs="Times New Roman"/>
          <w:i/>
          <w:sz w:val="24"/>
          <w:szCs w:val="24"/>
        </w:rPr>
        <w:tab/>
      </w:r>
      <w:r>
        <w:rPr>
          <w:rFonts w:ascii="Times New Roman" w:hAnsi="Times New Roman" w:cs="Times New Roman"/>
          <w:i/>
          <w:sz w:val="24"/>
        </w:rPr>
        <w:t>Information Risk</w:t>
      </w:r>
      <w:r w:rsidR="00477D0A">
        <w:rPr>
          <w:rFonts w:ascii="Times New Roman" w:hAnsi="Times New Roman" w:cs="Times New Roman"/>
          <w:i/>
          <w:sz w:val="24"/>
        </w:rPr>
        <w:t xml:space="preserve"> Me</w:t>
      </w:r>
      <w:r w:rsidR="00B65EA2">
        <w:rPr>
          <w:rFonts w:ascii="Times New Roman" w:hAnsi="Times New Roman" w:cs="Times New Roman"/>
          <w:i/>
          <w:sz w:val="24"/>
        </w:rPr>
        <w:t>tric</w:t>
      </w:r>
      <w:r w:rsidR="00477D0A">
        <w:rPr>
          <w:rFonts w:ascii="Times New Roman" w:hAnsi="Times New Roman" w:cs="Times New Roman"/>
          <w:i/>
          <w:sz w:val="24"/>
        </w:rPr>
        <w:t xml:space="preserve"> and</w:t>
      </w:r>
      <w:r>
        <w:rPr>
          <w:rFonts w:ascii="Times New Roman" w:hAnsi="Times New Roman" w:cs="Times New Roman"/>
          <w:i/>
          <w:sz w:val="24"/>
        </w:rPr>
        <w:t xml:space="preserve"> </w:t>
      </w:r>
      <w:r w:rsidR="00477D0A">
        <w:rPr>
          <w:rFonts w:ascii="Times New Roman" w:hAnsi="Times New Roman" w:cs="Times New Roman"/>
          <w:i/>
          <w:sz w:val="24"/>
        </w:rPr>
        <w:t xml:space="preserve">Stock </w:t>
      </w:r>
      <w:r>
        <w:rPr>
          <w:rFonts w:ascii="Times New Roman" w:hAnsi="Times New Roman" w:cs="Times New Roman"/>
          <w:i/>
          <w:sz w:val="24"/>
        </w:rPr>
        <w:t>Return</w:t>
      </w:r>
    </w:p>
    <w:p w14:paraId="5BAC5019" w14:textId="63371649" w:rsidR="0058750A" w:rsidRDefault="0058750A" w:rsidP="008830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As in Gahng </w:t>
      </w:r>
      <w:r w:rsidR="00D6096B">
        <w:rPr>
          <w:rFonts w:ascii="Times New Roman" w:hAnsi="Times New Roman" w:cs="Times New Roman"/>
          <w:sz w:val="24"/>
        </w:rPr>
        <w:t xml:space="preserve">et al. </w:t>
      </w:r>
      <w:r>
        <w:rPr>
          <w:rFonts w:ascii="Times New Roman" w:hAnsi="Times New Roman" w:cs="Times New Roman"/>
          <w:sz w:val="24"/>
        </w:rPr>
        <w:t>(2021), we use market-adjusted one-year buy-and-hold stock return (</w:t>
      </w:r>
      <w:r w:rsidRPr="00A0626B">
        <w:rPr>
          <w:rFonts w:ascii="Times New Roman" w:hAnsi="Times New Roman" w:cs="Times New Roman"/>
          <w:i/>
          <w:sz w:val="24"/>
        </w:rPr>
        <w:t>CAR</w:t>
      </w:r>
      <w:r>
        <w:rPr>
          <w:rFonts w:ascii="Times New Roman" w:hAnsi="Times New Roman" w:cs="Times New Roman"/>
          <w:sz w:val="24"/>
        </w:rPr>
        <w:t xml:space="preserve">) as a measure of </w:t>
      </w:r>
      <w:r w:rsidR="00B97BAD">
        <w:rPr>
          <w:rFonts w:ascii="Times New Roman" w:hAnsi="Times New Roman" w:cs="Times New Roman"/>
          <w:sz w:val="24"/>
        </w:rPr>
        <w:t>the stock return underperformance of SPACs</w:t>
      </w:r>
      <w:r>
        <w:rPr>
          <w:rFonts w:ascii="Times New Roman" w:hAnsi="Times New Roman" w:cs="Times New Roman"/>
          <w:sz w:val="24"/>
        </w:rPr>
        <w:t xml:space="preserve">. </w:t>
      </w:r>
      <w:r w:rsidR="008830E3">
        <w:rPr>
          <w:rFonts w:ascii="Times New Roman" w:hAnsi="Times New Roman" w:cs="Times New Roman"/>
          <w:sz w:val="24"/>
        </w:rPr>
        <w:t xml:space="preserve">We compute </w:t>
      </w:r>
      <w:r w:rsidR="008830E3" w:rsidRPr="00A0626B">
        <w:rPr>
          <w:rFonts w:ascii="Times New Roman" w:hAnsi="Times New Roman" w:cs="Times New Roman"/>
          <w:i/>
          <w:sz w:val="24"/>
        </w:rPr>
        <w:t>CAR</w:t>
      </w:r>
      <w:r w:rsidR="008830E3">
        <w:rPr>
          <w:rFonts w:ascii="Times New Roman" w:hAnsi="Times New Roman" w:cs="Times New Roman"/>
          <w:sz w:val="24"/>
        </w:rPr>
        <w:t xml:space="preserve"> for Year t (the year the SPAC-IPO merges with the SPAC and starts trading publicly)</w:t>
      </w:r>
      <w:r w:rsidR="00B97BAD">
        <w:rPr>
          <w:rFonts w:ascii="Times New Roman" w:hAnsi="Times New Roman" w:cs="Times New Roman"/>
          <w:sz w:val="24"/>
        </w:rPr>
        <w:t xml:space="preserve">, </w:t>
      </w:r>
      <w:r w:rsidR="008830E3">
        <w:rPr>
          <w:rFonts w:ascii="Times New Roman" w:hAnsi="Times New Roman" w:cs="Times New Roman"/>
          <w:sz w:val="24"/>
        </w:rPr>
        <w:t xml:space="preserve">Years t+1 and t+2. </w:t>
      </w:r>
      <w:r>
        <w:rPr>
          <w:rFonts w:ascii="Times New Roman" w:hAnsi="Times New Roman" w:cs="Times New Roman"/>
          <w:sz w:val="24"/>
          <w:szCs w:val="24"/>
        </w:rPr>
        <w:t xml:space="preserve">The computation of </w:t>
      </w:r>
      <w:r w:rsidRPr="00A0626B">
        <w:rPr>
          <w:rFonts w:ascii="Times New Roman" w:hAnsi="Times New Roman" w:cs="Times New Roman"/>
          <w:i/>
          <w:sz w:val="24"/>
          <w:szCs w:val="24"/>
        </w:rPr>
        <w:t>CAR</w:t>
      </w:r>
      <w:r w:rsidRPr="00A0626B">
        <w:rPr>
          <w:rFonts w:ascii="Times New Roman" w:hAnsi="Times New Roman" w:cs="Times New Roman"/>
          <w:i/>
          <w:sz w:val="24"/>
          <w:szCs w:val="24"/>
          <w:vertAlign w:val="subscript"/>
        </w:rPr>
        <w:t xml:space="preserve">t </w:t>
      </w:r>
      <w:r>
        <w:rPr>
          <w:rFonts w:ascii="Times New Roman" w:hAnsi="Times New Roman" w:cs="Times New Roman"/>
          <w:sz w:val="24"/>
          <w:szCs w:val="24"/>
        </w:rPr>
        <w:t xml:space="preserve">is slightly different from </w:t>
      </w:r>
      <w:r w:rsidRPr="00A0626B">
        <w:rPr>
          <w:rFonts w:ascii="Times New Roman" w:hAnsi="Times New Roman" w:cs="Times New Roman"/>
          <w:i/>
          <w:sz w:val="24"/>
          <w:szCs w:val="24"/>
        </w:rPr>
        <w:t>CAR</w:t>
      </w:r>
      <w:r w:rsidRPr="00A0626B">
        <w:rPr>
          <w:rFonts w:ascii="Times New Roman" w:hAnsi="Times New Roman" w:cs="Times New Roman"/>
          <w:i/>
          <w:sz w:val="24"/>
          <w:szCs w:val="24"/>
          <w:vertAlign w:val="subscript"/>
        </w:rPr>
        <w:t>t+1</w:t>
      </w:r>
      <w:r w:rsidR="008830E3">
        <w:rPr>
          <w:rFonts w:ascii="Times New Roman" w:hAnsi="Times New Roman" w:cs="Times New Roman"/>
          <w:sz w:val="24"/>
          <w:szCs w:val="24"/>
        </w:rPr>
        <w:t xml:space="preserve"> and </w:t>
      </w:r>
      <w:r w:rsidR="008830E3" w:rsidRPr="00A0626B">
        <w:rPr>
          <w:rFonts w:ascii="Times New Roman" w:hAnsi="Times New Roman" w:cs="Times New Roman"/>
          <w:i/>
          <w:sz w:val="24"/>
          <w:szCs w:val="24"/>
        </w:rPr>
        <w:t>CAR</w:t>
      </w:r>
      <w:r w:rsidR="008830E3" w:rsidRPr="00A0626B">
        <w:rPr>
          <w:rFonts w:ascii="Times New Roman" w:hAnsi="Times New Roman" w:cs="Times New Roman"/>
          <w:i/>
          <w:sz w:val="24"/>
          <w:szCs w:val="24"/>
          <w:vertAlign w:val="subscript"/>
        </w:rPr>
        <w:t>t+2</w:t>
      </w:r>
      <w:r w:rsidR="008830E3">
        <w:rPr>
          <w:rFonts w:ascii="Times New Roman" w:hAnsi="Times New Roman" w:cs="Times New Roman"/>
          <w:sz w:val="24"/>
          <w:szCs w:val="24"/>
        </w:rPr>
        <w:t xml:space="preserve">. </w:t>
      </w:r>
      <w:r>
        <w:rPr>
          <w:rFonts w:ascii="Times New Roman" w:hAnsi="Times New Roman" w:cs="Times New Roman"/>
          <w:sz w:val="24"/>
          <w:szCs w:val="24"/>
        </w:rPr>
        <w:t xml:space="preserve">Because the number of trading days for the Year t is expected to vary across SPAC-IPOs depending on the deal closing date and the fiscal year-end of the company, we compute </w:t>
      </w:r>
      <w:r w:rsidR="008830E3">
        <w:rPr>
          <w:rFonts w:ascii="Times New Roman" w:hAnsi="Times New Roman" w:cs="Times New Roman"/>
          <w:sz w:val="24"/>
          <w:szCs w:val="24"/>
        </w:rPr>
        <w:t xml:space="preserve">annualized </w:t>
      </w:r>
      <w:r w:rsidRPr="00A0626B">
        <w:rPr>
          <w:rFonts w:ascii="Times New Roman" w:hAnsi="Times New Roman" w:cs="Times New Roman"/>
          <w:i/>
          <w:sz w:val="24"/>
          <w:szCs w:val="24"/>
        </w:rPr>
        <w:t>CAR</w:t>
      </w:r>
      <w:r w:rsidR="00BC6405">
        <w:rPr>
          <w:rFonts w:ascii="Times New Roman" w:hAnsi="Times New Roman" w:cs="Times New Roman"/>
          <w:i/>
          <w:sz w:val="24"/>
          <w:szCs w:val="24"/>
          <w:vertAlign w:val="subscript"/>
        </w:rPr>
        <w:t>i</w:t>
      </w:r>
      <w:r w:rsidR="00C17C50">
        <w:rPr>
          <w:rFonts w:ascii="Times New Roman" w:hAnsi="Times New Roman" w:cs="Times New Roman"/>
          <w:i/>
          <w:sz w:val="24"/>
          <w:szCs w:val="24"/>
          <w:vertAlign w:val="subscript"/>
        </w:rPr>
        <w:t>,</w:t>
      </w:r>
      <w:r w:rsidR="00BC6405">
        <w:rPr>
          <w:rFonts w:ascii="Times New Roman" w:hAnsi="Times New Roman" w:cs="Times New Roman"/>
          <w:i/>
          <w:sz w:val="24"/>
          <w:szCs w:val="24"/>
          <w:vertAlign w:val="subscript"/>
        </w:rPr>
        <w:t>t</w:t>
      </w:r>
      <w:r>
        <w:rPr>
          <w:rFonts w:ascii="Times New Roman" w:hAnsi="Times New Roman" w:cs="Times New Roman"/>
          <w:sz w:val="24"/>
          <w:szCs w:val="24"/>
        </w:rPr>
        <w:t xml:space="preserve"> </w:t>
      </w:r>
      <w:r w:rsidR="00C17C50">
        <w:rPr>
          <w:rFonts w:ascii="Times New Roman" w:hAnsi="Times New Roman" w:cs="Times New Roman"/>
          <w:sz w:val="24"/>
          <w:szCs w:val="24"/>
        </w:rPr>
        <w:t xml:space="preserve">for SPAC-IPO </w:t>
      </w:r>
      <w:r w:rsidR="00C17C50" w:rsidRPr="00EA6EAA">
        <w:rPr>
          <w:rFonts w:ascii="Times New Roman" w:hAnsi="Times New Roman" w:cs="Times New Roman"/>
          <w:i/>
          <w:sz w:val="24"/>
          <w:szCs w:val="24"/>
        </w:rPr>
        <w:t>i</w:t>
      </w:r>
      <w:r w:rsidR="00C17C50">
        <w:rPr>
          <w:rFonts w:ascii="Times New Roman" w:hAnsi="Times New Roman" w:cs="Times New Roman"/>
          <w:sz w:val="24"/>
          <w:szCs w:val="24"/>
        </w:rPr>
        <w:t xml:space="preserve"> </w:t>
      </w:r>
      <w:r>
        <w:rPr>
          <w:rFonts w:ascii="Times New Roman" w:hAnsi="Times New Roman" w:cs="Times New Roman"/>
          <w:sz w:val="24"/>
          <w:szCs w:val="24"/>
        </w:rPr>
        <w:t>as follows.</w:t>
      </w:r>
    </w:p>
    <w:p w14:paraId="7C89BD60" w14:textId="20D4C54A" w:rsidR="0058750A" w:rsidRDefault="0048295D" w:rsidP="0058750A">
      <w:pPr>
        <w:ind w:left="720" w:firstLine="720"/>
      </w:pPr>
      <m:oMath>
        <m:sSub>
          <m:sSubPr>
            <m:ctrlPr>
              <w:rPr>
                <w:rFonts w:ascii="Cambria Math" w:hAnsi="Cambria Math" w:cs="Times New Roman"/>
                <w:i/>
              </w:rPr>
            </m:ctrlPr>
          </m:sSubPr>
          <m:e>
            <m:r>
              <w:rPr>
                <w:rFonts w:ascii="Cambria Math" w:hAnsi="Cambria Math" w:cs="Times New Roman"/>
              </w:rPr>
              <m:t>CAR</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d=x</m:t>
                </m:r>
              </m:sub>
              <m:sup>
                <m:r>
                  <m:rPr>
                    <m:sty m:val="p"/>
                  </m:rPr>
                  <w:rPr>
                    <w:rFonts w:ascii="Cambria Math" w:hAnsi="Cambria Math" w:cs="Times New Roman"/>
                  </w:rPr>
                  <m:t>min⁡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   delist)</m:t>
                </m:r>
              </m:sup>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i,d</m:t>
                        </m:r>
                      </m:sub>
                    </m:sSub>
                  </m:e>
                </m:d>
              </m:e>
            </m:nary>
            <m:r>
              <w:rPr>
                <w:rFonts w:ascii="Cambria Math" w:hAnsi="Cambria Math" w:cs="Times New Roman"/>
              </w:rPr>
              <m:t xml:space="preserve"> - </m:t>
            </m:r>
            <m:nary>
              <m:naryPr>
                <m:chr m:val="∏"/>
                <m:limLoc m:val="undOvr"/>
                <m:ctrlPr>
                  <w:rPr>
                    <w:rFonts w:ascii="Cambria Math" w:hAnsi="Cambria Math" w:cs="Times New Roman"/>
                    <w:i/>
                  </w:rPr>
                </m:ctrlPr>
              </m:naryPr>
              <m:sub>
                <m:r>
                  <w:rPr>
                    <w:rFonts w:ascii="Cambria Math" w:hAnsi="Cambria Math" w:cs="Times New Roman"/>
                  </w:rPr>
                  <m:t>d=x</m:t>
                </m:r>
              </m:sub>
              <m:sup>
                <m:r>
                  <m:rPr>
                    <m:sty m:val="p"/>
                  </m:rPr>
                  <w:rPr>
                    <w:rFonts w:ascii="Cambria Math" w:hAnsi="Cambria Math" w:cs="Times New Roman"/>
                  </w:rPr>
                  <m:t>min⁡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   delist)</m:t>
                </m:r>
              </m:sup>
              <m:e>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CRSPVW</m:t>
                        </m:r>
                      </m:e>
                      <m:sub>
                        <m:r>
                          <w:rPr>
                            <w:rFonts w:ascii="Cambria Math" w:hAnsi="Cambria Math" w:cs="Times New Roman"/>
                          </w:rPr>
                          <m:t>i,d</m:t>
                        </m:r>
                      </m:sub>
                    </m:sSub>
                  </m:e>
                </m:d>
              </m:e>
            </m:nary>
          </m:num>
          <m:den>
            <m:r>
              <m:rPr>
                <m:sty m:val="p"/>
              </m:rPr>
              <w:rPr>
                <w:rFonts w:ascii="Cambria Math" w:hAnsi="Cambria Math" w:cs="Times New Roman"/>
              </w:rPr>
              <m:t>min⁡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   delist)-x</m:t>
            </m:r>
          </m:den>
        </m:f>
        <m:r>
          <w:rPr>
            <w:rFonts w:ascii="Cambria Math" w:hAnsi="Cambria Math" w:cs="Times New Roman"/>
          </w:rPr>
          <m:t>×252</m:t>
        </m:r>
      </m:oMath>
      <w:r w:rsidR="008830E3">
        <w:rPr>
          <w:rFonts w:eastAsiaTheme="minorEastAsia"/>
        </w:rPr>
        <w:t xml:space="preserve"> </w:t>
      </w:r>
      <w:r w:rsidR="008830E3">
        <w:rPr>
          <w:rFonts w:eastAsiaTheme="minorEastAsia"/>
        </w:rPr>
        <w:tab/>
      </w:r>
      <w:r w:rsidR="008830E3">
        <w:rPr>
          <w:rFonts w:eastAsiaTheme="minorEastAsia"/>
        </w:rPr>
        <w:tab/>
      </w:r>
      <w:r w:rsidR="008830E3" w:rsidRPr="008830E3">
        <w:rPr>
          <w:rFonts w:ascii="Times New Roman" w:eastAsiaTheme="minorEastAsia" w:hAnsi="Times New Roman" w:cs="Times New Roman"/>
        </w:rPr>
        <w:t>(6)</w:t>
      </w:r>
    </w:p>
    <w:p w14:paraId="4B32F41A" w14:textId="64D71F3D" w:rsidR="0058750A" w:rsidRPr="00160BD2" w:rsidRDefault="0058750A" w:rsidP="0058750A">
      <w:pPr>
        <w:spacing w:after="0" w:line="480" w:lineRule="auto"/>
        <w:jc w:val="both"/>
        <w:rPr>
          <w:rFonts w:ascii="Times New Roman" w:hAnsi="Times New Roman" w:cs="Times New Roman"/>
          <w:sz w:val="24"/>
          <w:szCs w:val="24"/>
          <w:vertAlign w:val="subscript"/>
        </w:rPr>
      </w:pPr>
      <w:r w:rsidRPr="00160BD2">
        <w:rPr>
          <w:rFonts w:ascii="Times New Roman" w:hAnsi="Times New Roman" w:cs="Times New Roman"/>
          <w:sz w:val="24"/>
          <w:szCs w:val="24"/>
        </w:rPr>
        <w:t xml:space="preserve">where </w:t>
      </w:r>
      <m:oMath>
        <m:r>
          <w:rPr>
            <w:rFonts w:ascii="Cambria Math" w:hAnsi="Cambria Math" w:cs="Times New Roman"/>
            <w:sz w:val="24"/>
            <w:szCs w:val="24"/>
          </w:rPr>
          <m:t>x</m:t>
        </m:r>
      </m:oMath>
      <w:r w:rsidRPr="00160BD2">
        <w:rPr>
          <w:rFonts w:ascii="Times New Roman" w:hAnsi="Times New Roman" w:cs="Times New Roman"/>
          <w:sz w:val="24"/>
          <w:szCs w:val="24"/>
        </w:rPr>
        <w:t xml:space="preserve"> is the </w:t>
      </w:r>
      <w:r>
        <w:rPr>
          <w:rFonts w:ascii="Times New Roman" w:hAnsi="Times New Roman" w:cs="Times New Roman"/>
          <w:sz w:val="24"/>
          <w:szCs w:val="24"/>
        </w:rPr>
        <w:t xml:space="preserve">SPAC-IPO </w:t>
      </w:r>
      <w:r w:rsidRPr="00160BD2">
        <w:rPr>
          <w:rFonts w:ascii="Times New Roman" w:hAnsi="Times New Roman" w:cs="Times New Roman"/>
          <w:sz w:val="24"/>
          <w:szCs w:val="24"/>
        </w:rPr>
        <w:t xml:space="preserve">deal closing date,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160BD2">
        <w:rPr>
          <w:rFonts w:ascii="Times New Roman" w:hAnsi="Times New Roman" w:cs="Times New Roman"/>
          <w:sz w:val="24"/>
          <w:szCs w:val="24"/>
        </w:rPr>
        <w:t xml:space="preserve"> is the last trading day in the third month after the fiscal year end of </w:t>
      </w:r>
      <m:oMath>
        <m:r>
          <w:rPr>
            <w:rFonts w:ascii="Cambria Math" w:hAnsi="Cambria Math" w:cs="Times New Roman"/>
            <w:sz w:val="24"/>
            <w:szCs w:val="24"/>
          </w:rPr>
          <m:t>t</m:t>
        </m:r>
      </m:oMath>
      <w:r w:rsidRPr="00160BD2">
        <w:rPr>
          <w:rFonts w:ascii="Times New Roman" w:hAnsi="Times New Roman" w:cs="Times New Roman"/>
          <w:sz w:val="24"/>
          <w:szCs w:val="24"/>
        </w:rPr>
        <w:t xml:space="preserve">, </w:t>
      </w:r>
      <m:oMath>
        <m:r>
          <w:rPr>
            <w:rFonts w:ascii="Cambria Math" w:hAnsi="Cambria Math" w:cs="Times New Roman"/>
            <w:sz w:val="24"/>
            <w:szCs w:val="24"/>
          </w:rPr>
          <m:t>delist</m:t>
        </m:r>
      </m:oMath>
      <w:r w:rsidRPr="00160BD2">
        <w:rPr>
          <w:rFonts w:ascii="Times New Roman" w:hAnsi="Times New Roman" w:cs="Times New Roman"/>
          <w:sz w:val="24"/>
          <w:szCs w:val="24"/>
        </w:rPr>
        <w:t xml:space="preserve"> is the delist day,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i,d</m:t>
            </m:r>
          </m:sub>
        </m:sSub>
      </m:oMath>
      <w:r w:rsidRPr="00160BD2">
        <w:rPr>
          <w:rFonts w:ascii="Times New Roman" w:hAnsi="Times New Roman" w:cs="Times New Roman"/>
          <w:sz w:val="24"/>
          <w:szCs w:val="24"/>
        </w:rPr>
        <w:t xml:space="preserve"> is the </w:t>
      </w:r>
      <w:r>
        <w:rPr>
          <w:rFonts w:ascii="Times New Roman" w:hAnsi="Times New Roman" w:cs="Times New Roman"/>
          <w:sz w:val="24"/>
          <w:szCs w:val="24"/>
        </w:rPr>
        <w:t xml:space="preserve">day </w:t>
      </w:r>
      <w:r w:rsidRPr="00160BD2">
        <w:rPr>
          <w:rFonts w:ascii="Times New Roman" w:hAnsi="Times New Roman" w:cs="Times New Roman"/>
          <w:i/>
          <w:sz w:val="24"/>
          <w:szCs w:val="24"/>
        </w:rPr>
        <w:t>d</w:t>
      </w:r>
      <w:r>
        <w:rPr>
          <w:rFonts w:ascii="Times New Roman" w:hAnsi="Times New Roman" w:cs="Times New Roman"/>
          <w:sz w:val="24"/>
          <w:szCs w:val="24"/>
        </w:rPr>
        <w:t xml:space="preserve"> SPAC-IPO common stock </w:t>
      </w:r>
      <w:r w:rsidRPr="00160BD2">
        <w:rPr>
          <w:rFonts w:ascii="Times New Roman" w:hAnsi="Times New Roman" w:cs="Times New Roman"/>
          <w:sz w:val="24"/>
          <w:szCs w:val="24"/>
        </w:rPr>
        <w:t xml:space="preserve">return, </w:t>
      </w:r>
      <m:oMath>
        <m:sSub>
          <m:sSubPr>
            <m:ctrlPr>
              <w:rPr>
                <w:rFonts w:ascii="Cambria Math" w:hAnsi="Cambria Math" w:cs="Times New Roman"/>
                <w:i/>
                <w:sz w:val="24"/>
                <w:szCs w:val="24"/>
              </w:rPr>
            </m:ctrlPr>
          </m:sSubPr>
          <m:e>
            <m:r>
              <w:rPr>
                <w:rFonts w:ascii="Cambria Math" w:hAnsi="Cambria Math" w:cs="Times New Roman"/>
                <w:sz w:val="24"/>
                <w:szCs w:val="24"/>
              </w:rPr>
              <m:t>CRSPVW</m:t>
            </m:r>
          </m:e>
          <m:sub>
            <m:r>
              <w:rPr>
                <w:rFonts w:ascii="Cambria Math" w:hAnsi="Cambria Math" w:cs="Times New Roman"/>
                <w:sz w:val="24"/>
                <w:szCs w:val="24"/>
              </w:rPr>
              <m:t>i,d</m:t>
            </m:r>
          </m:sub>
        </m:sSub>
      </m:oMath>
      <w:r w:rsidRPr="00160BD2">
        <w:rPr>
          <w:rFonts w:ascii="Times New Roman" w:hAnsi="Times New Roman" w:cs="Times New Roman"/>
          <w:sz w:val="24"/>
          <w:szCs w:val="24"/>
        </w:rPr>
        <w:t xml:space="preserve"> is the value</w:t>
      </w:r>
      <w:r w:rsidR="00043D79">
        <w:rPr>
          <w:rFonts w:ascii="Times New Roman" w:hAnsi="Times New Roman" w:cs="Times New Roman"/>
          <w:sz w:val="24"/>
          <w:szCs w:val="24"/>
        </w:rPr>
        <w:t>-</w:t>
      </w:r>
      <w:r w:rsidRPr="00160BD2">
        <w:rPr>
          <w:rFonts w:ascii="Times New Roman" w:hAnsi="Times New Roman" w:cs="Times New Roman"/>
          <w:sz w:val="24"/>
          <w:szCs w:val="24"/>
        </w:rPr>
        <w:t xml:space="preserve">weighted CRSP index return </w:t>
      </w:r>
      <w:r>
        <w:rPr>
          <w:rFonts w:ascii="Times New Roman" w:hAnsi="Times New Roman" w:cs="Times New Roman"/>
          <w:sz w:val="24"/>
          <w:szCs w:val="24"/>
        </w:rPr>
        <w:t xml:space="preserve">for </w:t>
      </w:r>
      <w:r w:rsidRPr="00160BD2">
        <w:rPr>
          <w:rFonts w:ascii="Times New Roman" w:hAnsi="Times New Roman" w:cs="Times New Roman"/>
          <w:sz w:val="24"/>
          <w:szCs w:val="24"/>
        </w:rPr>
        <w:t xml:space="preserve">day </w:t>
      </w:r>
      <m:oMath>
        <m:r>
          <w:rPr>
            <w:rFonts w:ascii="Cambria Math" w:hAnsi="Cambria Math" w:cs="Times New Roman"/>
            <w:sz w:val="24"/>
            <w:szCs w:val="24"/>
          </w:rPr>
          <m:t>d</m:t>
        </m:r>
      </m:oMath>
      <w:r w:rsidRPr="00160BD2">
        <w:rPr>
          <w:rFonts w:ascii="Times New Roman" w:hAnsi="Times New Roman" w:cs="Times New Roman"/>
          <w:sz w:val="24"/>
          <w:szCs w:val="24"/>
        </w:rPr>
        <w:t xml:space="preserve">, </w:t>
      </w:r>
      <m:oMath>
        <m:r>
          <m:rPr>
            <m:sty m:val="p"/>
          </m:rPr>
          <w:rPr>
            <w:rFonts w:ascii="Cambria Math" w:hAnsi="Cambria Math" w:cs="Times New Roman"/>
            <w:sz w:val="24"/>
            <w:szCs w:val="24"/>
          </w:rPr>
          <m:t>min⁡</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delist)-x</m:t>
        </m:r>
      </m:oMath>
      <w:r w:rsidRPr="00160BD2">
        <w:rPr>
          <w:rFonts w:ascii="Times New Roman" w:hAnsi="Times New Roman" w:cs="Times New Roman"/>
          <w:sz w:val="24"/>
          <w:szCs w:val="24"/>
        </w:rPr>
        <w:t xml:space="preserve"> is the total </w:t>
      </w:r>
      <w:r w:rsidRPr="00160BD2">
        <w:rPr>
          <w:rFonts w:ascii="Times New Roman" w:hAnsi="Times New Roman" w:cs="Times New Roman"/>
          <w:sz w:val="24"/>
          <w:szCs w:val="24"/>
        </w:rPr>
        <w:lastRenderedPageBreak/>
        <w:t xml:space="preserve">number of trading days to compute </w:t>
      </w:r>
      <m:oMath>
        <m:sSub>
          <m:sSubPr>
            <m:ctrlPr>
              <w:rPr>
                <w:rFonts w:ascii="Cambria Math" w:hAnsi="Cambria Math" w:cs="Times New Roman"/>
                <w:i/>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oMath>
      <w:r w:rsidRPr="00160BD2">
        <w:rPr>
          <w:rFonts w:ascii="Times New Roman" w:hAnsi="Times New Roman" w:cs="Times New Roman"/>
          <w:sz w:val="24"/>
          <w:szCs w:val="24"/>
        </w:rPr>
        <w:t xml:space="preserve">. </w:t>
      </w:r>
      <w:r>
        <w:rPr>
          <w:rFonts w:ascii="Times New Roman" w:hAnsi="Times New Roman" w:cs="Times New Roman"/>
          <w:sz w:val="24"/>
          <w:szCs w:val="24"/>
        </w:rPr>
        <w:t xml:space="preserve">We end our cumulating period three months after the fiscal year-end to ensure that information contained in the annual reports can be disseminated into the stock price within the return holding period. We compute </w:t>
      </w:r>
      <w:r w:rsidRPr="00BC6405">
        <w:rPr>
          <w:rFonts w:ascii="Times New Roman" w:hAnsi="Times New Roman" w:cs="Times New Roman"/>
          <w:i/>
          <w:sz w:val="24"/>
          <w:szCs w:val="24"/>
        </w:rPr>
        <w:t>CAR</w:t>
      </w:r>
      <w:r w:rsidR="00C17C50" w:rsidRPr="00EA6EAA">
        <w:rPr>
          <w:rFonts w:ascii="Times New Roman" w:hAnsi="Times New Roman" w:cs="Times New Roman"/>
          <w:i/>
          <w:sz w:val="24"/>
          <w:szCs w:val="24"/>
          <w:vertAlign w:val="subscript"/>
        </w:rPr>
        <w:t>i,</w:t>
      </w:r>
      <w:r w:rsidRPr="00BC6405">
        <w:rPr>
          <w:rFonts w:ascii="Times New Roman" w:hAnsi="Times New Roman" w:cs="Times New Roman"/>
          <w:i/>
          <w:sz w:val="24"/>
          <w:szCs w:val="24"/>
          <w:vertAlign w:val="subscript"/>
        </w:rPr>
        <w:t>t+1</w:t>
      </w:r>
      <w:r>
        <w:rPr>
          <w:rFonts w:ascii="Times New Roman" w:hAnsi="Times New Roman" w:cs="Times New Roman"/>
          <w:sz w:val="24"/>
          <w:szCs w:val="24"/>
          <w:vertAlign w:val="subscript"/>
        </w:rPr>
        <w:t xml:space="preserve"> </w:t>
      </w:r>
      <w:r w:rsidR="00C17C50">
        <w:rPr>
          <w:rFonts w:ascii="Times New Roman" w:hAnsi="Times New Roman" w:cs="Times New Roman"/>
          <w:sz w:val="24"/>
          <w:szCs w:val="24"/>
        </w:rPr>
        <w:t xml:space="preserve">for SPAC-IPO </w:t>
      </w:r>
      <w:r w:rsidR="00C17C50" w:rsidRPr="00EA6EAA">
        <w:rPr>
          <w:rFonts w:ascii="Times New Roman" w:hAnsi="Times New Roman" w:cs="Times New Roman"/>
          <w:i/>
          <w:sz w:val="24"/>
          <w:szCs w:val="24"/>
        </w:rPr>
        <w:t>i</w:t>
      </w:r>
      <w:r w:rsidR="00C17C50">
        <w:rPr>
          <w:rFonts w:ascii="Times New Roman" w:hAnsi="Times New Roman" w:cs="Times New Roman"/>
          <w:sz w:val="24"/>
          <w:szCs w:val="24"/>
        </w:rPr>
        <w:t xml:space="preserve"> </w:t>
      </w:r>
      <w:r w:rsidRPr="00160BD2">
        <w:rPr>
          <w:rFonts w:ascii="Times New Roman" w:hAnsi="Times New Roman" w:cs="Times New Roman"/>
          <w:sz w:val="24"/>
          <w:szCs w:val="24"/>
        </w:rPr>
        <w:t>as follows.</w:t>
      </w:r>
    </w:p>
    <w:p w14:paraId="7CCB5665" w14:textId="5C706B1C" w:rsidR="0058750A" w:rsidRDefault="0048295D" w:rsidP="0058750A">
      <w:pPr>
        <w:ind w:left="720" w:firstLine="720"/>
      </w:pPr>
      <m:oMath>
        <m:sSub>
          <m:sSubPr>
            <m:ctrlPr>
              <w:rPr>
                <w:rFonts w:ascii="Cambria Math" w:hAnsi="Cambria Math"/>
                <w:i/>
              </w:rPr>
            </m:ctrlPr>
          </m:sSubPr>
          <m:e>
            <m:r>
              <w:rPr>
                <w:rFonts w:ascii="Cambria Math" w:hAnsi="Cambria Math"/>
              </w:rPr>
              <m:t>CAR</m:t>
            </m:r>
          </m:e>
          <m:sub>
            <m:r>
              <w:rPr>
                <w:rFonts w:ascii="Cambria Math" w:hAnsi="Cambria Math"/>
              </w:rPr>
              <m:t>i,t+1</m:t>
            </m:r>
          </m:sub>
        </m:sSub>
        <m:r>
          <w:rPr>
            <w:rFonts w:ascii="Cambria Math" w:hAnsi="Cambria Math"/>
          </w:rPr>
          <m:t>=</m:t>
        </m:r>
        <m:nary>
          <m:naryPr>
            <m:chr m:val="∏"/>
            <m:limLoc m:val="undOvr"/>
            <m:ctrlPr>
              <w:rPr>
                <w:rFonts w:ascii="Cambria Math" w:hAnsi="Cambria Math"/>
                <w:i/>
              </w:rPr>
            </m:ctrlPr>
          </m:naryPr>
          <m:sub>
            <m:r>
              <w:rPr>
                <w:rFonts w:ascii="Cambria Math" w:hAnsi="Cambria Math"/>
              </w:rPr>
              <m:t>d=y</m:t>
            </m:r>
          </m:sub>
          <m:sup>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delist)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i,d</m:t>
                    </m:r>
                  </m:sub>
                </m:sSub>
              </m:e>
            </m:d>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d=y</m:t>
            </m:r>
          </m:sub>
          <m:sup>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delist)</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CRSPVW</m:t>
                    </m:r>
                  </m:e>
                  <m:sub>
                    <m:r>
                      <w:rPr>
                        <w:rFonts w:ascii="Cambria Math" w:hAnsi="Cambria Math"/>
                      </w:rPr>
                      <m:t>i,d</m:t>
                    </m:r>
                  </m:sub>
                </m:sSub>
              </m:e>
            </m:d>
          </m:e>
        </m:nary>
      </m:oMath>
      <w:r w:rsidR="008830E3">
        <w:rPr>
          <w:rFonts w:eastAsiaTheme="minorEastAsia"/>
        </w:rPr>
        <w:tab/>
      </w:r>
      <w:r w:rsidR="008830E3" w:rsidRPr="008830E3">
        <w:rPr>
          <w:rFonts w:ascii="Times New Roman" w:eastAsiaTheme="minorEastAsia" w:hAnsi="Times New Roman" w:cs="Times New Roman"/>
        </w:rPr>
        <w:t>(7)</w:t>
      </w:r>
    </w:p>
    <w:p w14:paraId="1FBE4F70" w14:textId="5C1CEB36" w:rsidR="0058750A" w:rsidRPr="00160BD2" w:rsidRDefault="0058750A" w:rsidP="0058750A">
      <w:pPr>
        <w:spacing w:after="0" w:line="480" w:lineRule="auto"/>
        <w:jc w:val="both"/>
        <w:rPr>
          <w:rFonts w:ascii="Times New Roman" w:hAnsi="Times New Roman" w:cs="Times New Roman"/>
          <w:sz w:val="24"/>
        </w:rPr>
      </w:pPr>
      <w:r w:rsidRPr="00160BD2">
        <w:rPr>
          <w:rFonts w:ascii="Times New Roman" w:hAnsi="Times New Roman" w:cs="Times New Roman"/>
          <w:sz w:val="24"/>
        </w:rPr>
        <w:t xml:space="preserve">where </w:t>
      </w:r>
      <m:oMath>
        <m:r>
          <w:rPr>
            <w:rFonts w:ascii="Cambria Math" w:hAnsi="Cambria Math" w:cs="Times New Roman"/>
            <w:sz w:val="24"/>
          </w:rPr>
          <m:t>y</m:t>
        </m:r>
      </m:oMath>
      <w:r w:rsidRPr="00160BD2">
        <w:rPr>
          <w:rFonts w:ascii="Times New Roman" w:hAnsi="Times New Roman" w:cs="Times New Roman"/>
          <w:sz w:val="24"/>
        </w:rPr>
        <w:t xml:space="preserve"> is the first trading day of the fourth month of fiscal year</w:t>
      </w:r>
      <w:r w:rsidR="00043D79">
        <w:rPr>
          <w:rFonts w:ascii="Times New Roman" w:hAnsi="Times New Roman" w:cs="Times New Roman"/>
          <w:sz w:val="24"/>
        </w:rPr>
        <w:t xml:space="preserve"> t+1</w:t>
      </w:r>
      <w:r w:rsidRPr="00160BD2">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2</m:t>
            </m:r>
          </m:sub>
        </m:sSub>
      </m:oMath>
      <w:r w:rsidRPr="00160BD2">
        <w:rPr>
          <w:rFonts w:ascii="Times New Roman" w:hAnsi="Times New Roman" w:cs="Times New Roman"/>
          <w:sz w:val="24"/>
        </w:rPr>
        <w:t xml:space="preserve"> is the last trading day in the third month after the fiscal year end of </w:t>
      </w:r>
      <w:r w:rsidR="00043D79">
        <w:rPr>
          <w:rFonts w:ascii="Times New Roman" w:hAnsi="Times New Roman" w:cs="Times New Roman"/>
          <w:sz w:val="24"/>
        </w:rPr>
        <w:t>t+1</w:t>
      </w:r>
      <w:r w:rsidR="00BC6405">
        <w:rPr>
          <w:rFonts w:ascii="Times New Roman" w:hAnsi="Times New Roman" w:cs="Times New Roman"/>
          <w:sz w:val="24"/>
        </w:rPr>
        <w:t>.</w:t>
      </w:r>
      <w:r w:rsidR="00043D79">
        <w:rPr>
          <w:rFonts w:ascii="Times New Roman" w:hAnsi="Times New Roman" w:cs="Times New Roman"/>
          <w:sz w:val="24"/>
        </w:rPr>
        <w:t xml:space="preserve"> </w:t>
      </w:r>
    </w:p>
    <w:p w14:paraId="353EEDFB" w14:textId="7B0FB646" w:rsidR="0058750A" w:rsidRDefault="008830E3"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We construct an </w:t>
      </w:r>
      <w:r w:rsidR="0061142F">
        <w:rPr>
          <w:rFonts w:ascii="Times New Roman" w:hAnsi="Times New Roman" w:cs="Times New Roman"/>
          <w:sz w:val="24"/>
        </w:rPr>
        <w:t xml:space="preserve">aggregate </w:t>
      </w:r>
      <w:r>
        <w:rPr>
          <w:rFonts w:ascii="Times New Roman" w:hAnsi="Times New Roman" w:cs="Times New Roman"/>
          <w:sz w:val="24"/>
        </w:rPr>
        <w:t>information risk metric (</w:t>
      </w:r>
      <w:r w:rsidRPr="00625EAF">
        <w:rPr>
          <w:rFonts w:ascii="Times New Roman" w:hAnsi="Times New Roman" w:cs="Times New Roman"/>
          <w:i/>
          <w:sz w:val="24"/>
        </w:rPr>
        <w:t>RISK</w:t>
      </w:r>
      <w:r>
        <w:rPr>
          <w:rFonts w:ascii="Times New Roman" w:hAnsi="Times New Roman" w:cs="Times New Roman"/>
          <w:sz w:val="24"/>
        </w:rPr>
        <w:t xml:space="preserve">) </w:t>
      </w:r>
      <w:r w:rsidR="0061142F">
        <w:rPr>
          <w:rFonts w:ascii="Times New Roman" w:hAnsi="Times New Roman" w:cs="Times New Roman"/>
          <w:sz w:val="24"/>
        </w:rPr>
        <w:t xml:space="preserve">by </w:t>
      </w:r>
      <w:r>
        <w:rPr>
          <w:rFonts w:ascii="Times New Roman" w:hAnsi="Times New Roman" w:cs="Times New Roman"/>
          <w:sz w:val="24"/>
        </w:rPr>
        <w:t>combin</w:t>
      </w:r>
      <w:r w:rsidR="0061142F">
        <w:rPr>
          <w:rFonts w:ascii="Times New Roman" w:hAnsi="Times New Roman" w:cs="Times New Roman"/>
          <w:sz w:val="24"/>
        </w:rPr>
        <w:t xml:space="preserve">ing </w:t>
      </w:r>
      <w:r>
        <w:rPr>
          <w:rFonts w:ascii="Times New Roman" w:hAnsi="Times New Roman" w:cs="Times New Roman"/>
          <w:sz w:val="24"/>
        </w:rPr>
        <w:t xml:space="preserve">the </w:t>
      </w:r>
      <w:r>
        <w:rPr>
          <w:rFonts w:ascii="Times New Roman" w:hAnsi="Times New Roman" w:cs="Times New Roman"/>
          <w:sz w:val="24"/>
          <w:szCs w:val="24"/>
        </w:rPr>
        <w:t xml:space="preserve">low financial reporting quality </w:t>
      </w:r>
      <w:r w:rsidR="0061142F">
        <w:rPr>
          <w:rFonts w:ascii="Times New Roman" w:hAnsi="Times New Roman" w:cs="Times New Roman"/>
          <w:sz w:val="24"/>
          <w:szCs w:val="24"/>
        </w:rPr>
        <w:t xml:space="preserve">metrics </w:t>
      </w:r>
      <w:r>
        <w:rPr>
          <w:rFonts w:ascii="Times New Roman" w:hAnsi="Times New Roman" w:cs="Times New Roman"/>
          <w:sz w:val="24"/>
        </w:rPr>
        <w:t xml:space="preserve">in </w:t>
      </w:r>
      <w:r>
        <w:rPr>
          <w:rFonts w:ascii="Times New Roman" w:hAnsi="Times New Roman" w:cs="Times New Roman"/>
          <w:sz w:val="24"/>
          <w:szCs w:val="24"/>
        </w:rPr>
        <w:t xml:space="preserve">Kim et al. (2022) with our information risk </w:t>
      </w:r>
      <w:r w:rsidR="003407A5">
        <w:rPr>
          <w:rFonts w:ascii="Times New Roman" w:hAnsi="Times New Roman" w:cs="Times New Roman"/>
          <w:sz w:val="24"/>
          <w:szCs w:val="24"/>
        </w:rPr>
        <w:t>proxies</w:t>
      </w:r>
      <w:r>
        <w:rPr>
          <w:rFonts w:ascii="Times New Roman" w:hAnsi="Times New Roman" w:cs="Times New Roman"/>
          <w:sz w:val="24"/>
          <w:szCs w:val="24"/>
        </w:rPr>
        <w:t xml:space="preserve">. Specifically, </w:t>
      </w:r>
      <w:r w:rsidRPr="00625EAF">
        <w:rPr>
          <w:rFonts w:ascii="Times New Roman" w:hAnsi="Times New Roman" w:cs="Times New Roman"/>
          <w:i/>
          <w:sz w:val="24"/>
          <w:szCs w:val="24"/>
        </w:rPr>
        <w:t>RISK</w:t>
      </w:r>
      <w:r>
        <w:rPr>
          <w:rFonts w:ascii="Times New Roman" w:hAnsi="Times New Roman" w:cs="Times New Roman"/>
          <w:sz w:val="24"/>
          <w:szCs w:val="24"/>
        </w:rPr>
        <w:t xml:space="preserve"> is the sum of the following metrics where each individual metric is assigned a score of one if SPAC-IPO is associated with a </w:t>
      </w:r>
      <w:r w:rsidR="00886CA1">
        <w:rPr>
          <w:rFonts w:ascii="Times New Roman" w:hAnsi="Times New Roman" w:cs="Times New Roman"/>
          <w:sz w:val="24"/>
          <w:szCs w:val="24"/>
        </w:rPr>
        <w:t xml:space="preserve">an internal control weakness, </w:t>
      </w:r>
      <w:r w:rsidR="00B40D54">
        <w:rPr>
          <w:rFonts w:ascii="Times New Roman" w:hAnsi="Times New Roman" w:cs="Times New Roman"/>
          <w:sz w:val="24"/>
          <w:szCs w:val="24"/>
        </w:rPr>
        <w:t xml:space="preserve">a </w:t>
      </w:r>
      <w:r>
        <w:rPr>
          <w:rFonts w:ascii="Times New Roman" w:hAnsi="Times New Roman" w:cs="Times New Roman"/>
          <w:sz w:val="24"/>
          <w:szCs w:val="24"/>
        </w:rPr>
        <w:t xml:space="preserve">restatement announcement, a non-timely annual filing, a non-Big 4 auditor, low persistence, or </w:t>
      </w:r>
      <w:r w:rsidR="005C7467">
        <w:rPr>
          <w:rFonts w:ascii="Times New Roman" w:hAnsi="Times New Roman" w:cs="Times New Roman"/>
          <w:sz w:val="24"/>
          <w:szCs w:val="24"/>
        </w:rPr>
        <w:t>non-NYSE</w:t>
      </w:r>
      <w:r>
        <w:rPr>
          <w:rFonts w:ascii="Times New Roman" w:hAnsi="Times New Roman" w:cs="Times New Roman"/>
          <w:sz w:val="24"/>
          <w:szCs w:val="24"/>
        </w:rPr>
        <w:t xml:space="preserve"> listing</w:t>
      </w:r>
      <w:r w:rsidR="00B65EA2">
        <w:rPr>
          <w:rFonts w:ascii="Times New Roman" w:hAnsi="Times New Roman" w:cs="Times New Roman"/>
          <w:sz w:val="24"/>
          <w:szCs w:val="24"/>
        </w:rPr>
        <w:t xml:space="preserve"> (NASDAQ </w:t>
      </w:r>
      <w:r w:rsidR="00FD11C8">
        <w:rPr>
          <w:rFonts w:ascii="Times New Roman" w:hAnsi="Times New Roman" w:cs="Times New Roman"/>
          <w:sz w:val="24"/>
          <w:szCs w:val="24"/>
        </w:rPr>
        <w:t xml:space="preserve">or </w:t>
      </w:r>
      <w:r w:rsidR="00B65EA2">
        <w:rPr>
          <w:rFonts w:ascii="Times New Roman" w:hAnsi="Times New Roman" w:cs="Times New Roman"/>
          <w:sz w:val="24"/>
          <w:szCs w:val="24"/>
        </w:rPr>
        <w:t>OTC)</w:t>
      </w:r>
      <w:r>
        <w:rPr>
          <w:rFonts w:ascii="Times New Roman" w:hAnsi="Times New Roman" w:cs="Times New Roman"/>
          <w:sz w:val="24"/>
          <w:szCs w:val="24"/>
        </w:rPr>
        <w:t xml:space="preserve">. </w:t>
      </w:r>
      <w:r w:rsidR="000413CA">
        <w:rPr>
          <w:rFonts w:ascii="Times New Roman" w:hAnsi="Times New Roman" w:cs="Times New Roman"/>
          <w:sz w:val="24"/>
          <w:szCs w:val="24"/>
        </w:rPr>
        <w:t xml:space="preserve">The low persistence equals one if a SPAC-IPO accruals </w:t>
      </w:r>
      <w:r w:rsidR="00B65EA2">
        <w:rPr>
          <w:rFonts w:ascii="Times New Roman" w:hAnsi="Times New Roman" w:cs="Times New Roman"/>
          <w:sz w:val="24"/>
          <w:szCs w:val="24"/>
        </w:rPr>
        <w:t xml:space="preserve">are </w:t>
      </w:r>
      <w:r w:rsidR="000413CA">
        <w:rPr>
          <w:rFonts w:ascii="Times New Roman" w:hAnsi="Times New Roman" w:cs="Times New Roman"/>
          <w:sz w:val="24"/>
          <w:szCs w:val="24"/>
        </w:rPr>
        <w:t xml:space="preserve">above the median value, and zero otherwise. </w:t>
      </w:r>
      <w:r>
        <w:rPr>
          <w:rFonts w:ascii="Times New Roman" w:hAnsi="Times New Roman" w:cs="Times New Roman"/>
          <w:sz w:val="24"/>
          <w:szCs w:val="24"/>
        </w:rPr>
        <w:t xml:space="preserve">We use </w:t>
      </w:r>
      <w:r w:rsidR="00934367">
        <w:rPr>
          <w:rFonts w:ascii="Times New Roman" w:hAnsi="Times New Roman" w:cs="Times New Roman"/>
          <w:sz w:val="24"/>
          <w:szCs w:val="24"/>
        </w:rPr>
        <w:t xml:space="preserve">the </w:t>
      </w:r>
      <w:r>
        <w:rPr>
          <w:rFonts w:ascii="Times New Roman" w:hAnsi="Times New Roman" w:cs="Times New Roman"/>
          <w:sz w:val="24"/>
          <w:szCs w:val="24"/>
        </w:rPr>
        <w:t>restatement announcement</w:t>
      </w:r>
      <w:r w:rsidR="003407A5">
        <w:rPr>
          <w:rFonts w:ascii="Times New Roman" w:hAnsi="Times New Roman" w:cs="Times New Roman"/>
          <w:sz w:val="24"/>
          <w:szCs w:val="24"/>
        </w:rPr>
        <w:t xml:space="preserve"> (and not whether a current period financial statement is restated subsequently) because the stock market reacts to the announcement of a restatement of a prior period financial statement. Also, by construction</w:t>
      </w:r>
      <w:r>
        <w:rPr>
          <w:rFonts w:ascii="Times New Roman" w:hAnsi="Times New Roman" w:cs="Times New Roman"/>
          <w:sz w:val="24"/>
          <w:szCs w:val="24"/>
        </w:rPr>
        <w:t xml:space="preserve">, </w:t>
      </w:r>
      <w:r w:rsidR="003407A5">
        <w:rPr>
          <w:rFonts w:ascii="Times New Roman" w:hAnsi="Times New Roman" w:cs="Times New Roman"/>
          <w:sz w:val="24"/>
          <w:szCs w:val="24"/>
        </w:rPr>
        <w:t xml:space="preserve">investors will not know whether </w:t>
      </w:r>
      <w:r w:rsidR="00B65EA2">
        <w:rPr>
          <w:rFonts w:ascii="Times New Roman" w:hAnsi="Times New Roman" w:cs="Times New Roman"/>
          <w:sz w:val="24"/>
          <w:szCs w:val="24"/>
        </w:rPr>
        <w:t xml:space="preserve">current </w:t>
      </w:r>
      <w:r w:rsidR="003407A5">
        <w:rPr>
          <w:rFonts w:ascii="Times New Roman" w:hAnsi="Times New Roman" w:cs="Times New Roman"/>
          <w:sz w:val="24"/>
          <w:szCs w:val="24"/>
        </w:rPr>
        <w:t xml:space="preserve">period financial statements are subsequently restated. </w:t>
      </w:r>
      <w:r w:rsidR="00934367">
        <w:rPr>
          <w:rFonts w:ascii="Times New Roman" w:hAnsi="Times New Roman" w:cs="Times New Roman"/>
          <w:sz w:val="24"/>
          <w:szCs w:val="24"/>
        </w:rPr>
        <w:t xml:space="preserve">For </w:t>
      </w:r>
      <w:r w:rsidR="0061142F">
        <w:rPr>
          <w:rFonts w:ascii="Times New Roman" w:hAnsi="Times New Roman" w:cs="Times New Roman"/>
          <w:sz w:val="24"/>
          <w:szCs w:val="24"/>
        </w:rPr>
        <w:t>th</w:t>
      </w:r>
      <w:r w:rsidR="00B65EA2">
        <w:rPr>
          <w:rFonts w:ascii="Times New Roman" w:hAnsi="Times New Roman" w:cs="Times New Roman"/>
          <w:sz w:val="24"/>
          <w:szCs w:val="24"/>
        </w:rPr>
        <w:t xml:space="preserve">e same </w:t>
      </w:r>
      <w:r w:rsidR="0061142F">
        <w:rPr>
          <w:rFonts w:ascii="Times New Roman" w:hAnsi="Times New Roman" w:cs="Times New Roman"/>
          <w:sz w:val="24"/>
          <w:szCs w:val="24"/>
        </w:rPr>
        <w:t xml:space="preserve">reason, we do not include </w:t>
      </w:r>
      <w:r w:rsidR="003407A5">
        <w:rPr>
          <w:rFonts w:ascii="Times New Roman" w:hAnsi="Times New Roman" w:cs="Times New Roman"/>
          <w:sz w:val="24"/>
          <w:szCs w:val="24"/>
        </w:rPr>
        <w:t xml:space="preserve">the subsequent </w:t>
      </w:r>
      <w:r w:rsidR="0061142F">
        <w:rPr>
          <w:rFonts w:ascii="Times New Roman" w:hAnsi="Times New Roman" w:cs="Times New Roman"/>
          <w:sz w:val="24"/>
          <w:szCs w:val="24"/>
        </w:rPr>
        <w:t xml:space="preserve">delisting </w:t>
      </w:r>
      <w:r w:rsidR="003407A5">
        <w:rPr>
          <w:rFonts w:ascii="Times New Roman" w:hAnsi="Times New Roman" w:cs="Times New Roman"/>
          <w:sz w:val="24"/>
          <w:szCs w:val="24"/>
        </w:rPr>
        <w:t xml:space="preserve">of a SPAC-IPO </w:t>
      </w:r>
      <w:r w:rsidR="0061142F">
        <w:rPr>
          <w:rFonts w:ascii="Times New Roman" w:hAnsi="Times New Roman" w:cs="Times New Roman"/>
          <w:sz w:val="24"/>
          <w:szCs w:val="24"/>
        </w:rPr>
        <w:t xml:space="preserve">in </w:t>
      </w:r>
      <w:r w:rsidR="003407A5">
        <w:rPr>
          <w:rFonts w:ascii="Times New Roman" w:hAnsi="Times New Roman" w:cs="Times New Roman"/>
          <w:sz w:val="24"/>
          <w:szCs w:val="24"/>
        </w:rPr>
        <w:t xml:space="preserve">the measurement of </w:t>
      </w:r>
      <w:r w:rsidR="0061142F" w:rsidRPr="00B16089">
        <w:rPr>
          <w:rFonts w:ascii="Times New Roman" w:hAnsi="Times New Roman" w:cs="Times New Roman"/>
          <w:i/>
          <w:sz w:val="24"/>
          <w:szCs w:val="24"/>
        </w:rPr>
        <w:t>RISK</w:t>
      </w:r>
      <w:r w:rsidR="003407A5">
        <w:rPr>
          <w:rFonts w:ascii="Times New Roman" w:hAnsi="Times New Roman" w:cs="Times New Roman"/>
          <w:sz w:val="24"/>
          <w:szCs w:val="24"/>
        </w:rPr>
        <w:t xml:space="preserve">. </w:t>
      </w:r>
      <w:r w:rsidR="0061142F">
        <w:rPr>
          <w:rFonts w:ascii="Times New Roman" w:hAnsi="Times New Roman" w:cs="Times New Roman"/>
          <w:sz w:val="24"/>
          <w:szCs w:val="24"/>
        </w:rPr>
        <w:t xml:space="preserve"> </w:t>
      </w:r>
    </w:p>
    <w:p w14:paraId="2D03FBF8" w14:textId="6C33BBA8" w:rsidR="0058750A" w:rsidRDefault="003407A5"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To </w:t>
      </w:r>
      <w:r w:rsidR="000413CA">
        <w:rPr>
          <w:rFonts w:ascii="Times New Roman" w:hAnsi="Times New Roman" w:cs="Times New Roman"/>
          <w:sz w:val="24"/>
        </w:rPr>
        <w:t>examine the association between SPAC-IPO pricing and information risk, we estimate the following OLS regression specification.</w:t>
      </w:r>
      <w:r>
        <w:rPr>
          <w:rFonts w:ascii="Times New Roman" w:hAnsi="Times New Roman" w:cs="Times New Roman"/>
          <w:sz w:val="24"/>
        </w:rPr>
        <w:t xml:space="preserve"> </w:t>
      </w:r>
    </w:p>
    <w:p w14:paraId="130B0287" w14:textId="62A997B5" w:rsidR="00B97BAD" w:rsidRDefault="00B97BAD" w:rsidP="000413CA">
      <w:pPr>
        <w:spacing w:after="0" w:line="480" w:lineRule="auto"/>
        <w:ind w:left="720" w:firstLine="720"/>
        <w:jc w:val="both"/>
        <w:rPr>
          <w:rFonts w:ascii="Times New Roman" w:hAnsi="Times New Roman" w:cs="Times New Roman"/>
          <w:sz w:val="24"/>
        </w:rPr>
      </w:pPr>
      <w:r>
        <w:rPr>
          <w:rFonts w:ascii="Times New Roman" w:hAnsi="Times New Roman" w:cs="Times New Roman"/>
          <w:i/>
        </w:rPr>
        <w:t>CAR</w:t>
      </w:r>
      <w:r w:rsidRPr="00767966">
        <w:rPr>
          <w:rFonts w:ascii="Times New Roman" w:hAnsi="Times New Roman" w:cs="Times New Roman"/>
          <w:i/>
          <w:color w:val="000000"/>
        </w:rPr>
        <w:t xml:space="preserve"> =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 xml:space="preserve">0 </w:t>
      </w:r>
      <w:r w:rsidRPr="00767966">
        <w:rPr>
          <w:rFonts w:ascii="Times New Roman" w:hAnsi="Times New Roman" w:cs="Times New Roman"/>
          <w:i/>
          <w:color w:val="000000"/>
        </w:rPr>
        <w:t xml:space="preserve">+ </w:t>
      </w:r>
      <w:r w:rsidRPr="00767966">
        <w:rPr>
          <w:rFonts w:ascii="Times New Roman" w:hAnsi="Times New Roman" w:cs="Times New Roman"/>
          <w:i/>
          <w:color w:val="000000"/>
        </w:rPr>
        <w:sym w:font="Symbol" w:char="F062"/>
      </w:r>
      <w:r w:rsidRPr="00767966">
        <w:rPr>
          <w:rFonts w:ascii="Times New Roman" w:hAnsi="Times New Roman" w:cs="Times New Roman"/>
          <w:i/>
          <w:color w:val="000000"/>
          <w:vertAlign w:val="subscript"/>
        </w:rPr>
        <w:t>1</w:t>
      </w:r>
      <w:r>
        <w:rPr>
          <w:rFonts w:ascii="Times New Roman" w:hAnsi="Times New Roman" w:cs="Times New Roman"/>
          <w:i/>
        </w:rPr>
        <w:t>RISK</w:t>
      </w:r>
      <w:r w:rsidRPr="00767966">
        <w:rPr>
          <w:rFonts w:ascii="Times New Roman" w:hAnsi="Times New Roman" w:cs="Times New Roman"/>
          <w:i/>
          <w:color w:val="000000"/>
        </w:rPr>
        <w:t xml:space="preserve">+ </w:t>
      </w:r>
      <w:r w:rsidRPr="00767966">
        <w:rPr>
          <w:rFonts w:ascii="Times New Roman" w:hAnsi="Times New Roman" w:cs="Times New Roman"/>
          <w:i/>
          <w:color w:val="000000"/>
        </w:rPr>
        <w:sym w:font="Symbol" w:char="F065"/>
      </w:r>
      <w:r>
        <w:rPr>
          <w:rFonts w:ascii="Times New Roman" w:hAnsi="Times New Roman" w:cs="Times New Roman"/>
          <w:i/>
          <w:color w:val="000000"/>
        </w:rPr>
        <w:t xml:space="preserve"> </w:t>
      </w:r>
      <w:r>
        <w:rPr>
          <w:rFonts w:ascii="Times New Roman" w:hAnsi="Times New Roman" w:cs="Times New Roman"/>
          <w:i/>
          <w:color w:val="000000"/>
        </w:rPr>
        <w:tab/>
        <w:t xml:space="preserve">                                                                                 </w:t>
      </w:r>
      <w:r w:rsidR="00032763">
        <w:rPr>
          <w:rFonts w:ascii="Times New Roman" w:hAnsi="Times New Roman" w:cs="Times New Roman"/>
          <w:i/>
          <w:color w:val="000000"/>
        </w:rPr>
        <w:t xml:space="preserve">                  </w:t>
      </w:r>
      <w:r>
        <w:rPr>
          <w:rFonts w:ascii="Times New Roman" w:hAnsi="Times New Roman" w:cs="Times New Roman"/>
          <w:i/>
          <w:color w:val="000000"/>
        </w:rPr>
        <w:t xml:space="preserve"> </w:t>
      </w:r>
      <w:r w:rsidRPr="00D40CEC">
        <w:rPr>
          <w:rFonts w:ascii="Times New Roman" w:hAnsi="Times New Roman" w:cs="Times New Roman"/>
          <w:color w:val="000000"/>
        </w:rPr>
        <w:t>(</w:t>
      </w:r>
      <w:r w:rsidR="000413CA">
        <w:rPr>
          <w:rFonts w:ascii="Times New Roman" w:hAnsi="Times New Roman" w:cs="Times New Roman"/>
          <w:color w:val="000000"/>
        </w:rPr>
        <w:t>8</w:t>
      </w:r>
      <w:r w:rsidRPr="00D40CEC">
        <w:rPr>
          <w:rFonts w:ascii="Times New Roman" w:hAnsi="Times New Roman" w:cs="Times New Roman"/>
          <w:color w:val="000000"/>
        </w:rPr>
        <w:t>)</w:t>
      </w:r>
    </w:p>
    <w:p w14:paraId="286CA154" w14:textId="140F0908" w:rsidR="00B97BAD" w:rsidRPr="00543569"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According to Hypothesis 5, </w:t>
      </w:r>
      <w:r w:rsidRPr="00543569">
        <w:rPr>
          <w:rFonts w:ascii="Times New Roman" w:hAnsi="Times New Roman" w:cs="Times New Roman"/>
          <w:i/>
          <w:color w:val="000000"/>
          <w:sz w:val="24"/>
        </w:rPr>
        <w:sym w:font="Symbol" w:char="F062"/>
      </w:r>
      <w:r w:rsidRPr="00543569">
        <w:rPr>
          <w:rFonts w:ascii="Times New Roman" w:hAnsi="Times New Roman" w:cs="Times New Roman"/>
          <w:i/>
          <w:color w:val="000000"/>
          <w:sz w:val="24"/>
          <w:vertAlign w:val="subscript"/>
        </w:rPr>
        <w:t xml:space="preserve">1 </w:t>
      </w:r>
      <w:r>
        <w:rPr>
          <w:rFonts w:ascii="Times New Roman" w:hAnsi="Times New Roman" w:cs="Times New Roman"/>
          <w:sz w:val="24"/>
        </w:rPr>
        <w:t xml:space="preserve">is expected to be positive if information risk is priced by investors. </w:t>
      </w:r>
    </w:p>
    <w:p w14:paraId="6A75D467" w14:textId="77777777" w:rsidR="00B97BAD" w:rsidRPr="00532D7B" w:rsidRDefault="00B97BAD" w:rsidP="00B97BAD">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t>Data and Sample</w:t>
      </w:r>
      <w:r>
        <w:rPr>
          <w:rFonts w:ascii="Times New Roman" w:hAnsi="Times New Roman" w:cs="Times New Roman"/>
          <w:b/>
          <w:sz w:val="24"/>
        </w:rPr>
        <w:t xml:space="preserve"> Selection</w:t>
      </w:r>
    </w:p>
    <w:p w14:paraId="456258CC" w14:textId="77777777" w:rsidR="00B97BAD" w:rsidRPr="00024CFA" w:rsidRDefault="00B97BAD" w:rsidP="00B97BAD">
      <w:pPr>
        <w:spacing w:after="0" w:line="480" w:lineRule="auto"/>
        <w:jc w:val="both"/>
        <w:rPr>
          <w:rFonts w:ascii="Times New Roman" w:hAnsi="Times New Roman" w:cs="Times New Roman"/>
          <w:i/>
          <w:sz w:val="24"/>
          <w:szCs w:val="24"/>
        </w:rPr>
      </w:pPr>
      <w:r w:rsidRPr="00024CFA">
        <w:rPr>
          <w:rFonts w:ascii="Times New Roman" w:hAnsi="Times New Roman" w:cs="Times New Roman"/>
          <w:i/>
          <w:sz w:val="24"/>
          <w:szCs w:val="24"/>
        </w:rPr>
        <w:lastRenderedPageBreak/>
        <w:t>5.1.</w:t>
      </w:r>
      <w:r w:rsidRPr="00024CFA">
        <w:rPr>
          <w:rFonts w:ascii="Times New Roman" w:hAnsi="Times New Roman" w:cs="Times New Roman"/>
          <w:i/>
          <w:sz w:val="24"/>
          <w:szCs w:val="24"/>
        </w:rPr>
        <w:tab/>
        <w:t>Sample Selection</w:t>
      </w:r>
    </w:p>
    <w:p w14:paraId="68F55ABB" w14:textId="22F690CF" w:rsidR="00B97BAD" w:rsidRDefault="00B97BAD" w:rsidP="00B97BAD">
      <w:pPr>
        <w:spacing w:after="0" w:line="480" w:lineRule="auto"/>
        <w:ind w:firstLine="720"/>
        <w:jc w:val="both"/>
        <w:rPr>
          <w:rFonts w:ascii="Times New Roman" w:hAnsi="Times New Roman" w:cs="Times New Roman"/>
          <w:sz w:val="24"/>
        </w:rPr>
      </w:pPr>
      <w:r w:rsidRPr="0033228C">
        <w:rPr>
          <w:rFonts w:ascii="Times New Roman" w:hAnsi="Times New Roman" w:cs="Times New Roman"/>
          <w:sz w:val="24"/>
          <w:szCs w:val="24"/>
        </w:rPr>
        <w:t xml:space="preserve">Our SPAC sample consists of all SPAC transactions that successfully completed an acquisition of a private target company between 2010 and 2020 as listed in </w:t>
      </w:r>
      <w:r w:rsidRPr="00FA74EC">
        <w:rPr>
          <w:rFonts w:ascii="Times New Roman" w:hAnsi="Times New Roman" w:cs="Times New Roman"/>
          <w:i/>
          <w:sz w:val="24"/>
          <w:szCs w:val="24"/>
        </w:rPr>
        <w:t>SPACInsider</w:t>
      </w:r>
      <w:r w:rsidRPr="0033228C">
        <w:rPr>
          <w:rFonts w:ascii="Times New Roman" w:hAnsi="Times New Roman" w:cs="Times New Roman"/>
          <w:sz w:val="24"/>
          <w:szCs w:val="24"/>
        </w:rPr>
        <w:t xml:space="preserve"> database.  </w:t>
      </w:r>
      <w:r w:rsidRPr="00FA74EC">
        <w:rPr>
          <w:rFonts w:ascii="Times New Roman" w:hAnsi="Times New Roman" w:cs="Times New Roman"/>
          <w:i/>
          <w:sz w:val="24"/>
          <w:szCs w:val="24"/>
        </w:rPr>
        <w:t>SPACInsider</w:t>
      </w:r>
      <w:r w:rsidRPr="0033228C">
        <w:rPr>
          <w:rFonts w:ascii="Times New Roman" w:hAnsi="Times New Roman" w:cs="Times New Roman"/>
          <w:sz w:val="24"/>
          <w:szCs w:val="24"/>
        </w:rPr>
        <w:t xml:space="preserve">, a trusted resource for current </w:t>
      </w:r>
      <w:r>
        <w:rPr>
          <w:rFonts w:ascii="Times New Roman" w:hAnsi="Times New Roman" w:cs="Times New Roman"/>
          <w:sz w:val="24"/>
          <w:szCs w:val="24"/>
        </w:rPr>
        <w:t>i</w:t>
      </w:r>
      <w:r w:rsidRPr="0033228C">
        <w:rPr>
          <w:rFonts w:ascii="Times New Roman" w:hAnsi="Times New Roman" w:cs="Times New Roman"/>
          <w:sz w:val="24"/>
          <w:szCs w:val="24"/>
        </w:rPr>
        <w:t>nformation on the SPAC market, provides detailed SPAC information going back to 2009.</w:t>
      </w:r>
      <w:r>
        <w:rPr>
          <w:rStyle w:val="FootnoteReference"/>
          <w:rFonts w:ascii="Times New Roman" w:hAnsi="Times New Roman" w:cs="Times New Roman"/>
          <w:sz w:val="24"/>
          <w:szCs w:val="24"/>
        </w:rPr>
        <w:footnoteReference w:id="17"/>
      </w:r>
      <w:r w:rsidRPr="0033228C">
        <w:rPr>
          <w:rFonts w:ascii="Times New Roman" w:hAnsi="Times New Roman" w:cs="Times New Roman"/>
          <w:sz w:val="24"/>
          <w:szCs w:val="24"/>
        </w:rPr>
        <w:t xml:space="preserve"> </w:t>
      </w:r>
      <w:r>
        <w:rPr>
          <w:rFonts w:ascii="Times New Roman" w:hAnsi="Times New Roman" w:cs="Times New Roman"/>
          <w:sz w:val="24"/>
          <w:szCs w:val="24"/>
        </w:rPr>
        <w:t>Between</w:t>
      </w:r>
      <w:r w:rsidRPr="0033228C">
        <w:rPr>
          <w:rFonts w:ascii="Times New Roman" w:hAnsi="Times New Roman" w:cs="Times New Roman"/>
          <w:sz w:val="24"/>
          <w:szCs w:val="24"/>
        </w:rPr>
        <w:t xml:space="preserve"> 2010 and 2020, </w:t>
      </w:r>
      <w:r w:rsidRPr="00B16089">
        <w:rPr>
          <w:rFonts w:ascii="Times New Roman" w:hAnsi="Times New Roman" w:cs="Times New Roman"/>
          <w:i/>
          <w:sz w:val="24"/>
          <w:szCs w:val="24"/>
        </w:rPr>
        <w:t>SPACInsider</w:t>
      </w:r>
      <w:r w:rsidRPr="0033228C">
        <w:rPr>
          <w:rFonts w:ascii="Times New Roman" w:hAnsi="Times New Roman" w:cs="Times New Roman"/>
          <w:sz w:val="24"/>
          <w:szCs w:val="24"/>
        </w:rPr>
        <w:t xml:space="preserve"> lists 163 SPACs that successfully acquired a private target company via a merger or an acquisition. We could not locate SEC filings for </w:t>
      </w:r>
      <w:r w:rsidR="000732D4">
        <w:rPr>
          <w:rFonts w:ascii="Times New Roman" w:hAnsi="Times New Roman" w:cs="Times New Roman"/>
          <w:sz w:val="24"/>
          <w:szCs w:val="24"/>
        </w:rPr>
        <w:t>10</w:t>
      </w:r>
      <w:r w:rsidRPr="0033228C">
        <w:rPr>
          <w:rFonts w:ascii="Times New Roman" w:hAnsi="Times New Roman" w:cs="Times New Roman"/>
          <w:sz w:val="24"/>
          <w:szCs w:val="24"/>
        </w:rPr>
        <w:t xml:space="preserve"> target companies following the</w:t>
      </w:r>
      <w:r>
        <w:rPr>
          <w:rFonts w:ascii="Times New Roman" w:hAnsi="Times New Roman" w:cs="Times New Roman"/>
          <w:sz w:val="24"/>
          <w:szCs w:val="24"/>
        </w:rPr>
        <w:t>ir merger with a SPAC.</w:t>
      </w:r>
      <w:r w:rsidRPr="0033228C">
        <w:rPr>
          <w:rFonts w:ascii="Times New Roman" w:hAnsi="Times New Roman" w:cs="Times New Roman"/>
          <w:sz w:val="24"/>
          <w:szCs w:val="24"/>
        </w:rPr>
        <w:t xml:space="preserve"> Additionally, financial data are yet to be filed by eight target companies. Thus, our final sample consists of 145 successful SPAC</w:t>
      </w:r>
      <w:r w:rsidRPr="00532D7B">
        <w:rPr>
          <w:rFonts w:ascii="Times New Roman" w:hAnsi="Times New Roman" w:cs="Times New Roman"/>
          <w:sz w:val="24"/>
        </w:rPr>
        <w:t xml:space="preserve"> acquisitions</w:t>
      </w:r>
      <w:r>
        <w:rPr>
          <w:rFonts w:ascii="Times New Roman" w:hAnsi="Times New Roman" w:cs="Times New Roman"/>
          <w:sz w:val="24"/>
        </w:rPr>
        <w:t xml:space="preserve"> completed between 2010 and 2020</w:t>
      </w:r>
      <w:r w:rsidRPr="00532D7B">
        <w:rPr>
          <w:rFonts w:ascii="Times New Roman" w:hAnsi="Times New Roman" w:cs="Times New Roman"/>
          <w:sz w:val="24"/>
        </w:rPr>
        <w:t>. We obtain financial statement data from Compustat</w:t>
      </w:r>
      <w:r w:rsidR="00EC5AF3">
        <w:rPr>
          <w:rFonts w:ascii="Times New Roman" w:hAnsi="Times New Roman" w:cs="Times New Roman"/>
          <w:sz w:val="24"/>
        </w:rPr>
        <w:t xml:space="preserve">, </w:t>
      </w:r>
      <w:r w:rsidRPr="00532D7B">
        <w:rPr>
          <w:rFonts w:ascii="Times New Roman" w:hAnsi="Times New Roman" w:cs="Times New Roman"/>
          <w:sz w:val="24"/>
        </w:rPr>
        <w:t>audit-related data from Audit Analytics</w:t>
      </w:r>
      <w:r w:rsidR="00EC5AF3">
        <w:rPr>
          <w:rFonts w:ascii="Times New Roman" w:hAnsi="Times New Roman" w:cs="Times New Roman"/>
          <w:sz w:val="24"/>
        </w:rPr>
        <w:t>, and returns data from CRSP</w:t>
      </w:r>
      <w:r w:rsidRPr="00532D7B">
        <w:rPr>
          <w:rFonts w:ascii="Times New Roman" w:hAnsi="Times New Roman" w:cs="Times New Roman"/>
          <w:sz w:val="24"/>
        </w:rPr>
        <w:t xml:space="preserve">. </w:t>
      </w:r>
      <w:r>
        <w:rPr>
          <w:rFonts w:ascii="Times New Roman" w:hAnsi="Times New Roman" w:cs="Times New Roman"/>
          <w:sz w:val="24"/>
        </w:rPr>
        <w:t xml:space="preserve">All other data not included in these databases are hand collected. </w:t>
      </w:r>
    </w:p>
    <w:p w14:paraId="27A6A2DC" w14:textId="65414C27" w:rsidR="00B97BAD" w:rsidRPr="00532D7B" w:rsidRDefault="00B97BAD" w:rsidP="00B97BAD">
      <w:pPr>
        <w:spacing w:after="0" w:line="480" w:lineRule="auto"/>
        <w:ind w:firstLine="720"/>
        <w:jc w:val="both"/>
        <w:rPr>
          <w:rFonts w:ascii="Times New Roman" w:hAnsi="Times New Roman" w:cs="Times New Roman"/>
          <w:sz w:val="24"/>
        </w:rPr>
      </w:pPr>
      <w:r w:rsidRPr="00532D7B">
        <w:rPr>
          <w:rFonts w:ascii="Times New Roman" w:hAnsi="Times New Roman" w:cs="Times New Roman"/>
          <w:sz w:val="24"/>
        </w:rPr>
        <w:t>Following the timing convention from prior literature on IPOs and reverse mergers</w:t>
      </w:r>
      <w:r>
        <w:rPr>
          <w:rFonts w:ascii="Times New Roman" w:hAnsi="Times New Roman" w:cs="Times New Roman"/>
          <w:sz w:val="24"/>
        </w:rPr>
        <w:t>,</w:t>
      </w:r>
      <w:r w:rsidRPr="00532D7B">
        <w:rPr>
          <w:rFonts w:ascii="Times New Roman" w:hAnsi="Times New Roman" w:cs="Times New Roman"/>
          <w:sz w:val="24"/>
        </w:rPr>
        <w:t xml:space="preserve"> we define </w:t>
      </w:r>
      <w:r>
        <w:rPr>
          <w:rFonts w:ascii="Times New Roman" w:hAnsi="Times New Roman" w:cs="Times New Roman"/>
          <w:sz w:val="24"/>
        </w:rPr>
        <w:t xml:space="preserve">Year </w:t>
      </w:r>
      <w:r w:rsidR="006112B6">
        <w:rPr>
          <w:rFonts w:ascii="Times New Roman" w:hAnsi="Times New Roman" w:cs="Times New Roman"/>
          <w:sz w:val="24"/>
        </w:rPr>
        <w:t>t</w:t>
      </w:r>
      <w:r>
        <w:rPr>
          <w:rFonts w:ascii="Times New Roman" w:hAnsi="Times New Roman" w:cs="Times New Roman"/>
          <w:sz w:val="24"/>
        </w:rPr>
        <w:t xml:space="preserve"> as </w:t>
      </w:r>
      <w:r w:rsidRPr="00532D7B">
        <w:rPr>
          <w:rFonts w:ascii="Times New Roman" w:hAnsi="Times New Roman" w:cs="Times New Roman"/>
          <w:sz w:val="24"/>
        </w:rPr>
        <w:t>the fiscal year the SPAC acquisition is completed (e.g., Teoh, Welch, and Wong 1998; Armstrong</w:t>
      </w:r>
      <w:r>
        <w:rPr>
          <w:rFonts w:ascii="Times New Roman" w:hAnsi="Times New Roman" w:cs="Times New Roman"/>
          <w:sz w:val="24"/>
        </w:rPr>
        <w:t xml:space="preserve"> et al.</w:t>
      </w:r>
      <w:r w:rsidRPr="00532D7B">
        <w:rPr>
          <w:rFonts w:ascii="Times New Roman" w:hAnsi="Times New Roman" w:cs="Times New Roman"/>
          <w:sz w:val="24"/>
        </w:rPr>
        <w:t xml:space="preserve"> 2016; and Abbot</w:t>
      </w:r>
      <w:r>
        <w:rPr>
          <w:rFonts w:ascii="Times New Roman" w:hAnsi="Times New Roman" w:cs="Times New Roman"/>
          <w:sz w:val="24"/>
        </w:rPr>
        <w:t>t</w:t>
      </w:r>
      <w:r w:rsidRPr="00532D7B">
        <w:rPr>
          <w:rFonts w:ascii="Times New Roman" w:hAnsi="Times New Roman" w:cs="Times New Roman"/>
          <w:sz w:val="24"/>
        </w:rPr>
        <w:t xml:space="preserve">, Gunny, and Pollard 2017). </w:t>
      </w:r>
      <w:r>
        <w:rPr>
          <w:rFonts w:ascii="Times New Roman" w:hAnsi="Times New Roman" w:cs="Times New Roman"/>
          <w:sz w:val="24"/>
        </w:rPr>
        <w:t>Pa</w:t>
      </w:r>
      <w:r w:rsidRPr="00532D7B">
        <w:rPr>
          <w:rFonts w:ascii="Times New Roman" w:hAnsi="Times New Roman" w:cs="Times New Roman"/>
          <w:sz w:val="24"/>
        </w:rPr>
        <w:t>nel</w:t>
      </w:r>
      <w:r>
        <w:rPr>
          <w:rFonts w:ascii="Times New Roman" w:hAnsi="Times New Roman" w:cs="Times New Roman"/>
          <w:sz w:val="24"/>
        </w:rPr>
        <w:t xml:space="preserve"> A</w:t>
      </w:r>
      <w:r w:rsidRPr="00532D7B">
        <w:rPr>
          <w:rFonts w:ascii="Times New Roman" w:hAnsi="Times New Roman" w:cs="Times New Roman"/>
          <w:sz w:val="24"/>
        </w:rPr>
        <w:t xml:space="preserve"> of Table 1 details the year</w:t>
      </w:r>
      <w:r>
        <w:rPr>
          <w:rFonts w:ascii="Times New Roman" w:hAnsi="Times New Roman" w:cs="Times New Roman"/>
          <w:sz w:val="24"/>
        </w:rPr>
        <w:t>ly distribution</w:t>
      </w:r>
      <w:r w:rsidRPr="00532D7B">
        <w:rPr>
          <w:rFonts w:ascii="Times New Roman" w:hAnsi="Times New Roman" w:cs="Times New Roman"/>
          <w:sz w:val="24"/>
        </w:rPr>
        <w:t xml:space="preserve">. 72.5 percent of the </w:t>
      </w:r>
      <w:r>
        <w:rPr>
          <w:rFonts w:ascii="Times New Roman" w:hAnsi="Times New Roman" w:cs="Times New Roman"/>
          <w:sz w:val="24"/>
        </w:rPr>
        <w:t xml:space="preserve">sample is concentrated </w:t>
      </w:r>
      <w:r w:rsidRPr="00532D7B">
        <w:rPr>
          <w:rFonts w:ascii="Times New Roman" w:hAnsi="Times New Roman" w:cs="Times New Roman"/>
          <w:sz w:val="24"/>
        </w:rPr>
        <w:t>between 2017 and 2020</w:t>
      </w:r>
      <w:r>
        <w:rPr>
          <w:rFonts w:ascii="Times New Roman" w:hAnsi="Times New Roman" w:cs="Times New Roman"/>
          <w:sz w:val="24"/>
        </w:rPr>
        <w:t xml:space="preserve"> of which </w:t>
      </w:r>
      <w:r w:rsidRPr="00532D7B">
        <w:rPr>
          <w:rFonts w:ascii="Times New Roman" w:hAnsi="Times New Roman" w:cs="Times New Roman"/>
          <w:sz w:val="24"/>
        </w:rPr>
        <w:t>one</w:t>
      </w:r>
      <w:r>
        <w:rPr>
          <w:rFonts w:ascii="Times New Roman" w:hAnsi="Times New Roman" w:cs="Times New Roman"/>
          <w:sz w:val="24"/>
        </w:rPr>
        <w:t>-</w:t>
      </w:r>
      <w:r w:rsidRPr="00532D7B">
        <w:rPr>
          <w:rFonts w:ascii="Times New Roman" w:hAnsi="Times New Roman" w:cs="Times New Roman"/>
          <w:sz w:val="24"/>
        </w:rPr>
        <w:t>third of the transactions occur in 2020. Th</w:t>
      </w:r>
      <w:r>
        <w:rPr>
          <w:rFonts w:ascii="Times New Roman" w:hAnsi="Times New Roman" w:cs="Times New Roman"/>
          <w:sz w:val="24"/>
        </w:rPr>
        <w:t xml:space="preserve">ese findings show the dramatic </w:t>
      </w:r>
      <w:r w:rsidRPr="00532D7B">
        <w:rPr>
          <w:rFonts w:ascii="Times New Roman" w:hAnsi="Times New Roman" w:cs="Times New Roman"/>
          <w:sz w:val="24"/>
        </w:rPr>
        <w:t xml:space="preserve">rise in prominence of SPACs as a viable way to become public. Panel </w:t>
      </w:r>
      <w:r>
        <w:rPr>
          <w:rFonts w:ascii="Times New Roman" w:hAnsi="Times New Roman" w:cs="Times New Roman"/>
          <w:sz w:val="24"/>
        </w:rPr>
        <w:t>B</w:t>
      </w:r>
      <w:r w:rsidRPr="00532D7B">
        <w:rPr>
          <w:rFonts w:ascii="Times New Roman" w:hAnsi="Times New Roman" w:cs="Times New Roman"/>
          <w:sz w:val="24"/>
        </w:rPr>
        <w:t xml:space="preserve"> of Table 1 provides industry </w:t>
      </w:r>
      <w:r>
        <w:rPr>
          <w:rFonts w:ascii="Times New Roman" w:hAnsi="Times New Roman" w:cs="Times New Roman"/>
          <w:sz w:val="24"/>
        </w:rPr>
        <w:t xml:space="preserve">composition using the </w:t>
      </w:r>
      <w:r w:rsidRPr="00532D7B">
        <w:rPr>
          <w:rFonts w:ascii="Times New Roman" w:hAnsi="Times New Roman" w:cs="Times New Roman"/>
          <w:sz w:val="24"/>
        </w:rPr>
        <w:t xml:space="preserve">Fama-French </w:t>
      </w:r>
      <w:r>
        <w:rPr>
          <w:rFonts w:ascii="Times New Roman" w:hAnsi="Times New Roman" w:cs="Times New Roman"/>
          <w:sz w:val="24"/>
        </w:rPr>
        <w:t xml:space="preserve">(1988) </w:t>
      </w:r>
      <w:r w:rsidR="00B16089">
        <w:rPr>
          <w:rFonts w:ascii="Times New Roman" w:hAnsi="Times New Roman" w:cs="Times New Roman"/>
          <w:sz w:val="24"/>
        </w:rPr>
        <w:t>12-</w:t>
      </w:r>
      <w:r>
        <w:rPr>
          <w:rFonts w:ascii="Times New Roman" w:hAnsi="Times New Roman" w:cs="Times New Roman"/>
          <w:sz w:val="24"/>
        </w:rPr>
        <w:t xml:space="preserve">industry </w:t>
      </w:r>
      <w:r w:rsidR="00B16089">
        <w:rPr>
          <w:rFonts w:ascii="Times New Roman" w:hAnsi="Times New Roman" w:cs="Times New Roman"/>
          <w:sz w:val="24"/>
        </w:rPr>
        <w:t>classifications</w:t>
      </w:r>
      <w:r>
        <w:rPr>
          <w:rFonts w:ascii="Times New Roman" w:hAnsi="Times New Roman" w:cs="Times New Roman"/>
          <w:sz w:val="24"/>
        </w:rPr>
        <w:t xml:space="preserve">. A majority of the SPAC-IPOs are in </w:t>
      </w:r>
      <w:r w:rsidRPr="00532D7B">
        <w:rPr>
          <w:rFonts w:ascii="Times New Roman" w:hAnsi="Times New Roman" w:cs="Times New Roman"/>
          <w:sz w:val="24"/>
        </w:rPr>
        <w:t>finance</w:t>
      </w:r>
      <w:r>
        <w:rPr>
          <w:rFonts w:ascii="Times New Roman" w:hAnsi="Times New Roman" w:cs="Times New Roman"/>
          <w:sz w:val="24"/>
        </w:rPr>
        <w:t>,</w:t>
      </w:r>
      <w:r w:rsidRPr="00532D7B">
        <w:rPr>
          <w:rFonts w:ascii="Times New Roman" w:hAnsi="Times New Roman" w:cs="Times New Roman"/>
          <w:sz w:val="24"/>
        </w:rPr>
        <w:t xml:space="preserve"> wholesale, </w:t>
      </w:r>
      <w:r>
        <w:rPr>
          <w:rFonts w:ascii="Times New Roman" w:hAnsi="Times New Roman" w:cs="Times New Roman"/>
          <w:sz w:val="24"/>
        </w:rPr>
        <w:t xml:space="preserve">and </w:t>
      </w:r>
      <w:r w:rsidRPr="00532D7B">
        <w:rPr>
          <w:rFonts w:ascii="Times New Roman" w:hAnsi="Times New Roman" w:cs="Times New Roman"/>
          <w:sz w:val="24"/>
        </w:rPr>
        <w:t xml:space="preserve">retail. </w:t>
      </w:r>
      <w:r>
        <w:rPr>
          <w:rFonts w:ascii="Times New Roman" w:hAnsi="Times New Roman" w:cs="Times New Roman"/>
          <w:sz w:val="24"/>
        </w:rPr>
        <w:t xml:space="preserve">Finally, </w:t>
      </w:r>
      <w:r w:rsidRPr="00532D7B">
        <w:rPr>
          <w:rFonts w:ascii="Times New Roman" w:hAnsi="Times New Roman" w:cs="Times New Roman"/>
          <w:sz w:val="24"/>
        </w:rPr>
        <w:t xml:space="preserve">Panel </w:t>
      </w:r>
      <w:r>
        <w:rPr>
          <w:rFonts w:ascii="Times New Roman" w:hAnsi="Times New Roman" w:cs="Times New Roman"/>
          <w:sz w:val="24"/>
        </w:rPr>
        <w:t>C</w:t>
      </w:r>
      <w:r w:rsidRPr="00532D7B">
        <w:rPr>
          <w:rFonts w:ascii="Times New Roman" w:hAnsi="Times New Roman" w:cs="Times New Roman"/>
          <w:sz w:val="24"/>
        </w:rPr>
        <w:t xml:space="preserve"> details the country of incorporation of the companies that become public via SPAC transactions. The majority, 76.6 percent, are incorporated </w:t>
      </w:r>
      <w:r w:rsidRPr="00532D7B">
        <w:rPr>
          <w:rFonts w:ascii="Times New Roman" w:hAnsi="Times New Roman" w:cs="Times New Roman"/>
          <w:sz w:val="24"/>
        </w:rPr>
        <w:lastRenderedPageBreak/>
        <w:t xml:space="preserve">in the U.S. with a large proportion of the sample also </w:t>
      </w:r>
      <w:r w:rsidR="00826C10" w:rsidRPr="00532D7B">
        <w:rPr>
          <w:rFonts w:ascii="Times New Roman" w:hAnsi="Times New Roman" w:cs="Times New Roman"/>
          <w:sz w:val="24"/>
        </w:rPr>
        <w:t>incorporat</w:t>
      </w:r>
      <w:r w:rsidR="00826C10">
        <w:rPr>
          <w:rFonts w:ascii="Times New Roman" w:hAnsi="Times New Roman" w:cs="Times New Roman"/>
          <w:sz w:val="24"/>
        </w:rPr>
        <w:t>ed</w:t>
      </w:r>
      <w:r w:rsidR="00826C10" w:rsidRPr="00532D7B">
        <w:rPr>
          <w:rFonts w:ascii="Times New Roman" w:hAnsi="Times New Roman" w:cs="Times New Roman"/>
          <w:sz w:val="24"/>
        </w:rPr>
        <w:t xml:space="preserve"> </w:t>
      </w:r>
      <w:r w:rsidRPr="00532D7B">
        <w:rPr>
          <w:rFonts w:ascii="Times New Roman" w:hAnsi="Times New Roman" w:cs="Times New Roman"/>
          <w:sz w:val="24"/>
        </w:rPr>
        <w:t xml:space="preserve">in tax haven countries (e.g., Cayman Islands, British Virgin Islands, etc.). </w:t>
      </w:r>
    </w:p>
    <w:p w14:paraId="3EC28D1E" w14:textId="77777777" w:rsidR="00B97BAD" w:rsidRPr="00024CFA" w:rsidRDefault="00B97BAD" w:rsidP="00B97BAD">
      <w:pPr>
        <w:spacing w:after="0" w:line="480" w:lineRule="auto"/>
        <w:jc w:val="both"/>
        <w:rPr>
          <w:rFonts w:ascii="Times New Roman" w:hAnsi="Times New Roman" w:cs="Times New Roman"/>
          <w:i/>
          <w:sz w:val="24"/>
          <w:szCs w:val="24"/>
        </w:rPr>
      </w:pPr>
      <w:r w:rsidRPr="00024CFA">
        <w:rPr>
          <w:rFonts w:ascii="Times New Roman" w:hAnsi="Times New Roman" w:cs="Times New Roman"/>
          <w:i/>
          <w:sz w:val="24"/>
          <w:szCs w:val="24"/>
        </w:rPr>
        <w:t>5.</w:t>
      </w:r>
      <w:r>
        <w:rPr>
          <w:rFonts w:ascii="Times New Roman" w:hAnsi="Times New Roman" w:cs="Times New Roman"/>
          <w:i/>
          <w:sz w:val="24"/>
          <w:szCs w:val="24"/>
        </w:rPr>
        <w:t>2</w:t>
      </w:r>
      <w:r w:rsidRPr="00024CFA">
        <w:rPr>
          <w:rFonts w:ascii="Times New Roman" w:hAnsi="Times New Roman" w:cs="Times New Roman"/>
          <w:i/>
          <w:sz w:val="24"/>
          <w:szCs w:val="24"/>
        </w:rPr>
        <w:t>.</w:t>
      </w:r>
      <w:r w:rsidRPr="00024CFA">
        <w:rPr>
          <w:rFonts w:ascii="Times New Roman" w:hAnsi="Times New Roman" w:cs="Times New Roman"/>
          <w:i/>
          <w:sz w:val="24"/>
          <w:szCs w:val="24"/>
        </w:rPr>
        <w:tab/>
        <w:t xml:space="preserve">Sample </w:t>
      </w:r>
      <w:r>
        <w:rPr>
          <w:rFonts w:ascii="Times New Roman" w:hAnsi="Times New Roman" w:cs="Times New Roman"/>
          <w:i/>
          <w:sz w:val="24"/>
          <w:szCs w:val="24"/>
        </w:rPr>
        <w:t xml:space="preserve">Description </w:t>
      </w:r>
    </w:p>
    <w:p w14:paraId="48AC7E68" w14:textId="03069B6B" w:rsidR="00B97BAD"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For e</w:t>
      </w:r>
      <w:r w:rsidRPr="00F8660E">
        <w:rPr>
          <w:rFonts w:ascii="Times New Roman" w:eastAsia="Times New Roman" w:hAnsi="Times New Roman" w:cs="Times New Roman"/>
          <w:color w:val="000000"/>
          <w:sz w:val="24"/>
          <w:szCs w:val="24"/>
        </w:rPr>
        <w:t xml:space="preserve">ach SPAC-IPO </w:t>
      </w:r>
      <w:r>
        <w:rPr>
          <w:rFonts w:ascii="Times New Roman" w:eastAsia="Times New Roman" w:hAnsi="Times New Roman" w:cs="Times New Roman"/>
          <w:color w:val="000000"/>
          <w:sz w:val="24"/>
          <w:szCs w:val="24"/>
        </w:rPr>
        <w:t>observation,</w:t>
      </w:r>
      <w:r w:rsidRPr="00F866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identify a matched company that raised public funds via a </w:t>
      </w:r>
      <w:r w:rsidRPr="00F8660E">
        <w:rPr>
          <w:rFonts w:ascii="Times New Roman" w:eastAsia="Times New Roman" w:hAnsi="Times New Roman" w:cs="Times New Roman"/>
          <w:color w:val="000000"/>
          <w:sz w:val="24"/>
          <w:szCs w:val="24"/>
        </w:rPr>
        <w:t>traditional IPO</w:t>
      </w:r>
      <w:r>
        <w:rPr>
          <w:rFonts w:ascii="Times New Roman" w:eastAsia="Times New Roman" w:hAnsi="Times New Roman" w:cs="Times New Roman"/>
          <w:color w:val="000000"/>
          <w:sz w:val="24"/>
          <w:szCs w:val="24"/>
        </w:rPr>
        <w:t xml:space="preserve">. We match on SPAC acquisition year (Year </w:t>
      </w:r>
      <w:r w:rsidR="006112B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and on the amount of funds raised from the public offering (</w:t>
      </w:r>
      <w:r w:rsidRPr="001146DD">
        <w:rPr>
          <w:rFonts w:ascii="Times New Roman" w:eastAsia="Times New Roman" w:hAnsi="Times New Roman" w:cs="Times New Roman"/>
          <w:i/>
          <w:color w:val="000000"/>
          <w:sz w:val="24"/>
          <w:szCs w:val="24"/>
        </w:rPr>
        <w:t>PROCEEDS</w:t>
      </w:r>
      <w:r>
        <w:rPr>
          <w:rFonts w:ascii="Times New Roman" w:eastAsia="Times New Roman" w:hAnsi="Times New Roman" w:cs="Times New Roman"/>
          <w:color w:val="000000"/>
          <w:sz w:val="24"/>
          <w:szCs w:val="24"/>
        </w:rPr>
        <w:t xml:space="preserve">) </w:t>
      </w:r>
      <w:r w:rsidRPr="00F8660E">
        <w:rPr>
          <w:rFonts w:ascii="Times New Roman" w:eastAsia="Times New Roman" w:hAnsi="Times New Roman" w:cs="Times New Roman"/>
          <w:color w:val="000000"/>
          <w:sz w:val="24"/>
          <w:szCs w:val="24"/>
        </w:rPr>
        <w:t>without replacement</w:t>
      </w:r>
      <w:r>
        <w:rPr>
          <w:rFonts w:ascii="Times New Roman" w:eastAsia="Times New Roman" w:hAnsi="Times New Roman" w:cs="Times New Roman"/>
          <w:color w:val="000000"/>
          <w:sz w:val="24"/>
          <w:szCs w:val="24"/>
        </w:rPr>
        <w:t>.</w:t>
      </w:r>
      <w:r w:rsidRPr="00F8660E">
        <w:rPr>
          <w:rFonts w:ascii="Times New Roman" w:hAnsi="Times New Roman" w:cs="Times New Roman"/>
          <w:sz w:val="24"/>
          <w:szCs w:val="24"/>
        </w:rPr>
        <w:t xml:space="preserve"> </w:t>
      </w:r>
      <w:r>
        <w:rPr>
          <w:rFonts w:ascii="Times New Roman" w:hAnsi="Times New Roman" w:cs="Times New Roman"/>
          <w:sz w:val="24"/>
          <w:szCs w:val="24"/>
        </w:rPr>
        <w:t xml:space="preserve">Panel A of </w:t>
      </w:r>
      <w:r w:rsidRPr="00F8660E">
        <w:rPr>
          <w:rFonts w:ascii="Times New Roman" w:hAnsi="Times New Roman" w:cs="Times New Roman"/>
          <w:sz w:val="24"/>
          <w:szCs w:val="24"/>
        </w:rPr>
        <w:t xml:space="preserve">Table 2 presents the descriptive statistics for the SPAC-IPO and non-SPAC-IPO firms for Year </w:t>
      </w:r>
      <w:r w:rsidR="006112B6">
        <w:rPr>
          <w:rFonts w:ascii="Times New Roman" w:hAnsi="Times New Roman" w:cs="Times New Roman"/>
          <w:sz w:val="24"/>
          <w:szCs w:val="24"/>
        </w:rPr>
        <w:t>t</w:t>
      </w:r>
      <w:r w:rsidRPr="00F8660E">
        <w:rPr>
          <w:rFonts w:ascii="Times New Roman" w:hAnsi="Times New Roman" w:cs="Times New Roman"/>
          <w:sz w:val="24"/>
          <w:szCs w:val="24"/>
        </w:rPr>
        <w:t xml:space="preserve">. The </w:t>
      </w:r>
      <w:r>
        <w:rPr>
          <w:rFonts w:ascii="Times New Roman" w:hAnsi="Times New Roman" w:cs="Times New Roman"/>
          <w:sz w:val="24"/>
          <w:szCs w:val="24"/>
        </w:rPr>
        <w:t xml:space="preserve">median </w:t>
      </w:r>
      <w:r w:rsidRPr="00F8660E">
        <w:rPr>
          <w:rFonts w:ascii="Times New Roman" w:hAnsi="Times New Roman" w:cs="Times New Roman"/>
          <w:sz w:val="24"/>
          <w:szCs w:val="24"/>
        </w:rPr>
        <w:t>proceeds from</w:t>
      </w:r>
      <w:r w:rsidRPr="00077F3C">
        <w:rPr>
          <w:rFonts w:ascii="Times New Roman" w:hAnsi="Times New Roman" w:cs="Times New Roman"/>
          <w:sz w:val="24"/>
        </w:rPr>
        <w:t xml:space="preserve"> the SPAC-</w:t>
      </w:r>
      <w:r>
        <w:rPr>
          <w:rFonts w:ascii="Times New Roman" w:hAnsi="Times New Roman" w:cs="Times New Roman"/>
          <w:sz w:val="24"/>
        </w:rPr>
        <w:t xml:space="preserve"> and non-SPAC-I</w:t>
      </w:r>
      <w:r w:rsidRPr="00077F3C">
        <w:rPr>
          <w:rFonts w:ascii="Times New Roman" w:hAnsi="Times New Roman" w:cs="Times New Roman"/>
          <w:sz w:val="24"/>
        </w:rPr>
        <w:t>PO</w:t>
      </w:r>
      <w:r>
        <w:rPr>
          <w:rFonts w:ascii="Times New Roman" w:hAnsi="Times New Roman" w:cs="Times New Roman"/>
          <w:sz w:val="24"/>
        </w:rPr>
        <w:t xml:space="preserve">s </w:t>
      </w:r>
      <w:r w:rsidRPr="00077F3C">
        <w:rPr>
          <w:rFonts w:ascii="Times New Roman" w:hAnsi="Times New Roman" w:cs="Times New Roman"/>
          <w:sz w:val="24"/>
        </w:rPr>
        <w:t xml:space="preserve">are </w:t>
      </w:r>
      <w:r>
        <w:rPr>
          <w:rFonts w:ascii="Times New Roman" w:hAnsi="Times New Roman" w:cs="Times New Roman"/>
          <w:sz w:val="24"/>
        </w:rPr>
        <w:t>identical (</w:t>
      </w:r>
      <w:r w:rsidRPr="00077F3C">
        <w:rPr>
          <w:rFonts w:ascii="Times New Roman" w:hAnsi="Times New Roman" w:cs="Times New Roman"/>
          <w:sz w:val="24"/>
        </w:rPr>
        <w:t>$</w:t>
      </w:r>
      <w:r>
        <w:rPr>
          <w:rFonts w:ascii="Times New Roman" w:hAnsi="Times New Roman" w:cs="Times New Roman"/>
          <w:sz w:val="24"/>
        </w:rPr>
        <w:t>176</w:t>
      </w:r>
      <w:r w:rsidRPr="00077F3C">
        <w:rPr>
          <w:rFonts w:ascii="Times New Roman" w:hAnsi="Times New Roman" w:cs="Times New Roman"/>
          <w:sz w:val="24"/>
        </w:rPr>
        <w:t xml:space="preserve"> milli</w:t>
      </w:r>
      <w:r>
        <w:rPr>
          <w:rFonts w:ascii="Times New Roman" w:hAnsi="Times New Roman" w:cs="Times New Roman"/>
          <w:sz w:val="24"/>
        </w:rPr>
        <w:t xml:space="preserve">on) which is not surprising because we match on proceeds. </w:t>
      </w:r>
    </w:p>
    <w:p w14:paraId="1C7A32B3" w14:textId="295A5192" w:rsidR="00B97BAD" w:rsidRDefault="00B97BAD" w:rsidP="00B97BAD">
      <w:pPr>
        <w:spacing w:after="0" w:line="480" w:lineRule="auto"/>
        <w:ind w:firstLine="720"/>
        <w:jc w:val="both"/>
        <w:rPr>
          <w:rFonts w:ascii="Times New Roman" w:hAnsi="Times New Roman" w:cs="Times New Roman"/>
          <w:sz w:val="24"/>
        </w:rPr>
      </w:pPr>
      <w:r w:rsidRPr="00077F3C">
        <w:rPr>
          <w:rFonts w:ascii="Times New Roman" w:hAnsi="Times New Roman" w:cs="Times New Roman"/>
          <w:sz w:val="24"/>
        </w:rPr>
        <w:t xml:space="preserve">The average total assets of the SPAC-IPO </w:t>
      </w:r>
      <w:r>
        <w:rPr>
          <w:rFonts w:ascii="Times New Roman" w:hAnsi="Times New Roman" w:cs="Times New Roman"/>
          <w:sz w:val="24"/>
        </w:rPr>
        <w:t>firms</w:t>
      </w:r>
      <w:r w:rsidRPr="00077F3C">
        <w:rPr>
          <w:rFonts w:ascii="Times New Roman" w:hAnsi="Times New Roman" w:cs="Times New Roman"/>
          <w:sz w:val="24"/>
        </w:rPr>
        <w:t xml:space="preserve"> is $71</w:t>
      </w:r>
      <w:r>
        <w:rPr>
          <w:rFonts w:ascii="Times New Roman" w:hAnsi="Times New Roman" w:cs="Times New Roman"/>
          <w:sz w:val="24"/>
        </w:rPr>
        <w:t>3</w:t>
      </w:r>
      <w:r w:rsidRPr="00077F3C">
        <w:rPr>
          <w:rFonts w:ascii="Times New Roman" w:hAnsi="Times New Roman" w:cs="Times New Roman"/>
          <w:sz w:val="24"/>
        </w:rPr>
        <w:t xml:space="preserve"> million while the median</w:t>
      </w:r>
      <w:r>
        <w:rPr>
          <w:rFonts w:ascii="Times New Roman" w:hAnsi="Times New Roman" w:cs="Times New Roman"/>
          <w:sz w:val="24"/>
        </w:rPr>
        <w:t xml:space="preserve"> is $310 million. The non-SPAC-</w:t>
      </w:r>
      <w:r w:rsidRPr="00077F3C">
        <w:rPr>
          <w:rFonts w:ascii="Times New Roman" w:hAnsi="Times New Roman" w:cs="Times New Roman"/>
          <w:sz w:val="24"/>
        </w:rPr>
        <w:t>IPO</w:t>
      </w:r>
      <w:r>
        <w:rPr>
          <w:rFonts w:ascii="Times New Roman" w:hAnsi="Times New Roman" w:cs="Times New Roman"/>
          <w:sz w:val="24"/>
        </w:rPr>
        <w:t xml:space="preserve"> firm</w:t>
      </w:r>
      <w:r w:rsidRPr="00077F3C">
        <w:rPr>
          <w:rFonts w:ascii="Times New Roman" w:hAnsi="Times New Roman" w:cs="Times New Roman"/>
          <w:sz w:val="24"/>
        </w:rPr>
        <w:t xml:space="preserve">s have comparable average total assets, but the median total assets is statistically significantly larger at $447 million. </w:t>
      </w:r>
      <w:r>
        <w:rPr>
          <w:rFonts w:ascii="Times New Roman" w:hAnsi="Times New Roman" w:cs="Times New Roman"/>
          <w:sz w:val="24"/>
        </w:rPr>
        <w:t>The variables capturing firm efficiency (</w:t>
      </w:r>
      <w:r w:rsidRPr="006A384E">
        <w:rPr>
          <w:rFonts w:ascii="Times New Roman" w:hAnsi="Times New Roman" w:cs="Times New Roman"/>
          <w:i/>
          <w:sz w:val="24"/>
        </w:rPr>
        <w:t>ASSETTURNOVER</w:t>
      </w:r>
      <w:r>
        <w:rPr>
          <w:rFonts w:ascii="Times New Roman" w:hAnsi="Times New Roman" w:cs="Times New Roman"/>
          <w:sz w:val="24"/>
        </w:rPr>
        <w:t>), liquidity and risky current assets (</w:t>
      </w:r>
      <w:r w:rsidRPr="006A384E">
        <w:rPr>
          <w:rFonts w:ascii="Times New Roman" w:hAnsi="Times New Roman" w:cs="Times New Roman"/>
          <w:i/>
          <w:sz w:val="24"/>
        </w:rPr>
        <w:t>CURRATIO</w:t>
      </w:r>
      <w:r>
        <w:rPr>
          <w:rFonts w:ascii="Times New Roman" w:hAnsi="Times New Roman" w:cs="Times New Roman"/>
          <w:sz w:val="24"/>
        </w:rPr>
        <w:t>), performance (</w:t>
      </w:r>
      <w:r w:rsidRPr="006A384E">
        <w:rPr>
          <w:rFonts w:ascii="Times New Roman" w:hAnsi="Times New Roman" w:cs="Times New Roman"/>
          <w:i/>
          <w:sz w:val="24"/>
        </w:rPr>
        <w:t>ROA</w:t>
      </w:r>
      <w:r w:rsidR="00F1758E">
        <w:rPr>
          <w:rFonts w:ascii="Times New Roman" w:hAnsi="Times New Roman" w:cs="Times New Roman"/>
          <w:i/>
          <w:sz w:val="24"/>
        </w:rPr>
        <w:t xml:space="preserve"> </w:t>
      </w:r>
      <w:r w:rsidR="00F1758E" w:rsidRPr="00F1758E">
        <w:rPr>
          <w:rFonts w:ascii="Times New Roman" w:hAnsi="Times New Roman" w:cs="Times New Roman"/>
          <w:sz w:val="24"/>
        </w:rPr>
        <w:t>and</w:t>
      </w:r>
      <w:r w:rsidR="00F1758E">
        <w:rPr>
          <w:rFonts w:ascii="Times New Roman" w:hAnsi="Times New Roman" w:cs="Times New Roman"/>
          <w:i/>
          <w:sz w:val="24"/>
        </w:rPr>
        <w:t xml:space="preserve"> LOSS</w:t>
      </w:r>
      <w:r>
        <w:rPr>
          <w:rFonts w:ascii="Times New Roman" w:hAnsi="Times New Roman" w:cs="Times New Roman"/>
          <w:sz w:val="24"/>
        </w:rPr>
        <w:t>), and financial leverage (</w:t>
      </w:r>
      <w:r w:rsidRPr="006A384E">
        <w:rPr>
          <w:rFonts w:ascii="Times New Roman" w:hAnsi="Times New Roman" w:cs="Times New Roman"/>
          <w:i/>
          <w:sz w:val="24"/>
        </w:rPr>
        <w:t>LEVERAGE</w:t>
      </w:r>
      <w:r>
        <w:rPr>
          <w:rFonts w:ascii="Times New Roman" w:hAnsi="Times New Roman" w:cs="Times New Roman"/>
          <w:sz w:val="24"/>
        </w:rPr>
        <w:t xml:space="preserve">) have means (medians) of 0.81 (0.47), 4.23 (1.49), -0.20 (-0.05), </w:t>
      </w:r>
      <w:r w:rsidR="00F1758E">
        <w:rPr>
          <w:rFonts w:ascii="Times New Roman" w:hAnsi="Times New Roman" w:cs="Times New Roman"/>
          <w:sz w:val="24"/>
        </w:rPr>
        <w:t xml:space="preserve">0.74 (1.00), </w:t>
      </w:r>
      <w:r>
        <w:rPr>
          <w:rFonts w:ascii="Times New Roman" w:hAnsi="Times New Roman" w:cs="Times New Roman"/>
          <w:sz w:val="24"/>
        </w:rPr>
        <w:t>and 0.29 (0.24), respectively, for SPAC-IPO firms. The corresponding numbers for the non-SPAC-IPO firms are 0.51 (0.32), 6.06 (2.66), -0.14 (-0.08)</w:t>
      </w:r>
      <w:r w:rsidR="00F1758E">
        <w:rPr>
          <w:rFonts w:ascii="Times New Roman" w:hAnsi="Times New Roman" w:cs="Times New Roman"/>
          <w:sz w:val="24"/>
        </w:rPr>
        <w:t>, 0.70 (1.00)</w:t>
      </w:r>
      <w:r>
        <w:rPr>
          <w:rFonts w:ascii="Times New Roman" w:hAnsi="Times New Roman" w:cs="Times New Roman"/>
          <w:sz w:val="24"/>
        </w:rPr>
        <w:t xml:space="preserve">, and 0.17 (0.06) with all differences being significant except for </w:t>
      </w:r>
      <w:r w:rsidRPr="006A384E">
        <w:rPr>
          <w:rFonts w:ascii="Times New Roman" w:hAnsi="Times New Roman" w:cs="Times New Roman"/>
          <w:i/>
          <w:sz w:val="24"/>
        </w:rPr>
        <w:t>ROA</w:t>
      </w:r>
      <w:r w:rsidR="00F1758E">
        <w:rPr>
          <w:rFonts w:ascii="Times New Roman" w:hAnsi="Times New Roman" w:cs="Times New Roman"/>
          <w:i/>
          <w:sz w:val="24"/>
        </w:rPr>
        <w:t xml:space="preserve"> </w:t>
      </w:r>
      <w:r w:rsidR="00F1758E" w:rsidRPr="00F1758E">
        <w:rPr>
          <w:rFonts w:ascii="Times New Roman" w:hAnsi="Times New Roman" w:cs="Times New Roman"/>
          <w:sz w:val="24"/>
        </w:rPr>
        <w:t>and</w:t>
      </w:r>
      <w:r w:rsidR="00F1758E">
        <w:rPr>
          <w:rFonts w:ascii="Times New Roman" w:hAnsi="Times New Roman" w:cs="Times New Roman"/>
          <w:i/>
          <w:sz w:val="24"/>
        </w:rPr>
        <w:t xml:space="preserve"> LOSS</w:t>
      </w:r>
      <w:r>
        <w:rPr>
          <w:rFonts w:ascii="Times New Roman" w:hAnsi="Times New Roman" w:cs="Times New Roman"/>
          <w:sz w:val="24"/>
        </w:rPr>
        <w:t xml:space="preserve">. SPAC-IPO firms have more segments (mean natural logarithm 0.27) and discontinued operations (mean 0.03) than non-SPAC-IPO firms (means of 0.03 and 0.00, respectively). </w:t>
      </w:r>
      <w:r w:rsidRPr="00077F3C">
        <w:rPr>
          <w:rFonts w:ascii="Times New Roman" w:hAnsi="Times New Roman" w:cs="Times New Roman"/>
          <w:sz w:val="24"/>
        </w:rPr>
        <w:t xml:space="preserve">SPAC-IPO </w:t>
      </w:r>
      <w:r>
        <w:rPr>
          <w:rFonts w:ascii="Times New Roman" w:hAnsi="Times New Roman" w:cs="Times New Roman"/>
          <w:sz w:val="24"/>
        </w:rPr>
        <w:t>firms</w:t>
      </w:r>
      <w:r w:rsidRPr="00077F3C">
        <w:rPr>
          <w:rFonts w:ascii="Times New Roman" w:hAnsi="Times New Roman" w:cs="Times New Roman"/>
          <w:sz w:val="24"/>
        </w:rPr>
        <w:t xml:space="preserve"> exhibit less financial distress than traditional IPO </w:t>
      </w:r>
      <w:r>
        <w:rPr>
          <w:rFonts w:ascii="Times New Roman" w:hAnsi="Times New Roman" w:cs="Times New Roman"/>
          <w:sz w:val="24"/>
        </w:rPr>
        <w:t>firms</w:t>
      </w:r>
      <w:r w:rsidRPr="00077F3C">
        <w:rPr>
          <w:rFonts w:ascii="Times New Roman" w:hAnsi="Times New Roman" w:cs="Times New Roman"/>
          <w:sz w:val="24"/>
        </w:rPr>
        <w:t xml:space="preserve">; </w:t>
      </w:r>
      <w:r w:rsidR="005C7467">
        <w:rPr>
          <w:rFonts w:ascii="Times New Roman" w:hAnsi="Times New Roman" w:cs="Times New Roman"/>
          <w:sz w:val="24"/>
        </w:rPr>
        <w:t>57</w:t>
      </w:r>
      <w:r w:rsidRPr="00077F3C">
        <w:rPr>
          <w:rFonts w:ascii="Times New Roman" w:hAnsi="Times New Roman" w:cs="Times New Roman"/>
          <w:sz w:val="24"/>
        </w:rPr>
        <w:t xml:space="preserve"> percent of SPAC-IPO companies have an Altman-Z score greater than or equal to 3.0 compared to 28 percent for traditional IPO companies. More SPAC-IPO </w:t>
      </w:r>
      <w:r>
        <w:rPr>
          <w:rFonts w:ascii="Times New Roman" w:hAnsi="Times New Roman" w:cs="Times New Roman"/>
          <w:sz w:val="24"/>
        </w:rPr>
        <w:t>firms</w:t>
      </w:r>
      <w:r w:rsidRPr="00077F3C">
        <w:rPr>
          <w:rFonts w:ascii="Times New Roman" w:hAnsi="Times New Roman" w:cs="Times New Roman"/>
          <w:sz w:val="24"/>
        </w:rPr>
        <w:t xml:space="preserve"> qualify as emerging growth companies than </w:t>
      </w:r>
      <w:r>
        <w:rPr>
          <w:rFonts w:ascii="Times New Roman" w:hAnsi="Times New Roman" w:cs="Times New Roman"/>
          <w:sz w:val="24"/>
        </w:rPr>
        <w:t>non-SPAC-IPO firms,</w:t>
      </w:r>
      <w:r w:rsidRPr="00077F3C">
        <w:rPr>
          <w:rFonts w:ascii="Times New Roman" w:hAnsi="Times New Roman" w:cs="Times New Roman"/>
          <w:sz w:val="24"/>
        </w:rPr>
        <w:t xml:space="preserve"> while the number of firms incorporated outside of the U.S. is similar</w:t>
      </w:r>
      <w:r>
        <w:rPr>
          <w:rFonts w:ascii="Times New Roman" w:hAnsi="Times New Roman" w:cs="Times New Roman"/>
          <w:sz w:val="24"/>
        </w:rPr>
        <w:t xml:space="preserve"> between the two groups</w:t>
      </w:r>
      <w:r w:rsidRPr="00077F3C">
        <w:rPr>
          <w:rFonts w:ascii="Times New Roman" w:hAnsi="Times New Roman" w:cs="Times New Roman"/>
          <w:sz w:val="24"/>
        </w:rPr>
        <w:t>.</w:t>
      </w:r>
    </w:p>
    <w:p w14:paraId="16F7CB7B" w14:textId="50D4E457" w:rsidR="00B97BAD" w:rsidRPr="00077F3C"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Panel B of Table 2 presents the means for the SPAC-IPO and non-SPAC-IPO firms after entropy balancing on the first moment. As expected, </w:t>
      </w:r>
      <w:r w:rsidR="00D441B9">
        <w:rPr>
          <w:rFonts w:ascii="Times New Roman" w:hAnsi="Times New Roman" w:cs="Times New Roman"/>
          <w:sz w:val="24"/>
        </w:rPr>
        <w:t xml:space="preserve">entropy balancing </w:t>
      </w:r>
      <w:r>
        <w:rPr>
          <w:rFonts w:ascii="Times New Roman" w:hAnsi="Times New Roman" w:cs="Times New Roman"/>
          <w:sz w:val="24"/>
        </w:rPr>
        <w:t xml:space="preserve">eliminates differences in </w:t>
      </w:r>
      <w:r w:rsidR="00D441B9">
        <w:rPr>
          <w:rFonts w:ascii="Times New Roman" w:hAnsi="Times New Roman" w:cs="Times New Roman"/>
          <w:sz w:val="24"/>
        </w:rPr>
        <w:t xml:space="preserve">the </w:t>
      </w:r>
      <w:r>
        <w:rPr>
          <w:rFonts w:ascii="Times New Roman" w:hAnsi="Times New Roman" w:cs="Times New Roman"/>
          <w:sz w:val="24"/>
        </w:rPr>
        <w:t>means between the two groups</w:t>
      </w:r>
      <w:r w:rsidR="00D441B9">
        <w:rPr>
          <w:rFonts w:ascii="Times New Roman" w:hAnsi="Times New Roman" w:cs="Times New Roman"/>
          <w:sz w:val="24"/>
        </w:rPr>
        <w:t xml:space="preserve"> which reduces any concerns that the differences between treatment and control groups in the regression specifications are attributable to the differences in the control variables</w:t>
      </w:r>
      <w:r>
        <w:rPr>
          <w:rFonts w:ascii="Times New Roman" w:hAnsi="Times New Roman" w:cs="Times New Roman"/>
          <w:sz w:val="24"/>
        </w:rPr>
        <w:t>.</w:t>
      </w:r>
    </w:p>
    <w:p w14:paraId="3B45E7FA" w14:textId="77777777" w:rsidR="00B97BAD" w:rsidRPr="001E1EE1" w:rsidRDefault="00B97BAD" w:rsidP="00B97BAD">
      <w:pPr>
        <w:pStyle w:val="ListParagraph"/>
        <w:numPr>
          <w:ilvl w:val="0"/>
          <w:numId w:val="7"/>
        </w:numPr>
        <w:spacing w:after="0" w:line="480" w:lineRule="auto"/>
        <w:ind w:hanging="720"/>
        <w:jc w:val="both"/>
        <w:rPr>
          <w:rFonts w:ascii="Times New Roman" w:hAnsi="Times New Roman" w:cs="Times New Roman"/>
          <w:b/>
          <w:sz w:val="24"/>
        </w:rPr>
      </w:pPr>
      <w:r w:rsidRPr="001E1EE1">
        <w:rPr>
          <w:rFonts w:ascii="Times New Roman" w:hAnsi="Times New Roman" w:cs="Times New Roman"/>
          <w:b/>
          <w:sz w:val="24"/>
        </w:rPr>
        <w:t>Empirical Results</w:t>
      </w:r>
    </w:p>
    <w:p w14:paraId="16F9696D" w14:textId="5C3C2A9B" w:rsidR="00BD7985" w:rsidRPr="003D1DF9" w:rsidRDefault="00BD7985" w:rsidP="00FF6A51">
      <w:pPr>
        <w:spacing w:after="0" w:line="480" w:lineRule="auto"/>
        <w:jc w:val="both"/>
        <w:rPr>
          <w:rFonts w:ascii="Times New Roman" w:hAnsi="Times New Roman" w:cs="Times New Roman"/>
          <w:b/>
          <w:i/>
          <w:sz w:val="24"/>
        </w:rPr>
      </w:pPr>
      <w:r w:rsidRPr="003D1DF9">
        <w:rPr>
          <w:rFonts w:ascii="Times New Roman" w:hAnsi="Times New Roman" w:cs="Times New Roman"/>
          <w:b/>
          <w:i/>
          <w:sz w:val="24"/>
        </w:rPr>
        <w:t xml:space="preserve">6.1. </w:t>
      </w:r>
      <w:r w:rsidRPr="003D1DF9">
        <w:rPr>
          <w:rFonts w:ascii="Times New Roman" w:hAnsi="Times New Roman" w:cs="Times New Roman"/>
          <w:b/>
          <w:i/>
          <w:sz w:val="24"/>
        </w:rPr>
        <w:tab/>
        <w:t>Information Risk</w:t>
      </w:r>
      <w:r w:rsidR="003D1DF9" w:rsidRPr="003D1DF9">
        <w:rPr>
          <w:rFonts w:ascii="Times New Roman" w:hAnsi="Times New Roman" w:cs="Times New Roman"/>
          <w:b/>
          <w:i/>
          <w:sz w:val="24"/>
        </w:rPr>
        <w:t xml:space="preserve"> for the IPO Year</w:t>
      </w:r>
    </w:p>
    <w:p w14:paraId="0CDF8864" w14:textId="698F213E" w:rsidR="00FF6A51" w:rsidRPr="00FF6A51" w:rsidRDefault="00FF6A51" w:rsidP="00FF6A51">
      <w:pPr>
        <w:spacing w:after="0" w:line="480" w:lineRule="auto"/>
        <w:jc w:val="both"/>
        <w:rPr>
          <w:rFonts w:ascii="Times New Roman" w:hAnsi="Times New Roman" w:cs="Times New Roman"/>
          <w:i/>
          <w:sz w:val="24"/>
        </w:rPr>
      </w:pPr>
      <w:r w:rsidRPr="00FF6A51">
        <w:rPr>
          <w:rFonts w:ascii="Times New Roman" w:hAnsi="Times New Roman" w:cs="Times New Roman"/>
          <w:i/>
          <w:sz w:val="24"/>
        </w:rPr>
        <w:t>6.1</w:t>
      </w:r>
      <w:r w:rsidR="00BD7985">
        <w:rPr>
          <w:rFonts w:ascii="Times New Roman" w:hAnsi="Times New Roman" w:cs="Times New Roman"/>
          <w:i/>
          <w:sz w:val="24"/>
        </w:rPr>
        <w:t>.1.</w:t>
      </w:r>
      <w:r w:rsidRPr="00FF6A51">
        <w:rPr>
          <w:rFonts w:ascii="Times New Roman" w:hAnsi="Times New Roman" w:cs="Times New Roman"/>
          <w:i/>
          <w:sz w:val="24"/>
        </w:rPr>
        <w:tab/>
        <w:t xml:space="preserve">Financial Reporting </w:t>
      </w:r>
      <w:r>
        <w:rPr>
          <w:rFonts w:ascii="Times New Roman" w:hAnsi="Times New Roman" w:cs="Times New Roman"/>
          <w:i/>
          <w:sz w:val="24"/>
        </w:rPr>
        <w:t>Q</w:t>
      </w:r>
      <w:r w:rsidRPr="00FF6A51">
        <w:rPr>
          <w:rFonts w:ascii="Times New Roman" w:hAnsi="Times New Roman" w:cs="Times New Roman"/>
          <w:i/>
          <w:sz w:val="24"/>
        </w:rPr>
        <w:t xml:space="preserve">uality </w:t>
      </w:r>
    </w:p>
    <w:p w14:paraId="748C3F1D" w14:textId="59041ACE" w:rsidR="00B97BAD" w:rsidRDefault="00C9265A" w:rsidP="00FF6A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Kim et al. (2022) limit their sample </w:t>
      </w:r>
      <w:r w:rsidR="00DD145B">
        <w:rPr>
          <w:rFonts w:ascii="Times New Roman" w:hAnsi="Times New Roman" w:cs="Times New Roman"/>
          <w:sz w:val="24"/>
        </w:rPr>
        <w:t xml:space="preserve">to </w:t>
      </w:r>
      <w:r w:rsidR="00FF6A51">
        <w:rPr>
          <w:rFonts w:ascii="Times New Roman" w:hAnsi="Times New Roman" w:cs="Times New Roman"/>
          <w:sz w:val="24"/>
        </w:rPr>
        <w:t>45 SPAC-IPOs</w:t>
      </w:r>
      <w:r>
        <w:rPr>
          <w:rFonts w:ascii="Times New Roman" w:hAnsi="Times New Roman" w:cs="Times New Roman"/>
          <w:sz w:val="24"/>
        </w:rPr>
        <w:t xml:space="preserve"> covered by </w:t>
      </w:r>
      <w:r w:rsidR="00B97BAD">
        <w:rPr>
          <w:rFonts w:ascii="Times New Roman" w:hAnsi="Times New Roman" w:cs="Times New Roman"/>
          <w:sz w:val="24"/>
        </w:rPr>
        <w:t>Compustat</w:t>
      </w:r>
      <w:r>
        <w:rPr>
          <w:rFonts w:ascii="Times New Roman" w:hAnsi="Times New Roman" w:cs="Times New Roman"/>
          <w:sz w:val="24"/>
        </w:rPr>
        <w:t>. Since Compustat tends to restrict its coverage to l</w:t>
      </w:r>
      <w:r w:rsidR="00FF6A51">
        <w:rPr>
          <w:rFonts w:ascii="Times New Roman" w:hAnsi="Times New Roman" w:cs="Times New Roman"/>
          <w:sz w:val="24"/>
        </w:rPr>
        <w:t xml:space="preserve">arger firms, </w:t>
      </w:r>
      <w:r>
        <w:rPr>
          <w:rFonts w:ascii="Times New Roman" w:hAnsi="Times New Roman" w:cs="Times New Roman"/>
          <w:sz w:val="24"/>
        </w:rPr>
        <w:t xml:space="preserve">and bigger firms are less likely to be associated with financial reporting problems, </w:t>
      </w:r>
      <w:r w:rsidR="00FF6A51">
        <w:rPr>
          <w:rFonts w:ascii="Times New Roman" w:hAnsi="Times New Roman" w:cs="Times New Roman"/>
          <w:sz w:val="24"/>
        </w:rPr>
        <w:t xml:space="preserve">their findings might </w:t>
      </w:r>
      <w:r>
        <w:rPr>
          <w:rFonts w:ascii="Times New Roman" w:hAnsi="Times New Roman" w:cs="Times New Roman"/>
          <w:sz w:val="24"/>
        </w:rPr>
        <w:t xml:space="preserve">underestimate the true economic magnitude of the financial reporting problems. </w:t>
      </w:r>
      <w:r w:rsidR="00DD145B">
        <w:rPr>
          <w:rFonts w:ascii="Times New Roman" w:hAnsi="Times New Roman" w:cs="Times New Roman"/>
          <w:sz w:val="24"/>
        </w:rPr>
        <w:t>W</w:t>
      </w:r>
      <w:r w:rsidR="00043788">
        <w:rPr>
          <w:rFonts w:ascii="Times New Roman" w:hAnsi="Times New Roman" w:cs="Times New Roman"/>
          <w:sz w:val="24"/>
        </w:rPr>
        <w:t xml:space="preserve">e re-examine their findings using </w:t>
      </w:r>
      <w:r>
        <w:rPr>
          <w:rFonts w:ascii="Times New Roman" w:hAnsi="Times New Roman" w:cs="Times New Roman"/>
          <w:sz w:val="24"/>
        </w:rPr>
        <w:t xml:space="preserve">a comprehensive sample of </w:t>
      </w:r>
      <w:r w:rsidR="00043788">
        <w:rPr>
          <w:rFonts w:ascii="Times New Roman" w:hAnsi="Times New Roman" w:cs="Times New Roman"/>
          <w:sz w:val="24"/>
        </w:rPr>
        <w:t xml:space="preserve">145 SPAC-IPOs </w:t>
      </w:r>
      <w:r w:rsidR="00DD145B">
        <w:rPr>
          <w:rFonts w:ascii="Times New Roman" w:hAnsi="Times New Roman" w:cs="Times New Roman"/>
          <w:sz w:val="24"/>
        </w:rPr>
        <w:t xml:space="preserve">(we </w:t>
      </w:r>
      <w:r w:rsidR="00B97BAD">
        <w:rPr>
          <w:rFonts w:ascii="Times New Roman" w:hAnsi="Times New Roman" w:cs="Times New Roman"/>
          <w:sz w:val="24"/>
        </w:rPr>
        <w:t>hand-collect any missing data from SEC filings</w:t>
      </w:r>
      <w:r w:rsidR="00DD145B">
        <w:rPr>
          <w:rFonts w:ascii="Times New Roman" w:hAnsi="Times New Roman" w:cs="Times New Roman"/>
          <w:sz w:val="24"/>
        </w:rPr>
        <w:t>)</w:t>
      </w:r>
      <w:r w:rsidR="00FF6A51">
        <w:rPr>
          <w:rFonts w:ascii="Times New Roman" w:hAnsi="Times New Roman" w:cs="Times New Roman"/>
          <w:sz w:val="24"/>
        </w:rPr>
        <w:t xml:space="preserve">. </w:t>
      </w:r>
    </w:p>
    <w:p w14:paraId="2123788D" w14:textId="592C86BD" w:rsidR="00D71DB1" w:rsidRDefault="00771C07"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As in Kim et</w:t>
      </w:r>
      <w:r w:rsidR="00DC40CA">
        <w:rPr>
          <w:rFonts w:ascii="Times New Roman" w:hAnsi="Times New Roman" w:cs="Times New Roman"/>
          <w:sz w:val="24"/>
        </w:rPr>
        <w:t xml:space="preserve"> al</w:t>
      </w:r>
      <w:r>
        <w:rPr>
          <w:rFonts w:ascii="Times New Roman" w:hAnsi="Times New Roman" w:cs="Times New Roman"/>
          <w:sz w:val="24"/>
        </w:rPr>
        <w:t xml:space="preserve">. (2022), in Panel A of Table 3, we find that </w:t>
      </w:r>
      <w:r w:rsidR="00B97BAD">
        <w:rPr>
          <w:rFonts w:ascii="Times New Roman" w:hAnsi="Times New Roman" w:cs="Times New Roman"/>
          <w:sz w:val="24"/>
        </w:rPr>
        <w:t>material weakness</w:t>
      </w:r>
      <w:r>
        <w:rPr>
          <w:rFonts w:ascii="Times New Roman" w:hAnsi="Times New Roman" w:cs="Times New Roman"/>
          <w:sz w:val="24"/>
        </w:rPr>
        <w:t>es in internal controls</w:t>
      </w:r>
      <w:r w:rsidR="00B97BAD">
        <w:rPr>
          <w:rFonts w:ascii="Times New Roman" w:hAnsi="Times New Roman" w:cs="Times New Roman"/>
          <w:sz w:val="24"/>
        </w:rPr>
        <w:t>, restatement</w:t>
      </w:r>
      <w:r>
        <w:rPr>
          <w:rFonts w:ascii="Times New Roman" w:hAnsi="Times New Roman" w:cs="Times New Roman"/>
          <w:sz w:val="24"/>
        </w:rPr>
        <w:t xml:space="preserve"> of financial statements</w:t>
      </w:r>
      <w:r w:rsidR="00B97BAD">
        <w:rPr>
          <w:rFonts w:ascii="Times New Roman" w:hAnsi="Times New Roman" w:cs="Times New Roman"/>
          <w:sz w:val="24"/>
        </w:rPr>
        <w:t xml:space="preserve">, and non-timely </w:t>
      </w:r>
      <w:r>
        <w:rPr>
          <w:rFonts w:ascii="Times New Roman" w:hAnsi="Times New Roman" w:cs="Times New Roman"/>
          <w:sz w:val="24"/>
        </w:rPr>
        <w:t xml:space="preserve">annual </w:t>
      </w:r>
      <w:r w:rsidR="00B97BAD">
        <w:rPr>
          <w:rFonts w:ascii="Times New Roman" w:hAnsi="Times New Roman" w:cs="Times New Roman"/>
          <w:sz w:val="24"/>
        </w:rPr>
        <w:t xml:space="preserve">filings occur more </w:t>
      </w:r>
      <w:r>
        <w:rPr>
          <w:rFonts w:ascii="Times New Roman" w:hAnsi="Times New Roman" w:cs="Times New Roman"/>
          <w:sz w:val="24"/>
        </w:rPr>
        <w:t xml:space="preserve">frequently </w:t>
      </w:r>
      <w:r w:rsidR="00B97BAD">
        <w:rPr>
          <w:rFonts w:ascii="Times New Roman" w:hAnsi="Times New Roman" w:cs="Times New Roman"/>
          <w:sz w:val="24"/>
        </w:rPr>
        <w:t>for SPAC-IPO</w:t>
      </w:r>
      <w:r>
        <w:rPr>
          <w:rFonts w:ascii="Times New Roman" w:hAnsi="Times New Roman" w:cs="Times New Roman"/>
          <w:sz w:val="24"/>
        </w:rPr>
        <w:t>s</w:t>
      </w:r>
      <w:r w:rsidR="00B97BAD">
        <w:rPr>
          <w:rFonts w:ascii="Times New Roman" w:hAnsi="Times New Roman" w:cs="Times New Roman"/>
          <w:sz w:val="24"/>
        </w:rPr>
        <w:t xml:space="preserve"> than non-SPAC-IPO</w:t>
      </w:r>
      <w:r>
        <w:rPr>
          <w:rFonts w:ascii="Times New Roman" w:hAnsi="Times New Roman" w:cs="Times New Roman"/>
          <w:sz w:val="24"/>
        </w:rPr>
        <w:t>s</w:t>
      </w:r>
      <w:r w:rsidR="00B97BAD">
        <w:rPr>
          <w:rFonts w:ascii="Times New Roman" w:hAnsi="Times New Roman" w:cs="Times New Roman"/>
          <w:sz w:val="24"/>
        </w:rPr>
        <w:t xml:space="preserve">. </w:t>
      </w:r>
      <w:r>
        <w:rPr>
          <w:rFonts w:ascii="Times New Roman" w:hAnsi="Times New Roman" w:cs="Times New Roman"/>
          <w:sz w:val="24"/>
        </w:rPr>
        <w:t xml:space="preserve">We find that while non-SPAC-IPO annual filings are never delayed in their first year, 19% of the SPAC-IPOs encounter delays in their annual filings in the first year. </w:t>
      </w:r>
      <w:r w:rsidR="00C93CAB">
        <w:rPr>
          <w:rFonts w:ascii="Times New Roman" w:hAnsi="Times New Roman" w:cs="Times New Roman"/>
          <w:sz w:val="24"/>
        </w:rPr>
        <w:t>In Panel B, w</w:t>
      </w:r>
      <w:r w:rsidR="004D7E5C">
        <w:rPr>
          <w:rFonts w:ascii="Times New Roman" w:hAnsi="Times New Roman" w:cs="Times New Roman"/>
          <w:sz w:val="24"/>
        </w:rPr>
        <w:t xml:space="preserve">hen we </w:t>
      </w:r>
      <w:r w:rsidR="00B97BAD">
        <w:rPr>
          <w:rFonts w:ascii="Times New Roman" w:hAnsi="Times New Roman" w:cs="Times New Roman"/>
          <w:sz w:val="24"/>
        </w:rPr>
        <w:t xml:space="preserve">analyze differences in </w:t>
      </w:r>
      <w:r w:rsidR="00C93CAB">
        <w:rPr>
          <w:rFonts w:ascii="Times New Roman" w:hAnsi="Times New Roman" w:cs="Times New Roman"/>
          <w:sz w:val="24"/>
        </w:rPr>
        <w:t xml:space="preserve">financial reporting quality </w:t>
      </w:r>
      <w:r w:rsidR="004D7E5C">
        <w:rPr>
          <w:rFonts w:ascii="Times New Roman" w:hAnsi="Times New Roman" w:cs="Times New Roman"/>
          <w:sz w:val="24"/>
        </w:rPr>
        <w:t xml:space="preserve">using </w:t>
      </w:r>
      <w:r w:rsidR="00B97BAD">
        <w:rPr>
          <w:rFonts w:ascii="Times New Roman" w:hAnsi="Times New Roman" w:cs="Times New Roman"/>
          <w:sz w:val="24"/>
        </w:rPr>
        <w:t>logistic regressions</w:t>
      </w:r>
      <w:r w:rsidR="00C93CAB">
        <w:rPr>
          <w:rFonts w:ascii="Times New Roman" w:hAnsi="Times New Roman" w:cs="Times New Roman"/>
          <w:sz w:val="24"/>
        </w:rPr>
        <w:t>,</w:t>
      </w:r>
      <w:r w:rsidR="00B97BAD">
        <w:rPr>
          <w:rFonts w:ascii="Times New Roman" w:hAnsi="Times New Roman" w:cs="Times New Roman"/>
          <w:sz w:val="24"/>
        </w:rPr>
        <w:t xml:space="preserve"> </w:t>
      </w:r>
      <w:r w:rsidR="004D7E5C">
        <w:rPr>
          <w:rFonts w:ascii="Times New Roman" w:hAnsi="Times New Roman" w:cs="Times New Roman"/>
          <w:sz w:val="24"/>
        </w:rPr>
        <w:t xml:space="preserve">and </w:t>
      </w:r>
      <w:r w:rsidR="00B97BAD">
        <w:rPr>
          <w:rFonts w:ascii="Times New Roman" w:hAnsi="Times New Roman" w:cs="Times New Roman"/>
          <w:sz w:val="24"/>
        </w:rPr>
        <w:t xml:space="preserve">controlling for other factors that affect </w:t>
      </w:r>
      <w:r w:rsidR="004D7E5C">
        <w:rPr>
          <w:rFonts w:ascii="Times New Roman" w:hAnsi="Times New Roman" w:cs="Times New Roman"/>
          <w:sz w:val="24"/>
        </w:rPr>
        <w:t>the outcome variables, we find consistent results</w:t>
      </w:r>
      <w:r w:rsidR="00FC4555">
        <w:rPr>
          <w:rFonts w:ascii="Times New Roman" w:hAnsi="Times New Roman" w:cs="Times New Roman"/>
          <w:sz w:val="24"/>
        </w:rPr>
        <w:t xml:space="preserve"> </w:t>
      </w:r>
      <w:r w:rsidR="00C93CAB">
        <w:rPr>
          <w:rFonts w:ascii="Times New Roman" w:hAnsi="Times New Roman" w:cs="Times New Roman"/>
          <w:sz w:val="24"/>
        </w:rPr>
        <w:t>(</w:t>
      </w:r>
      <w:r w:rsidR="00FC4555">
        <w:rPr>
          <w:rFonts w:ascii="Times New Roman" w:hAnsi="Times New Roman" w:cs="Times New Roman"/>
          <w:sz w:val="24"/>
        </w:rPr>
        <w:t>with and without entropy balancing</w:t>
      </w:r>
      <w:r w:rsidR="00C93CAB">
        <w:rPr>
          <w:rFonts w:ascii="Times New Roman" w:hAnsi="Times New Roman" w:cs="Times New Roman"/>
          <w:sz w:val="24"/>
        </w:rPr>
        <w:t>)</w:t>
      </w:r>
      <w:r w:rsidR="004D7E5C">
        <w:rPr>
          <w:rFonts w:ascii="Times New Roman" w:hAnsi="Times New Roman" w:cs="Times New Roman"/>
          <w:sz w:val="24"/>
        </w:rPr>
        <w:t>.</w:t>
      </w:r>
      <w:r w:rsidR="004D7E5C">
        <w:rPr>
          <w:rStyle w:val="FootnoteReference"/>
          <w:rFonts w:ascii="Times New Roman" w:hAnsi="Times New Roman" w:cs="Times New Roman"/>
          <w:sz w:val="24"/>
        </w:rPr>
        <w:footnoteReference w:id="18"/>
      </w:r>
      <w:r w:rsidR="004D7E5C">
        <w:rPr>
          <w:rFonts w:ascii="Times New Roman" w:hAnsi="Times New Roman" w:cs="Times New Roman"/>
          <w:sz w:val="24"/>
        </w:rPr>
        <w:t xml:space="preserve"> </w:t>
      </w:r>
      <w:r w:rsidR="006E6915">
        <w:rPr>
          <w:rFonts w:ascii="Times New Roman" w:hAnsi="Times New Roman" w:cs="Times New Roman"/>
          <w:sz w:val="24"/>
        </w:rPr>
        <w:t xml:space="preserve">Holding other factors constant, our estimates suggest that a SPAC-IPO is nearly 350% </w:t>
      </w:r>
      <w:r w:rsidR="00C93CAB">
        <w:rPr>
          <w:rFonts w:ascii="Times New Roman" w:hAnsi="Times New Roman" w:cs="Times New Roman"/>
          <w:sz w:val="24"/>
        </w:rPr>
        <w:t xml:space="preserve">(900%) </w:t>
      </w:r>
      <w:r w:rsidR="006E6915">
        <w:rPr>
          <w:rFonts w:ascii="Times New Roman" w:hAnsi="Times New Roman" w:cs="Times New Roman"/>
          <w:sz w:val="24"/>
        </w:rPr>
        <w:t xml:space="preserve">as likely to be associated with a material weakness </w:t>
      </w:r>
      <w:r w:rsidR="00C93CAB">
        <w:rPr>
          <w:rFonts w:ascii="Times New Roman" w:hAnsi="Times New Roman" w:cs="Times New Roman"/>
          <w:sz w:val="24"/>
        </w:rPr>
        <w:t xml:space="preserve">(restatement) </w:t>
      </w:r>
      <w:r w:rsidR="006E6915">
        <w:rPr>
          <w:rFonts w:ascii="Times New Roman" w:hAnsi="Times New Roman" w:cs="Times New Roman"/>
          <w:sz w:val="24"/>
        </w:rPr>
        <w:t xml:space="preserve">as a non-SPAC-IPO. The corresponding number in </w:t>
      </w:r>
      <w:r w:rsidR="00FC4555">
        <w:rPr>
          <w:rFonts w:ascii="Times New Roman" w:hAnsi="Times New Roman" w:cs="Times New Roman"/>
          <w:sz w:val="24"/>
        </w:rPr>
        <w:t xml:space="preserve">Kim et </w:t>
      </w:r>
      <w:r w:rsidR="008B13D8">
        <w:rPr>
          <w:rFonts w:ascii="Times New Roman" w:hAnsi="Times New Roman" w:cs="Times New Roman"/>
          <w:sz w:val="24"/>
        </w:rPr>
        <w:t>a</w:t>
      </w:r>
      <w:r w:rsidR="00FC4555">
        <w:rPr>
          <w:rFonts w:ascii="Times New Roman" w:hAnsi="Times New Roman" w:cs="Times New Roman"/>
          <w:sz w:val="24"/>
        </w:rPr>
        <w:t xml:space="preserve">l. (2022) </w:t>
      </w:r>
      <w:r w:rsidR="006E6915">
        <w:rPr>
          <w:rFonts w:ascii="Times New Roman" w:hAnsi="Times New Roman" w:cs="Times New Roman"/>
          <w:sz w:val="24"/>
        </w:rPr>
        <w:t xml:space="preserve">is </w:t>
      </w:r>
      <w:r w:rsidR="006E6915">
        <w:rPr>
          <w:rFonts w:ascii="Times New Roman" w:hAnsi="Times New Roman" w:cs="Times New Roman"/>
          <w:sz w:val="24"/>
        </w:rPr>
        <w:lastRenderedPageBreak/>
        <w:t>241%</w:t>
      </w:r>
      <w:r w:rsidR="00C93CAB">
        <w:rPr>
          <w:rFonts w:ascii="Times New Roman" w:hAnsi="Times New Roman" w:cs="Times New Roman"/>
          <w:sz w:val="24"/>
        </w:rPr>
        <w:t xml:space="preserve"> (293%)</w:t>
      </w:r>
      <w:r w:rsidR="006E6915">
        <w:rPr>
          <w:rFonts w:ascii="Times New Roman" w:hAnsi="Times New Roman" w:cs="Times New Roman"/>
          <w:sz w:val="24"/>
        </w:rPr>
        <w:t xml:space="preserve">. Thus, </w:t>
      </w:r>
      <w:r w:rsidR="00CE1F97">
        <w:rPr>
          <w:rFonts w:ascii="Times New Roman" w:hAnsi="Times New Roman" w:cs="Times New Roman"/>
          <w:sz w:val="24"/>
        </w:rPr>
        <w:t xml:space="preserve">our investigation indicates that the </w:t>
      </w:r>
      <w:r w:rsidR="00957780">
        <w:rPr>
          <w:rFonts w:ascii="Times New Roman" w:hAnsi="Times New Roman" w:cs="Times New Roman"/>
          <w:sz w:val="24"/>
        </w:rPr>
        <w:t xml:space="preserve">financial reporting problems are much more </w:t>
      </w:r>
      <w:r w:rsidR="00CE1F97">
        <w:rPr>
          <w:rFonts w:ascii="Times New Roman" w:hAnsi="Times New Roman" w:cs="Times New Roman"/>
          <w:sz w:val="24"/>
        </w:rPr>
        <w:t>sever</w:t>
      </w:r>
      <w:r w:rsidR="00957780">
        <w:rPr>
          <w:rFonts w:ascii="Times New Roman" w:hAnsi="Times New Roman" w:cs="Times New Roman"/>
          <w:sz w:val="24"/>
        </w:rPr>
        <w:t xml:space="preserve">e </w:t>
      </w:r>
      <w:r w:rsidR="00CE1F97">
        <w:rPr>
          <w:rFonts w:ascii="Times New Roman" w:hAnsi="Times New Roman" w:cs="Times New Roman"/>
          <w:sz w:val="24"/>
        </w:rPr>
        <w:t xml:space="preserve">than previously documented. </w:t>
      </w:r>
      <w:r w:rsidR="00D71DB1">
        <w:rPr>
          <w:rFonts w:ascii="Times New Roman" w:hAnsi="Times New Roman" w:cs="Times New Roman"/>
          <w:sz w:val="24"/>
        </w:rPr>
        <w:t xml:space="preserve">Because financial statement </w:t>
      </w:r>
      <w:r w:rsidR="00957780">
        <w:rPr>
          <w:rFonts w:ascii="Times New Roman" w:hAnsi="Times New Roman" w:cs="Times New Roman"/>
          <w:sz w:val="24"/>
        </w:rPr>
        <w:t xml:space="preserve">problems are </w:t>
      </w:r>
      <w:r w:rsidR="00D71DB1">
        <w:rPr>
          <w:rFonts w:ascii="Times New Roman" w:hAnsi="Times New Roman" w:cs="Times New Roman"/>
          <w:sz w:val="24"/>
        </w:rPr>
        <w:t xml:space="preserve">a key determinant of information risk, our results suggest that the information risk </w:t>
      </w:r>
      <w:r w:rsidR="00957780">
        <w:rPr>
          <w:rFonts w:ascii="Times New Roman" w:hAnsi="Times New Roman" w:cs="Times New Roman"/>
          <w:sz w:val="24"/>
        </w:rPr>
        <w:t xml:space="preserve">is much </w:t>
      </w:r>
      <w:r w:rsidR="00D71DB1">
        <w:rPr>
          <w:rFonts w:ascii="Times New Roman" w:hAnsi="Times New Roman" w:cs="Times New Roman"/>
          <w:sz w:val="24"/>
        </w:rPr>
        <w:t xml:space="preserve">higher for a SPAC-IPO than </w:t>
      </w:r>
      <w:r w:rsidR="00957780">
        <w:rPr>
          <w:rFonts w:ascii="Times New Roman" w:hAnsi="Times New Roman" w:cs="Times New Roman"/>
          <w:sz w:val="24"/>
        </w:rPr>
        <w:t xml:space="preserve">for </w:t>
      </w:r>
      <w:r w:rsidR="00D71DB1">
        <w:rPr>
          <w:rFonts w:ascii="Times New Roman" w:hAnsi="Times New Roman" w:cs="Times New Roman"/>
          <w:sz w:val="24"/>
        </w:rPr>
        <w:t xml:space="preserve">a non-SPAC-IPO.      </w:t>
      </w:r>
    </w:p>
    <w:p w14:paraId="3DA22C52" w14:textId="59A1A137" w:rsidR="00B97BAD" w:rsidRDefault="00CE1F97" w:rsidP="00B97B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In </w:t>
      </w:r>
      <w:r w:rsidR="00B97BAD">
        <w:rPr>
          <w:rFonts w:ascii="Times New Roman" w:hAnsi="Times New Roman" w:cs="Times New Roman"/>
          <w:sz w:val="24"/>
        </w:rPr>
        <w:t>Table 4</w:t>
      </w:r>
      <w:r>
        <w:rPr>
          <w:rFonts w:ascii="Times New Roman" w:hAnsi="Times New Roman" w:cs="Times New Roman"/>
          <w:sz w:val="24"/>
        </w:rPr>
        <w:t>, we tabulate t</w:t>
      </w:r>
      <w:r w:rsidR="00B97BAD">
        <w:rPr>
          <w:rFonts w:ascii="Times New Roman" w:hAnsi="Times New Roman" w:cs="Times New Roman"/>
          <w:sz w:val="24"/>
        </w:rPr>
        <w:t xml:space="preserve">he </w:t>
      </w:r>
      <w:r>
        <w:rPr>
          <w:rFonts w:ascii="Times New Roman" w:hAnsi="Times New Roman" w:cs="Times New Roman"/>
          <w:sz w:val="24"/>
        </w:rPr>
        <w:t xml:space="preserve">various </w:t>
      </w:r>
      <w:r w:rsidR="00B97BAD">
        <w:rPr>
          <w:rFonts w:ascii="Times New Roman" w:hAnsi="Times New Roman" w:cs="Times New Roman"/>
          <w:sz w:val="24"/>
        </w:rPr>
        <w:t xml:space="preserve">issues related to material weaknesses, restatements, and non-timely filings. Panel A </w:t>
      </w:r>
      <w:r w:rsidR="00B97BAD">
        <w:rPr>
          <w:rFonts w:ascii="Times New Roman" w:hAnsi="Times New Roman" w:cs="Times New Roman"/>
          <w:sz w:val="24"/>
          <w:szCs w:val="24"/>
        </w:rPr>
        <w:t xml:space="preserve">presents </w:t>
      </w:r>
      <w:r w:rsidR="00B97BAD" w:rsidRPr="00AB440B">
        <w:rPr>
          <w:rFonts w:ascii="Times New Roman" w:hAnsi="Times New Roman" w:cs="Times New Roman"/>
          <w:sz w:val="24"/>
          <w:szCs w:val="24"/>
        </w:rPr>
        <w:t>the causes of material weaknesses by the type of internal control issues and by the type of accounting policy issues, as disclosed under Section 302</w:t>
      </w:r>
      <w:r w:rsidR="00B16089">
        <w:rPr>
          <w:rFonts w:ascii="Times New Roman" w:hAnsi="Times New Roman" w:cs="Times New Roman"/>
          <w:sz w:val="24"/>
          <w:szCs w:val="24"/>
        </w:rPr>
        <w:t xml:space="preserve"> of SOX (2002)</w:t>
      </w:r>
      <w:r w:rsidR="00B97BAD" w:rsidRPr="00AB440B">
        <w:rPr>
          <w:rFonts w:ascii="Times New Roman" w:hAnsi="Times New Roman" w:cs="Times New Roman"/>
          <w:sz w:val="24"/>
          <w:szCs w:val="24"/>
        </w:rPr>
        <w:t xml:space="preserve">. </w:t>
      </w:r>
      <w:r>
        <w:rPr>
          <w:rFonts w:ascii="Times New Roman" w:hAnsi="Times New Roman" w:cs="Times New Roman"/>
          <w:sz w:val="24"/>
          <w:szCs w:val="24"/>
        </w:rPr>
        <w:t>W</w:t>
      </w:r>
      <w:r w:rsidR="00B97BAD" w:rsidRPr="00AB440B">
        <w:rPr>
          <w:rFonts w:ascii="Times New Roman" w:hAnsi="Times New Roman" w:cs="Times New Roman"/>
          <w:sz w:val="24"/>
          <w:szCs w:val="24"/>
        </w:rPr>
        <w:t>e find that issues related to acquisition integration and management reviews are more common in SPAC-IPOs (43% and 34%, respectively) than in non-SPAC-IPOs (0% and 1</w:t>
      </w:r>
      <w:r w:rsidR="00B97BAD">
        <w:rPr>
          <w:rFonts w:ascii="Times New Roman" w:hAnsi="Times New Roman" w:cs="Times New Roman"/>
          <w:sz w:val="24"/>
          <w:szCs w:val="24"/>
        </w:rPr>
        <w:t>5</w:t>
      </w:r>
      <w:r w:rsidR="00B97BAD" w:rsidRPr="00AB440B">
        <w:rPr>
          <w:rFonts w:ascii="Times New Roman" w:hAnsi="Times New Roman" w:cs="Times New Roman"/>
          <w:sz w:val="24"/>
          <w:szCs w:val="24"/>
        </w:rPr>
        <w:t xml:space="preserve">%, respectively). The frequency of the other types of internal control issues (e.g., segregation of duties, financial closing processes, information technology access, and security) are similar across the two groups. When we analyze the types of accounting policy issues, we find that accounting issues related to warrants, revenues, liabilities and accrued expenses, and complex accounting issues (e.g., related party transactions, affiliated subsidiaries, and acquisitions) are more common in SPAC-IPOs than in non-SPAC-IPOs. </w:t>
      </w:r>
    </w:p>
    <w:p w14:paraId="1E8614FA" w14:textId="5847FFA5" w:rsidR="00B97BAD" w:rsidRPr="00625EAF"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szCs w:val="20"/>
        </w:rPr>
        <w:t>In Panel B</w:t>
      </w:r>
      <w:r w:rsidR="008A3019">
        <w:rPr>
          <w:rFonts w:ascii="Times New Roman" w:hAnsi="Times New Roman" w:cs="Times New Roman"/>
          <w:sz w:val="24"/>
          <w:szCs w:val="20"/>
        </w:rPr>
        <w:t>,</w:t>
      </w:r>
      <w:r>
        <w:rPr>
          <w:rFonts w:ascii="Times New Roman" w:hAnsi="Times New Roman" w:cs="Times New Roman"/>
          <w:sz w:val="24"/>
          <w:szCs w:val="20"/>
        </w:rPr>
        <w:t xml:space="preserve"> </w:t>
      </w:r>
      <w:r w:rsidRPr="003E6CB3">
        <w:rPr>
          <w:rFonts w:ascii="Times New Roman" w:hAnsi="Times New Roman" w:cs="Times New Roman"/>
          <w:sz w:val="24"/>
          <w:szCs w:val="20"/>
        </w:rPr>
        <w:t xml:space="preserve">we find that, relative to non-SPAC-IPOs, SPAC-IPO restatements lead in the following accounting </w:t>
      </w:r>
      <w:r>
        <w:rPr>
          <w:rFonts w:ascii="Times New Roman" w:hAnsi="Times New Roman" w:cs="Times New Roman"/>
          <w:sz w:val="24"/>
          <w:szCs w:val="20"/>
        </w:rPr>
        <w:t>areas</w:t>
      </w:r>
      <w:r w:rsidRPr="003E6CB3">
        <w:rPr>
          <w:rFonts w:ascii="Times New Roman" w:hAnsi="Times New Roman" w:cs="Times New Roman"/>
          <w:sz w:val="24"/>
          <w:szCs w:val="20"/>
        </w:rPr>
        <w:t xml:space="preserve">: (1) warrants, </w:t>
      </w:r>
      <w:r>
        <w:rPr>
          <w:rFonts w:ascii="Times New Roman" w:hAnsi="Times New Roman" w:cs="Times New Roman"/>
          <w:sz w:val="24"/>
          <w:szCs w:val="20"/>
        </w:rPr>
        <w:t xml:space="preserve">(2) liabilities and accrued expenses, </w:t>
      </w:r>
      <w:r w:rsidRPr="003E6CB3">
        <w:rPr>
          <w:rFonts w:ascii="Times New Roman" w:hAnsi="Times New Roman" w:cs="Times New Roman"/>
          <w:sz w:val="24"/>
          <w:szCs w:val="20"/>
        </w:rPr>
        <w:t>(</w:t>
      </w:r>
      <w:r>
        <w:rPr>
          <w:rFonts w:ascii="Times New Roman" w:hAnsi="Times New Roman" w:cs="Times New Roman"/>
          <w:sz w:val="24"/>
          <w:szCs w:val="20"/>
        </w:rPr>
        <w:t>3</w:t>
      </w:r>
      <w:r w:rsidRPr="003E6CB3">
        <w:rPr>
          <w:rFonts w:ascii="Times New Roman" w:hAnsi="Times New Roman" w:cs="Times New Roman"/>
          <w:sz w:val="24"/>
          <w:szCs w:val="20"/>
        </w:rPr>
        <w:t>) complex accounting issues including foreign currency operations, related party transactions, leases, and EPS, (</w:t>
      </w:r>
      <w:r>
        <w:rPr>
          <w:rFonts w:ascii="Times New Roman" w:hAnsi="Times New Roman" w:cs="Times New Roman"/>
          <w:sz w:val="24"/>
          <w:szCs w:val="20"/>
        </w:rPr>
        <w:t>4</w:t>
      </w:r>
      <w:r w:rsidRPr="003E6CB3">
        <w:rPr>
          <w:rFonts w:ascii="Times New Roman" w:hAnsi="Times New Roman" w:cs="Times New Roman"/>
          <w:sz w:val="24"/>
          <w:szCs w:val="20"/>
        </w:rPr>
        <w:t xml:space="preserve">) core expenses, </w:t>
      </w:r>
      <w:r>
        <w:rPr>
          <w:rFonts w:ascii="Times New Roman" w:hAnsi="Times New Roman" w:cs="Times New Roman"/>
          <w:sz w:val="24"/>
          <w:szCs w:val="20"/>
        </w:rPr>
        <w:t xml:space="preserve">and </w:t>
      </w:r>
      <w:r w:rsidRPr="003E6CB3">
        <w:rPr>
          <w:rFonts w:ascii="Times New Roman" w:hAnsi="Times New Roman" w:cs="Times New Roman"/>
          <w:sz w:val="24"/>
          <w:szCs w:val="20"/>
        </w:rPr>
        <w:t>(</w:t>
      </w:r>
      <w:r>
        <w:rPr>
          <w:rFonts w:ascii="Times New Roman" w:hAnsi="Times New Roman" w:cs="Times New Roman"/>
          <w:sz w:val="24"/>
          <w:szCs w:val="20"/>
        </w:rPr>
        <w:t>5</w:t>
      </w:r>
      <w:r w:rsidRPr="003E6CB3">
        <w:rPr>
          <w:rFonts w:ascii="Times New Roman" w:hAnsi="Times New Roman" w:cs="Times New Roman"/>
          <w:sz w:val="24"/>
          <w:szCs w:val="20"/>
        </w:rPr>
        <w:t>) current assets</w:t>
      </w:r>
      <w:r>
        <w:rPr>
          <w:rFonts w:ascii="Times New Roman" w:hAnsi="Times New Roman" w:cs="Times New Roman"/>
          <w:sz w:val="24"/>
          <w:szCs w:val="20"/>
        </w:rPr>
        <w:t>. Relative to SPAC-IPOs</w:t>
      </w:r>
      <w:r w:rsidRPr="003E6CB3">
        <w:rPr>
          <w:rFonts w:ascii="Times New Roman" w:hAnsi="Times New Roman" w:cs="Times New Roman"/>
          <w:sz w:val="24"/>
          <w:szCs w:val="20"/>
        </w:rPr>
        <w:t>, non-SPAC-IPO restatements are more frequent</w:t>
      </w:r>
      <w:r>
        <w:rPr>
          <w:rFonts w:ascii="Times New Roman" w:hAnsi="Times New Roman" w:cs="Times New Roman"/>
          <w:sz w:val="24"/>
          <w:szCs w:val="20"/>
        </w:rPr>
        <w:t>ly</w:t>
      </w:r>
      <w:r w:rsidRPr="003E6CB3">
        <w:rPr>
          <w:rFonts w:ascii="Times New Roman" w:hAnsi="Times New Roman" w:cs="Times New Roman"/>
          <w:sz w:val="24"/>
          <w:szCs w:val="20"/>
        </w:rPr>
        <w:t xml:space="preserve"> </w:t>
      </w:r>
      <w:r>
        <w:rPr>
          <w:rFonts w:ascii="Times New Roman" w:hAnsi="Times New Roman" w:cs="Times New Roman"/>
          <w:sz w:val="24"/>
          <w:szCs w:val="20"/>
        </w:rPr>
        <w:t xml:space="preserve">associated with other issues including the </w:t>
      </w:r>
      <w:r w:rsidRPr="003E6CB3">
        <w:rPr>
          <w:rFonts w:ascii="Times New Roman" w:hAnsi="Times New Roman" w:cs="Times New Roman"/>
          <w:sz w:val="24"/>
          <w:szCs w:val="20"/>
        </w:rPr>
        <w:t>cash flow statement, income tax</w:t>
      </w:r>
      <w:r>
        <w:rPr>
          <w:rFonts w:ascii="Times New Roman" w:hAnsi="Times New Roman" w:cs="Times New Roman"/>
          <w:sz w:val="24"/>
          <w:szCs w:val="20"/>
        </w:rPr>
        <w:t xml:space="preserve"> accounts</w:t>
      </w:r>
      <w:r w:rsidRPr="003E6CB3">
        <w:rPr>
          <w:rFonts w:ascii="Times New Roman" w:hAnsi="Times New Roman" w:cs="Times New Roman"/>
          <w:sz w:val="24"/>
          <w:szCs w:val="20"/>
        </w:rPr>
        <w:t>, stock compensation, fixed asset</w:t>
      </w:r>
      <w:r>
        <w:rPr>
          <w:rFonts w:ascii="Times New Roman" w:hAnsi="Times New Roman" w:cs="Times New Roman"/>
          <w:sz w:val="24"/>
          <w:szCs w:val="20"/>
        </w:rPr>
        <w:t xml:space="preserve"> account</w:t>
      </w:r>
      <w:r w:rsidRPr="003E6CB3">
        <w:rPr>
          <w:rFonts w:ascii="Times New Roman" w:hAnsi="Times New Roman" w:cs="Times New Roman"/>
          <w:sz w:val="24"/>
          <w:szCs w:val="20"/>
        </w:rPr>
        <w:t xml:space="preserve">s, and consolidations.  </w:t>
      </w:r>
      <w:r w:rsidR="008A3019">
        <w:rPr>
          <w:rFonts w:ascii="Times New Roman" w:hAnsi="Times New Roman" w:cs="Times New Roman"/>
          <w:sz w:val="24"/>
          <w:szCs w:val="20"/>
        </w:rPr>
        <w:t>I</w:t>
      </w:r>
      <w:r>
        <w:rPr>
          <w:rFonts w:ascii="Times New Roman" w:hAnsi="Times New Roman" w:cs="Times New Roman"/>
          <w:sz w:val="24"/>
          <w:szCs w:val="20"/>
        </w:rPr>
        <w:t xml:space="preserve">n Panel C, </w:t>
      </w:r>
      <w:r>
        <w:rPr>
          <w:rFonts w:ascii="Times New Roman" w:hAnsi="Times New Roman" w:cs="Times New Roman"/>
          <w:sz w:val="24"/>
        </w:rPr>
        <w:t xml:space="preserve">we find that Restatements (39%), Control Issues (7%), </w:t>
      </w:r>
      <w:r w:rsidR="00EC5AF3">
        <w:rPr>
          <w:rFonts w:ascii="Times New Roman" w:hAnsi="Times New Roman" w:cs="Times New Roman"/>
          <w:sz w:val="24"/>
        </w:rPr>
        <w:t xml:space="preserve">Audit </w:t>
      </w:r>
      <w:r>
        <w:rPr>
          <w:rFonts w:ascii="Times New Roman" w:hAnsi="Times New Roman" w:cs="Times New Roman"/>
          <w:sz w:val="24"/>
        </w:rPr>
        <w:t xml:space="preserve">Incomplete (29%), Investing and </w:t>
      </w:r>
      <w:r>
        <w:rPr>
          <w:rFonts w:ascii="Times New Roman" w:hAnsi="Times New Roman" w:cs="Times New Roman"/>
          <w:sz w:val="24"/>
        </w:rPr>
        <w:lastRenderedPageBreak/>
        <w:t xml:space="preserve">Financing (43%), Distress and Restructuring (7%), and Act of God (7%) are </w:t>
      </w:r>
      <w:r w:rsidR="008A3019">
        <w:rPr>
          <w:rFonts w:ascii="Times New Roman" w:hAnsi="Times New Roman" w:cs="Times New Roman"/>
          <w:sz w:val="24"/>
        </w:rPr>
        <w:t xml:space="preserve">some of the major </w:t>
      </w:r>
      <w:r>
        <w:rPr>
          <w:rFonts w:ascii="Times New Roman" w:hAnsi="Times New Roman" w:cs="Times New Roman"/>
          <w:sz w:val="24"/>
        </w:rPr>
        <w:t xml:space="preserve">reasons for </w:t>
      </w:r>
      <w:r w:rsidR="008A3019">
        <w:rPr>
          <w:rFonts w:ascii="Times New Roman" w:hAnsi="Times New Roman" w:cs="Times New Roman"/>
          <w:sz w:val="24"/>
        </w:rPr>
        <w:t>the delays in annual filings</w:t>
      </w:r>
      <w:r w:rsidR="006B783F">
        <w:rPr>
          <w:rFonts w:ascii="Times New Roman" w:hAnsi="Times New Roman" w:cs="Times New Roman"/>
          <w:sz w:val="24"/>
        </w:rPr>
        <w:t xml:space="preserve"> in SPAC-IPOs</w:t>
      </w:r>
      <w:r w:rsidR="00E530D7">
        <w:rPr>
          <w:rFonts w:ascii="Times New Roman" w:hAnsi="Times New Roman" w:cs="Times New Roman"/>
          <w:sz w:val="24"/>
        </w:rPr>
        <w:t xml:space="preserve"> </w:t>
      </w:r>
      <w:r>
        <w:rPr>
          <w:rFonts w:ascii="Times New Roman" w:hAnsi="Times New Roman" w:cs="Times New Roman"/>
          <w:sz w:val="24"/>
        </w:rPr>
        <w:t>.</w:t>
      </w:r>
      <w:r w:rsidR="008A3019">
        <w:rPr>
          <w:rStyle w:val="FootnoteReference"/>
          <w:rFonts w:ascii="Times New Roman" w:hAnsi="Times New Roman" w:cs="Times New Roman"/>
          <w:sz w:val="24"/>
        </w:rPr>
        <w:footnoteReference w:id="19"/>
      </w:r>
      <w:r>
        <w:rPr>
          <w:rFonts w:ascii="Times New Roman" w:hAnsi="Times New Roman" w:cs="Times New Roman"/>
          <w:sz w:val="24"/>
        </w:rPr>
        <w:t xml:space="preserve"> </w:t>
      </w:r>
    </w:p>
    <w:p w14:paraId="18DF7E2F" w14:textId="6E7EBE78" w:rsidR="00B97BAD" w:rsidRPr="001E1EE1" w:rsidRDefault="00B97BAD" w:rsidP="00B97BAD">
      <w:pPr>
        <w:spacing w:after="0" w:line="480" w:lineRule="auto"/>
        <w:jc w:val="both"/>
        <w:rPr>
          <w:rFonts w:ascii="Times New Roman" w:hAnsi="Times New Roman" w:cs="Times New Roman"/>
          <w:b/>
          <w:sz w:val="24"/>
        </w:rPr>
      </w:pPr>
      <w:r w:rsidRPr="0059250F">
        <w:rPr>
          <w:rFonts w:ascii="Times New Roman" w:hAnsi="Times New Roman" w:cs="Times New Roman"/>
          <w:i/>
          <w:sz w:val="24"/>
        </w:rPr>
        <w:t>6.</w:t>
      </w:r>
      <w:r w:rsidR="00BD7985">
        <w:rPr>
          <w:rFonts w:ascii="Times New Roman" w:hAnsi="Times New Roman" w:cs="Times New Roman"/>
          <w:i/>
          <w:sz w:val="24"/>
        </w:rPr>
        <w:t>1</w:t>
      </w:r>
      <w:r w:rsidRPr="0059250F">
        <w:rPr>
          <w:rFonts w:ascii="Times New Roman" w:hAnsi="Times New Roman" w:cs="Times New Roman"/>
          <w:i/>
          <w:sz w:val="24"/>
        </w:rPr>
        <w:t>.</w:t>
      </w:r>
      <w:r w:rsidR="00BD7985">
        <w:rPr>
          <w:rFonts w:ascii="Times New Roman" w:hAnsi="Times New Roman" w:cs="Times New Roman"/>
          <w:i/>
          <w:sz w:val="24"/>
        </w:rPr>
        <w:t>2.</w:t>
      </w:r>
      <w:r w:rsidRPr="0059250F">
        <w:rPr>
          <w:rFonts w:ascii="Times New Roman" w:hAnsi="Times New Roman" w:cs="Times New Roman"/>
          <w:i/>
          <w:sz w:val="24"/>
        </w:rPr>
        <w:tab/>
      </w:r>
      <w:r w:rsidRPr="004207D2">
        <w:rPr>
          <w:rFonts w:ascii="Times New Roman" w:hAnsi="Times New Roman" w:cs="Times New Roman"/>
          <w:i/>
          <w:sz w:val="24"/>
        </w:rPr>
        <w:t>Economic Demand for Auditing Services</w:t>
      </w:r>
    </w:p>
    <w:p w14:paraId="50F88FDD" w14:textId="5C08F186" w:rsidR="00B97BAD" w:rsidRDefault="00B97BAD" w:rsidP="00B97BAD">
      <w:pPr>
        <w:spacing w:after="0" w:line="480" w:lineRule="auto"/>
        <w:jc w:val="both"/>
        <w:rPr>
          <w:rFonts w:ascii="Times New Roman" w:hAnsi="Times New Roman" w:cs="Times New Roman"/>
          <w:sz w:val="24"/>
        </w:rPr>
      </w:pPr>
      <w:r>
        <w:rPr>
          <w:rFonts w:ascii="Times New Roman" w:hAnsi="Times New Roman" w:cs="Times New Roman"/>
          <w:b/>
          <w:sz w:val="24"/>
        </w:rPr>
        <w:tab/>
      </w:r>
      <w:r w:rsidRPr="00D37829">
        <w:rPr>
          <w:rFonts w:ascii="Times New Roman" w:hAnsi="Times New Roman" w:cs="Times New Roman"/>
          <w:sz w:val="24"/>
        </w:rPr>
        <w:t>T</w:t>
      </w:r>
      <w:r w:rsidRPr="00C800D8">
        <w:rPr>
          <w:rFonts w:ascii="Times New Roman" w:hAnsi="Times New Roman" w:cs="Times New Roman"/>
          <w:sz w:val="24"/>
        </w:rPr>
        <w:t xml:space="preserve">he univariate results </w:t>
      </w:r>
      <w:r>
        <w:rPr>
          <w:rFonts w:ascii="Times New Roman" w:hAnsi="Times New Roman" w:cs="Times New Roman"/>
          <w:sz w:val="24"/>
        </w:rPr>
        <w:t xml:space="preserve">from Panel A of Table 5 </w:t>
      </w:r>
      <w:r w:rsidRPr="00C800D8">
        <w:rPr>
          <w:rFonts w:ascii="Times New Roman" w:hAnsi="Times New Roman" w:cs="Times New Roman"/>
          <w:sz w:val="24"/>
        </w:rPr>
        <w:t xml:space="preserve">indicate that SPAC-IPOs </w:t>
      </w:r>
      <w:r w:rsidR="00826C10">
        <w:rPr>
          <w:rFonts w:ascii="Times New Roman" w:hAnsi="Times New Roman" w:cs="Times New Roman"/>
          <w:sz w:val="24"/>
        </w:rPr>
        <w:t xml:space="preserve">are </w:t>
      </w:r>
      <w:r w:rsidR="00DE6FE8">
        <w:rPr>
          <w:rFonts w:ascii="Times New Roman" w:hAnsi="Times New Roman" w:cs="Times New Roman"/>
          <w:sz w:val="24"/>
        </w:rPr>
        <w:t xml:space="preserve">more </w:t>
      </w:r>
      <w:r w:rsidRPr="00C800D8">
        <w:rPr>
          <w:rFonts w:ascii="Times New Roman" w:hAnsi="Times New Roman" w:cs="Times New Roman"/>
          <w:sz w:val="24"/>
        </w:rPr>
        <w:t xml:space="preserve">likely to retain a </w:t>
      </w:r>
      <w:r w:rsidR="00DE6FE8">
        <w:rPr>
          <w:rFonts w:ascii="Times New Roman" w:hAnsi="Times New Roman" w:cs="Times New Roman"/>
          <w:sz w:val="24"/>
        </w:rPr>
        <w:t>non-</w:t>
      </w:r>
      <w:r w:rsidRPr="00C800D8">
        <w:rPr>
          <w:rFonts w:ascii="Times New Roman" w:hAnsi="Times New Roman" w:cs="Times New Roman"/>
          <w:sz w:val="24"/>
        </w:rPr>
        <w:t xml:space="preserve">Big 4 auditor than </w:t>
      </w:r>
      <w:r>
        <w:rPr>
          <w:rFonts w:ascii="Times New Roman" w:hAnsi="Times New Roman" w:cs="Times New Roman"/>
          <w:sz w:val="24"/>
        </w:rPr>
        <w:t>non-SPAC-</w:t>
      </w:r>
      <w:r w:rsidRPr="00C800D8">
        <w:rPr>
          <w:rFonts w:ascii="Times New Roman" w:hAnsi="Times New Roman" w:cs="Times New Roman"/>
          <w:sz w:val="24"/>
        </w:rPr>
        <w:t xml:space="preserve">IPOs. The percentage of </w:t>
      </w:r>
      <w:r w:rsidR="00DE6FE8">
        <w:rPr>
          <w:rFonts w:ascii="Times New Roman" w:hAnsi="Times New Roman" w:cs="Times New Roman"/>
          <w:sz w:val="24"/>
        </w:rPr>
        <w:t>non-</w:t>
      </w:r>
      <w:r w:rsidRPr="00C800D8">
        <w:rPr>
          <w:rFonts w:ascii="Times New Roman" w:hAnsi="Times New Roman" w:cs="Times New Roman"/>
          <w:sz w:val="24"/>
        </w:rPr>
        <w:t xml:space="preserve">Big 4 </w:t>
      </w:r>
      <w:r w:rsidR="00DE6FE8">
        <w:rPr>
          <w:rFonts w:ascii="Times New Roman" w:hAnsi="Times New Roman" w:cs="Times New Roman"/>
          <w:sz w:val="24"/>
        </w:rPr>
        <w:t xml:space="preserve">auditors </w:t>
      </w:r>
      <w:r w:rsidRPr="00C800D8">
        <w:rPr>
          <w:rFonts w:ascii="Times New Roman" w:hAnsi="Times New Roman" w:cs="Times New Roman"/>
          <w:sz w:val="24"/>
        </w:rPr>
        <w:t xml:space="preserve">in the </w:t>
      </w:r>
      <w:r>
        <w:rPr>
          <w:rFonts w:ascii="Times New Roman" w:hAnsi="Times New Roman" w:cs="Times New Roman"/>
          <w:sz w:val="24"/>
        </w:rPr>
        <w:t>non-SPAC-</w:t>
      </w:r>
      <w:r w:rsidRPr="00C800D8">
        <w:rPr>
          <w:rFonts w:ascii="Times New Roman" w:hAnsi="Times New Roman" w:cs="Times New Roman"/>
          <w:sz w:val="24"/>
        </w:rPr>
        <w:t xml:space="preserve">IPO sample is </w:t>
      </w:r>
      <w:r w:rsidR="00DE6FE8">
        <w:rPr>
          <w:rFonts w:ascii="Times New Roman" w:hAnsi="Times New Roman" w:cs="Times New Roman"/>
          <w:sz w:val="24"/>
        </w:rPr>
        <w:t>52</w:t>
      </w:r>
      <w:r w:rsidRPr="00C800D8">
        <w:rPr>
          <w:rFonts w:ascii="Times New Roman" w:hAnsi="Times New Roman" w:cs="Times New Roman"/>
          <w:sz w:val="24"/>
        </w:rPr>
        <w:t xml:space="preserve">% while that in </w:t>
      </w:r>
      <w:r>
        <w:rPr>
          <w:rFonts w:ascii="Times New Roman" w:hAnsi="Times New Roman" w:cs="Times New Roman"/>
          <w:sz w:val="24"/>
        </w:rPr>
        <w:t xml:space="preserve">the </w:t>
      </w:r>
      <w:r w:rsidRPr="00C800D8">
        <w:rPr>
          <w:rFonts w:ascii="Times New Roman" w:hAnsi="Times New Roman" w:cs="Times New Roman"/>
          <w:sz w:val="24"/>
        </w:rPr>
        <w:t>SPAC-IPO</w:t>
      </w:r>
      <w:r>
        <w:rPr>
          <w:rFonts w:ascii="Times New Roman" w:hAnsi="Times New Roman" w:cs="Times New Roman"/>
          <w:sz w:val="24"/>
        </w:rPr>
        <w:t xml:space="preserve"> sample </w:t>
      </w:r>
      <w:r w:rsidRPr="00C800D8">
        <w:rPr>
          <w:rFonts w:ascii="Times New Roman" w:hAnsi="Times New Roman" w:cs="Times New Roman"/>
          <w:sz w:val="24"/>
        </w:rPr>
        <w:t xml:space="preserve">is only </w:t>
      </w:r>
      <w:r w:rsidR="00DE6FE8">
        <w:rPr>
          <w:rFonts w:ascii="Times New Roman" w:hAnsi="Times New Roman" w:cs="Times New Roman"/>
          <w:sz w:val="24"/>
        </w:rPr>
        <w:t>1</w:t>
      </w:r>
      <w:r w:rsidRPr="00C800D8">
        <w:rPr>
          <w:rFonts w:ascii="Times New Roman" w:hAnsi="Times New Roman" w:cs="Times New Roman"/>
          <w:sz w:val="24"/>
        </w:rPr>
        <w:t xml:space="preserve">4%. Therefore, </w:t>
      </w:r>
      <w:r>
        <w:rPr>
          <w:rFonts w:ascii="Times New Roman" w:hAnsi="Times New Roman" w:cs="Times New Roman"/>
          <w:sz w:val="24"/>
        </w:rPr>
        <w:t>non-SPAC-</w:t>
      </w:r>
      <w:r w:rsidRPr="00C800D8">
        <w:rPr>
          <w:rFonts w:ascii="Times New Roman" w:hAnsi="Times New Roman" w:cs="Times New Roman"/>
          <w:sz w:val="24"/>
        </w:rPr>
        <w:t xml:space="preserve">IPOs are almost </w:t>
      </w:r>
      <w:r w:rsidR="00DE6FE8">
        <w:rPr>
          <w:rFonts w:ascii="Times New Roman" w:hAnsi="Times New Roman" w:cs="Times New Roman"/>
          <w:sz w:val="24"/>
        </w:rPr>
        <w:t xml:space="preserve">four times </w:t>
      </w:r>
      <w:r w:rsidRPr="00C800D8">
        <w:rPr>
          <w:rFonts w:ascii="Times New Roman" w:hAnsi="Times New Roman" w:cs="Times New Roman"/>
          <w:sz w:val="24"/>
        </w:rPr>
        <w:t>as like</w:t>
      </w:r>
      <w:r w:rsidR="0068463A">
        <w:rPr>
          <w:rFonts w:ascii="Times New Roman" w:hAnsi="Times New Roman" w:cs="Times New Roman"/>
          <w:sz w:val="24"/>
        </w:rPr>
        <w:t>ly</w:t>
      </w:r>
      <w:r w:rsidRPr="00C800D8">
        <w:rPr>
          <w:rFonts w:ascii="Times New Roman" w:hAnsi="Times New Roman" w:cs="Times New Roman"/>
          <w:sz w:val="24"/>
        </w:rPr>
        <w:t xml:space="preserve"> to retain a Big 4 auditor </w:t>
      </w:r>
      <w:r>
        <w:rPr>
          <w:rFonts w:ascii="Times New Roman" w:hAnsi="Times New Roman" w:cs="Times New Roman"/>
          <w:sz w:val="24"/>
        </w:rPr>
        <w:t xml:space="preserve">as </w:t>
      </w:r>
      <w:r w:rsidRPr="00C800D8">
        <w:rPr>
          <w:rFonts w:ascii="Times New Roman" w:hAnsi="Times New Roman" w:cs="Times New Roman"/>
          <w:sz w:val="24"/>
        </w:rPr>
        <w:t>SPAC-IPO</w:t>
      </w:r>
      <w:r>
        <w:rPr>
          <w:rFonts w:ascii="Times New Roman" w:hAnsi="Times New Roman" w:cs="Times New Roman"/>
          <w:sz w:val="24"/>
        </w:rPr>
        <w:t>s</w:t>
      </w:r>
      <w:r w:rsidRPr="00C800D8">
        <w:rPr>
          <w:rFonts w:ascii="Times New Roman" w:hAnsi="Times New Roman" w:cs="Times New Roman"/>
          <w:sz w:val="24"/>
        </w:rPr>
        <w:t xml:space="preserve">.  </w:t>
      </w:r>
    </w:p>
    <w:p w14:paraId="6AB3F35D" w14:textId="76F861FB" w:rsidR="00B97BAD" w:rsidRDefault="00B97BAD" w:rsidP="00B97BAD">
      <w:pPr>
        <w:spacing w:after="0" w:line="480" w:lineRule="auto"/>
        <w:jc w:val="both"/>
        <w:rPr>
          <w:rFonts w:ascii="Times New Roman" w:hAnsi="Times New Roman" w:cs="Times New Roman"/>
          <w:sz w:val="24"/>
        </w:rPr>
      </w:pPr>
      <w:r>
        <w:rPr>
          <w:rFonts w:ascii="Times New Roman" w:hAnsi="Times New Roman" w:cs="Times New Roman"/>
          <w:sz w:val="24"/>
        </w:rPr>
        <w:tab/>
        <w:t>The results of the differences in the demand for audit services between SPAC-IPOs and non-SPAC-</w:t>
      </w:r>
      <w:r w:rsidRPr="00C800D8">
        <w:rPr>
          <w:rFonts w:ascii="Times New Roman" w:hAnsi="Times New Roman" w:cs="Times New Roman"/>
          <w:sz w:val="24"/>
        </w:rPr>
        <w:t>IPOs</w:t>
      </w:r>
      <w:r>
        <w:rPr>
          <w:rFonts w:ascii="Times New Roman" w:hAnsi="Times New Roman" w:cs="Times New Roman"/>
          <w:sz w:val="24"/>
        </w:rPr>
        <w:t xml:space="preserve"> after controlling for other firm specific factors are reported in Panel B. The coefficient on </w:t>
      </w:r>
      <w:r w:rsidRPr="006F14CB">
        <w:rPr>
          <w:rFonts w:ascii="Times New Roman" w:hAnsi="Times New Roman" w:cs="Times New Roman"/>
          <w:i/>
          <w:sz w:val="24"/>
        </w:rPr>
        <w:t xml:space="preserve">SPAC-IPO </w:t>
      </w:r>
      <w:r>
        <w:rPr>
          <w:rFonts w:ascii="Times New Roman" w:hAnsi="Times New Roman" w:cs="Times New Roman"/>
          <w:sz w:val="24"/>
        </w:rPr>
        <w:t xml:space="preserve">is </w:t>
      </w:r>
      <w:r w:rsidR="00DE6FE8">
        <w:rPr>
          <w:rFonts w:ascii="Times New Roman" w:hAnsi="Times New Roman" w:cs="Times New Roman"/>
          <w:sz w:val="24"/>
        </w:rPr>
        <w:t>posi</w:t>
      </w:r>
      <w:r>
        <w:rPr>
          <w:rFonts w:ascii="Times New Roman" w:hAnsi="Times New Roman" w:cs="Times New Roman"/>
          <w:sz w:val="24"/>
        </w:rPr>
        <w:t>tive and statistically significant (</w:t>
      </w:r>
      <w:r w:rsidR="00DE6FE8">
        <w:rPr>
          <w:rFonts w:ascii="Times New Roman" w:hAnsi="Times New Roman" w:cs="Times New Roman"/>
          <w:sz w:val="24"/>
        </w:rPr>
        <w:t>2</w:t>
      </w:r>
      <w:r>
        <w:rPr>
          <w:rFonts w:ascii="Times New Roman" w:hAnsi="Times New Roman" w:cs="Times New Roman"/>
          <w:sz w:val="24"/>
        </w:rPr>
        <w:t>.39</w:t>
      </w:r>
      <w:r w:rsidR="00DE6FE8">
        <w:rPr>
          <w:rFonts w:ascii="Times New Roman" w:hAnsi="Times New Roman" w:cs="Times New Roman"/>
          <w:sz w:val="24"/>
        </w:rPr>
        <w:t>4</w:t>
      </w:r>
      <w:r>
        <w:rPr>
          <w:rFonts w:ascii="Times New Roman" w:hAnsi="Times New Roman" w:cs="Times New Roman"/>
          <w:sz w:val="24"/>
        </w:rPr>
        <w:t xml:space="preserve">; </w:t>
      </w:r>
      <w:r>
        <w:rPr>
          <w:rStyle w:val="mi"/>
          <w:rFonts w:ascii="MathJax_Math" w:hAnsi="MathJax_Math"/>
          <w:i/>
          <w:iCs/>
          <w:sz w:val="26"/>
          <w:szCs w:val="26"/>
        </w:rPr>
        <w:t>χ</w:t>
      </w:r>
      <w:r>
        <w:rPr>
          <w:rStyle w:val="mn"/>
          <w:rFonts w:ascii="MathJax_Main" w:hAnsi="MathJax_Main"/>
          <w:sz w:val="18"/>
          <w:szCs w:val="18"/>
        </w:rPr>
        <w:t>2</w:t>
      </w:r>
      <w:r>
        <w:rPr>
          <w:rFonts w:ascii="Times New Roman" w:hAnsi="Times New Roman" w:cs="Times New Roman"/>
          <w:sz w:val="24"/>
        </w:rPr>
        <w:t>=2</w:t>
      </w:r>
      <w:r w:rsidR="00DE6FE8">
        <w:rPr>
          <w:rFonts w:ascii="Times New Roman" w:hAnsi="Times New Roman" w:cs="Times New Roman"/>
          <w:sz w:val="24"/>
        </w:rPr>
        <w:t>4</w:t>
      </w:r>
      <w:r>
        <w:rPr>
          <w:rFonts w:ascii="Times New Roman" w:hAnsi="Times New Roman" w:cs="Times New Roman"/>
          <w:sz w:val="24"/>
        </w:rPr>
        <w:t>.</w:t>
      </w:r>
      <w:r w:rsidR="00DE6FE8">
        <w:rPr>
          <w:rFonts w:ascii="Times New Roman" w:hAnsi="Times New Roman" w:cs="Times New Roman"/>
          <w:sz w:val="24"/>
        </w:rPr>
        <w:t>12</w:t>
      </w:r>
      <w:r>
        <w:rPr>
          <w:rFonts w:ascii="Times New Roman" w:hAnsi="Times New Roman" w:cs="Times New Roman"/>
          <w:sz w:val="24"/>
        </w:rPr>
        <w:t xml:space="preserve">) in the first regression </w:t>
      </w:r>
      <w:r w:rsidR="00D70149">
        <w:rPr>
          <w:rFonts w:ascii="Times New Roman" w:hAnsi="Times New Roman" w:cs="Times New Roman"/>
          <w:sz w:val="24"/>
        </w:rPr>
        <w:t xml:space="preserve">(without </w:t>
      </w:r>
      <w:r>
        <w:rPr>
          <w:rFonts w:ascii="Times New Roman" w:hAnsi="Times New Roman" w:cs="Times New Roman"/>
          <w:sz w:val="24"/>
        </w:rPr>
        <w:t>entropy balanc</w:t>
      </w:r>
      <w:r w:rsidR="00D70149">
        <w:rPr>
          <w:rFonts w:ascii="Times New Roman" w:hAnsi="Times New Roman" w:cs="Times New Roman"/>
          <w:sz w:val="24"/>
        </w:rPr>
        <w:t>ing)</w:t>
      </w:r>
      <w:r>
        <w:rPr>
          <w:rFonts w:ascii="Times New Roman" w:hAnsi="Times New Roman" w:cs="Times New Roman"/>
          <w:sz w:val="24"/>
        </w:rPr>
        <w:t xml:space="preserve">. Holding other factors constant, our estimates suggest that a SPAC-IPO is </w:t>
      </w:r>
      <w:r w:rsidR="00DE6FE8">
        <w:rPr>
          <w:rFonts w:ascii="Times New Roman" w:hAnsi="Times New Roman" w:cs="Times New Roman"/>
          <w:sz w:val="24"/>
        </w:rPr>
        <w:t xml:space="preserve">eleven times </w:t>
      </w:r>
      <w:r>
        <w:rPr>
          <w:rFonts w:ascii="Times New Roman" w:hAnsi="Times New Roman" w:cs="Times New Roman"/>
          <w:sz w:val="24"/>
        </w:rPr>
        <w:t xml:space="preserve">as likely to retain a </w:t>
      </w:r>
      <w:r w:rsidR="00DE6FE8">
        <w:rPr>
          <w:rFonts w:ascii="Times New Roman" w:hAnsi="Times New Roman" w:cs="Times New Roman"/>
          <w:sz w:val="24"/>
        </w:rPr>
        <w:t>non-</w:t>
      </w:r>
      <w:r>
        <w:rPr>
          <w:rFonts w:ascii="Times New Roman" w:hAnsi="Times New Roman" w:cs="Times New Roman"/>
          <w:sz w:val="24"/>
        </w:rPr>
        <w:t>Big 4 auditor as a non-SPAC-IPO. When we perform entropy balancing</w:t>
      </w:r>
      <w:r w:rsidR="00D70149">
        <w:rPr>
          <w:rFonts w:ascii="Times New Roman" w:hAnsi="Times New Roman" w:cs="Times New Roman"/>
          <w:sz w:val="24"/>
        </w:rPr>
        <w:t>, we get similar results i</w:t>
      </w:r>
      <w:r>
        <w:rPr>
          <w:rFonts w:ascii="Times New Roman" w:hAnsi="Times New Roman" w:cs="Times New Roman"/>
          <w:sz w:val="24"/>
        </w:rPr>
        <w:t xml:space="preserve">n the second regression. </w:t>
      </w:r>
      <w:r w:rsidR="00D70149">
        <w:rPr>
          <w:rFonts w:ascii="Times New Roman" w:hAnsi="Times New Roman" w:cs="Times New Roman"/>
          <w:sz w:val="24"/>
        </w:rPr>
        <w:t>Thus, c</w:t>
      </w:r>
      <w:r w:rsidRPr="00C800D8">
        <w:rPr>
          <w:rFonts w:ascii="Times New Roman" w:hAnsi="Times New Roman" w:cs="Times New Roman"/>
          <w:sz w:val="24"/>
        </w:rPr>
        <w:t xml:space="preserve">onsistent with Hypothesis 1, </w:t>
      </w:r>
      <w:r w:rsidR="00D70149">
        <w:rPr>
          <w:rFonts w:ascii="Times New Roman" w:hAnsi="Times New Roman" w:cs="Times New Roman"/>
          <w:sz w:val="24"/>
        </w:rPr>
        <w:t xml:space="preserve">we find </w:t>
      </w:r>
      <w:r>
        <w:rPr>
          <w:rFonts w:ascii="Times New Roman" w:hAnsi="Times New Roman" w:cs="Times New Roman"/>
          <w:sz w:val="24"/>
        </w:rPr>
        <w:t xml:space="preserve">strong evidence </w:t>
      </w:r>
      <w:r w:rsidR="00D70149">
        <w:rPr>
          <w:rFonts w:ascii="Times New Roman" w:hAnsi="Times New Roman" w:cs="Times New Roman"/>
          <w:sz w:val="24"/>
        </w:rPr>
        <w:t xml:space="preserve">indicating </w:t>
      </w:r>
      <w:r>
        <w:rPr>
          <w:rFonts w:ascii="Times New Roman" w:hAnsi="Times New Roman" w:cs="Times New Roman"/>
          <w:sz w:val="24"/>
        </w:rPr>
        <w:t xml:space="preserve">that </w:t>
      </w:r>
      <w:r w:rsidR="00D70149">
        <w:rPr>
          <w:rFonts w:ascii="Times New Roman" w:hAnsi="Times New Roman" w:cs="Times New Roman"/>
          <w:sz w:val="24"/>
        </w:rPr>
        <w:t xml:space="preserve">SPAC-IPOs </w:t>
      </w:r>
      <w:r w:rsidR="00EE1909">
        <w:rPr>
          <w:rFonts w:ascii="Times New Roman" w:hAnsi="Times New Roman" w:cs="Times New Roman"/>
          <w:sz w:val="24"/>
        </w:rPr>
        <w:t xml:space="preserve">are more likely to retain non-Big 4 auditors </w:t>
      </w:r>
      <w:r w:rsidR="00D70149">
        <w:rPr>
          <w:rFonts w:ascii="Times New Roman" w:hAnsi="Times New Roman" w:cs="Times New Roman"/>
          <w:sz w:val="24"/>
        </w:rPr>
        <w:t xml:space="preserve">than non-SPAC-IPOs. Since </w:t>
      </w:r>
      <w:r w:rsidR="00E668E5">
        <w:rPr>
          <w:rFonts w:ascii="Times New Roman" w:hAnsi="Times New Roman" w:cs="Times New Roman"/>
          <w:sz w:val="24"/>
        </w:rPr>
        <w:t xml:space="preserve">information risk is higher for companies with </w:t>
      </w:r>
      <w:r w:rsidR="00D71DB1">
        <w:rPr>
          <w:rFonts w:ascii="Times New Roman" w:hAnsi="Times New Roman" w:cs="Times New Roman"/>
          <w:sz w:val="24"/>
        </w:rPr>
        <w:t xml:space="preserve">a </w:t>
      </w:r>
      <w:r w:rsidR="00E668E5">
        <w:rPr>
          <w:rFonts w:ascii="Times New Roman" w:hAnsi="Times New Roman" w:cs="Times New Roman"/>
          <w:sz w:val="24"/>
        </w:rPr>
        <w:t xml:space="preserve">non-Big 4 </w:t>
      </w:r>
      <w:r w:rsidR="00D70149">
        <w:rPr>
          <w:rFonts w:ascii="Times New Roman" w:hAnsi="Times New Roman" w:cs="Times New Roman"/>
          <w:sz w:val="24"/>
        </w:rPr>
        <w:t>auditor</w:t>
      </w:r>
      <w:r w:rsidR="00E668E5">
        <w:rPr>
          <w:rFonts w:ascii="Times New Roman" w:hAnsi="Times New Roman" w:cs="Times New Roman"/>
          <w:sz w:val="24"/>
        </w:rPr>
        <w:t xml:space="preserve">, </w:t>
      </w:r>
      <w:r w:rsidR="00D71DB1">
        <w:rPr>
          <w:rFonts w:ascii="Times New Roman" w:hAnsi="Times New Roman" w:cs="Times New Roman"/>
          <w:sz w:val="24"/>
        </w:rPr>
        <w:t xml:space="preserve">our results suggest that the information risk </w:t>
      </w:r>
      <w:r w:rsidR="00DB1F00">
        <w:rPr>
          <w:rFonts w:ascii="Times New Roman" w:hAnsi="Times New Roman" w:cs="Times New Roman"/>
          <w:sz w:val="24"/>
        </w:rPr>
        <w:t xml:space="preserve">is </w:t>
      </w:r>
      <w:r w:rsidR="00D71DB1">
        <w:rPr>
          <w:rFonts w:ascii="Times New Roman" w:hAnsi="Times New Roman" w:cs="Times New Roman"/>
          <w:sz w:val="24"/>
        </w:rPr>
        <w:t xml:space="preserve">higher </w:t>
      </w:r>
      <w:r w:rsidR="00DB1F00">
        <w:rPr>
          <w:rFonts w:ascii="Times New Roman" w:hAnsi="Times New Roman" w:cs="Times New Roman"/>
          <w:sz w:val="24"/>
        </w:rPr>
        <w:t xml:space="preserve">in </w:t>
      </w:r>
      <w:r w:rsidR="00D71DB1">
        <w:rPr>
          <w:rFonts w:ascii="Times New Roman" w:hAnsi="Times New Roman" w:cs="Times New Roman"/>
          <w:sz w:val="24"/>
        </w:rPr>
        <w:t>SPAC-IPO</w:t>
      </w:r>
      <w:r w:rsidR="00DB1F00">
        <w:rPr>
          <w:rFonts w:ascii="Times New Roman" w:hAnsi="Times New Roman" w:cs="Times New Roman"/>
          <w:sz w:val="24"/>
        </w:rPr>
        <w:t>s</w:t>
      </w:r>
      <w:r w:rsidR="00D71DB1">
        <w:rPr>
          <w:rFonts w:ascii="Times New Roman" w:hAnsi="Times New Roman" w:cs="Times New Roman"/>
          <w:sz w:val="24"/>
        </w:rPr>
        <w:t xml:space="preserve"> than </w:t>
      </w:r>
      <w:r w:rsidR="00DB1F00">
        <w:rPr>
          <w:rFonts w:ascii="Times New Roman" w:hAnsi="Times New Roman" w:cs="Times New Roman"/>
          <w:sz w:val="24"/>
        </w:rPr>
        <w:t xml:space="preserve">in </w:t>
      </w:r>
      <w:r w:rsidR="00D71DB1">
        <w:rPr>
          <w:rFonts w:ascii="Times New Roman" w:hAnsi="Times New Roman" w:cs="Times New Roman"/>
          <w:sz w:val="24"/>
        </w:rPr>
        <w:t>non-SPAC-IPO</w:t>
      </w:r>
      <w:r w:rsidR="00DB1F00">
        <w:rPr>
          <w:rFonts w:ascii="Times New Roman" w:hAnsi="Times New Roman" w:cs="Times New Roman"/>
          <w:sz w:val="24"/>
        </w:rPr>
        <w:t>s</w:t>
      </w:r>
      <w:r w:rsidR="00D71DB1">
        <w:rPr>
          <w:rFonts w:ascii="Times New Roman" w:hAnsi="Times New Roman" w:cs="Times New Roman"/>
          <w:sz w:val="24"/>
        </w:rPr>
        <w:t xml:space="preserve">.  </w:t>
      </w:r>
      <w:r>
        <w:rPr>
          <w:rFonts w:ascii="Times New Roman" w:hAnsi="Times New Roman" w:cs="Times New Roman"/>
          <w:sz w:val="24"/>
        </w:rPr>
        <w:t xml:space="preserve">    </w:t>
      </w:r>
    </w:p>
    <w:p w14:paraId="148C2E13" w14:textId="4783CF5D" w:rsidR="00B97BAD" w:rsidRDefault="00B97BAD" w:rsidP="00B97BAD">
      <w:pPr>
        <w:spacing w:after="0" w:line="480" w:lineRule="auto"/>
        <w:jc w:val="both"/>
        <w:rPr>
          <w:rFonts w:ascii="Times New Roman" w:hAnsi="Times New Roman" w:cs="Times New Roman"/>
          <w:i/>
          <w:sz w:val="24"/>
        </w:rPr>
      </w:pPr>
      <w:r w:rsidRPr="0059250F">
        <w:rPr>
          <w:rFonts w:ascii="Times New Roman" w:hAnsi="Times New Roman" w:cs="Times New Roman"/>
          <w:i/>
          <w:sz w:val="24"/>
        </w:rPr>
        <w:t>6.</w:t>
      </w:r>
      <w:r w:rsidR="00BD7985">
        <w:rPr>
          <w:rFonts w:ascii="Times New Roman" w:hAnsi="Times New Roman" w:cs="Times New Roman"/>
          <w:i/>
          <w:sz w:val="24"/>
        </w:rPr>
        <w:t>1</w:t>
      </w:r>
      <w:r w:rsidRPr="0059250F">
        <w:rPr>
          <w:rFonts w:ascii="Times New Roman" w:hAnsi="Times New Roman" w:cs="Times New Roman"/>
          <w:i/>
          <w:sz w:val="24"/>
        </w:rPr>
        <w:t>.</w:t>
      </w:r>
      <w:r w:rsidR="00BD7985">
        <w:rPr>
          <w:rFonts w:ascii="Times New Roman" w:hAnsi="Times New Roman" w:cs="Times New Roman"/>
          <w:i/>
          <w:sz w:val="24"/>
        </w:rPr>
        <w:t>3.</w:t>
      </w:r>
      <w:r w:rsidRPr="0059250F">
        <w:rPr>
          <w:rFonts w:ascii="Times New Roman" w:hAnsi="Times New Roman" w:cs="Times New Roman"/>
          <w:i/>
          <w:sz w:val="24"/>
        </w:rPr>
        <w:tab/>
      </w:r>
      <w:r w:rsidRPr="00350369">
        <w:rPr>
          <w:rFonts w:ascii="Times New Roman" w:hAnsi="Times New Roman" w:cs="Times New Roman"/>
          <w:i/>
          <w:sz w:val="24"/>
          <w:szCs w:val="24"/>
        </w:rPr>
        <w:t xml:space="preserve">Earnings </w:t>
      </w:r>
      <w:r>
        <w:rPr>
          <w:rFonts w:ascii="Times New Roman" w:hAnsi="Times New Roman" w:cs="Times New Roman"/>
          <w:i/>
          <w:sz w:val="24"/>
          <w:szCs w:val="24"/>
        </w:rPr>
        <w:t xml:space="preserve">and Accruals </w:t>
      </w:r>
      <w:r w:rsidRPr="00350369">
        <w:rPr>
          <w:rFonts w:ascii="Times New Roman" w:hAnsi="Times New Roman" w:cs="Times New Roman"/>
          <w:i/>
          <w:sz w:val="24"/>
          <w:szCs w:val="24"/>
        </w:rPr>
        <w:t>Persistence</w:t>
      </w:r>
      <w:r w:rsidDel="004C4F33">
        <w:rPr>
          <w:rFonts w:ascii="Times New Roman" w:hAnsi="Times New Roman" w:cs="Times New Roman"/>
          <w:i/>
          <w:sz w:val="24"/>
        </w:rPr>
        <w:t xml:space="preserve"> </w:t>
      </w:r>
    </w:p>
    <w:p w14:paraId="60D048F8" w14:textId="74D66AC3" w:rsidR="00B97BAD"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Because of the effect of influential observations for a small sample size, as in Sloan (1996), we rely on decile rank regressions to estimate our persistence parameters. The results from Panel A of Table 6 show that the estimated coefficient on </w:t>
      </w:r>
      <w:r w:rsidRPr="00D14CD2">
        <w:rPr>
          <w:rFonts w:ascii="Times New Roman" w:hAnsi="Times New Roman" w:cs="Times New Roman"/>
          <w:i/>
          <w:sz w:val="24"/>
        </w:rPr>
        <w:t>EARN</w:t>
      </w:r>
      <w:r w:rsidRPr="00D14CD2">
        <w:rPr>
          <w:rFonts w:ascii="Times New Roman" w:hAnsi="Times New Roman" w:cs="Times New Roman"/>
          <w:i/>
          <w:sz w:val="24"/>
          <w:vertAlign w:val="subscript"/>
        </w:rPr>
        <w:t>t</w:t>
      </w:r>
      <w:r>
        <w:rPr>
          <w:rFonts w:ascii="Times New Roman" w:hAnsi="Times New Roman" w:cs="Times New Roman"/>
          <w:i/>
          <w:sz w:val="24"/>
          <w:vertAlign w:val="subscript"/>
        </w:rPr>
        <w:t>-1</w:t>
      </w:r>
      <w:r>
        <w:rPr>
          <w:rFonts w:ascii="Times New Roman" w:hAnsi="Times New Roman" w:cs="Times New Roman"/>
          <w:sz w:val="24"/>
        </w:rPr>
        <w:t xml:space="preserve"> is positive and statistically significant (0.738; t-stat=11.74) in the first regression without entropy balancing. More importantly, the </w:t>
      </w:r>
      <w:r>
        <w:rPr>
          <w:rFonts w:ascii="Times New Roman" w:hAnsi="Times New Roman" w:cs="Times New Roman"/>
          <w:sz w:val="24"/>
        </w:rPr>
        <w:lastRenderedPageBreak/>
        <w:t xml:space="preserve">coefficient on </w:t>
      </w:r>
      <w:r w:rsidR="00987775">
        <w:rPr>
          <w:rFonts w:ascii="Times New Roman" w:hAnsi="Times New Roman" w:cs="Times New Roman"/>
          <w:sz w:val="24"/>
        </w:rPr>
        <w:t xml:space="preserve">the </w:t>
      </w:r>
      <w:r>
        <w:rPr>
          <w:rFonts w:ascii="Times New Roman" w:hAnsi="Times New Roman" w:cs="Times New Roman"/>
          <w:sz w:val="24"/>
        </w:rPr>
        <w:t xml:space="preserve">interaction term is negative and statistically significant (-0.144; t-stat=-1.76). Therefore, the earnings persistence of SPAC-IPOs is only 81% of non-SPAC-IPOs. The results are similar in the second regression </w:t>
      </w:r>
      <w:r w:rsidR="00DB1F00">
        <w:rPr>
          <w:rFonts w:ascii="Times New Roman" w:hAnsi="Times New Roman" w:cs="Times New Roman"/>
          <w:sz w:val="24"/>
        </w:rPr>
        <w:t xml:space="preserve">with </w:t>
      </w:r>
      <w:r>
        <w:rPr>
          <w:rFonts w:ascii="Times New Roman" w:hAnsi="Times New Roman" w:cs="Times New Roman"/>
          <w:sz w:val="24"/>
        </w:rPr>
        <w:t xml:space="preserve">entropy balancing. </w:t>
      </w:r>
    </w:p>
    <w:p w14:paraId="318C4988" w14:textId="570C79F2" w:rsidR="00B97BAD" w:rsidRDefault="00B97BAD" w:rsidP="00B97B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To provide further insights into the sources of the variations in earnings persistence, we decompose earnings into cash flows and accruals and then examine variations in the cash flow and accruals persistence between the two groups of firms. The results from Panel B of Table 6 show that the estimated coefficients on </w:t>
      </w:r>
      <w:r>
        <w:rPr>
          <w:rFonts w:ascii="Times New Roman" w:hAnsi="Times New Roman" w:cs="Times New Roman"/>
          <w:i/>
          <w:sz w:val="24"/>
        </w:rPr>
        <w:t>CFO</w:t>
      </w:r>
      <w:r w:rsidRPr="00D14CD2">
        <w:rPr>
          <w:rFonts w:ascii="Times New Roman" w:hAnsi="Times New Roman" w:cs="Times New Roman"/>
          <w:i/>
          <w:sz w:val="24"/>
          <w:vertAlign w:val="subscript"/>
        </w:rPr>
        <w:t>t</w:t>
      </w:r>
      <w:r>
        <w:rPr>
          <w:rFonts w:ascii="Times New Roman" w:hAnsi="Times New Roman" w:cs="Times New Roman"/>
          <w:i/>
          <w:sz w:val="24"/>
          <w:vertAlign w:val="subscript"/>
        </w:rPr>
        <w:t>-1</w:t>
      </w:r>
      <w:r>
        <w:rPr>
          <w:rFonts w:ascii="Times New Roman" w:hAnsi="Times New Roman" w:cs="Times New Roman"/>
          <w:sz w:val="24"/>
        </w:rPr>
        <w:t xml:space="preserve"> (0.678; t-stat=10.03) and </w:t>
      </w:r>
      <w:r>
        <w:rPr>
          <w:rFonts w:ascii="Times New Roman" w:hAnsi="Times New Roman" w:cs="Times New Roman"/>
          <w:i/>
          <w:sz w:val="24"/>
        </w:rPr>
        <w:t>ACC</w:t>
      </w:r>
      <w:r w:rsidRPr="00D14CD2">
        <w:rPr>
          <w:rFonts w:ascii="Times New Roman" w:hAnsi="Times New Roman" w:cs="Times New Roman"/>
          <w:i/>
          <w:sz w:val="24"/>
          <w:vertAlign w:val="subscript"/>
        </w:rPr>
        <w:t>t</w:t>
      </w:r>
      <w:r>
        <w:rPr>
          <w:rFonts w:ascii="Times New Roman" w:hAnsi="Times New Roman" w:cs="Times New Roman"/>
          <w:i/>
          <w:sz w:val="24"/>
          <w:vertAlign w:val="subscript"/>
        </w:rPr>
        <w:t>-1</w:t>
      </w:r>
      <w:r>
        <w:rPr>
          <w:rFonts w:ascii="Times New Roman" w:hAnsi="Times New Roman" w:cs="Times New Roman"/>
          <w:sz w:val="24"/>
        </w:rPr>
        <w:t xml:space="preserve"> (0.371; t-stat=6.16) are both positive and statistically significant in the regression without entropy balancing. More importantly, the coefficients on </w:t>
      </w:r>
      <w:r w:rsidRPr="00EF24EC">
        <w:rPr>
          <w:rFonts w:ascii="Times New Roman" w:hAnsi="Times New Roman" w:cs="Times New Roman"/>
          <w:i/>
          <w:sz w:val="24"/>
        </w:rPr>
        <w:t>SPAC-IPO</w:t>
      </w:r>
      <w:r>
        <w:rPr>
          <w:rFonts w:ascii="Times New Roman" w:hAnsi="Times New Roman" w:cs="Times New Roman"/>
          <w:i/>
          <w:sz w:val="24"/>
        </w:rPr>
        <w:t>*CFO</w:t>
      </w:r>
      <w:r w:rsidRPr="00D14CD2">
        <w:rPr>
          <w:rFonts w:ascii="Times New Roman" w:hAnsi="Times New Roman" w:cs="Times New Roman"/>
          <w:i/>
          <w:sz w:val="24"/>
          <w:vertAlign w:val="subscript"/>
        </w:rPr>
        <w:t>t</w:t>
      </w:r>
      <w:r>
        <w:rPr>
          <w:rFonts w:ascii="Times New Roman" w:hAnsi="Times New Roman" w:cs="Times New Roman"/>
          <w:i/>
          <w:sz w:val="24"/>
          <w:vertAlign w:val="subscript"/>
        </w:rPr>
        <w:t>-1</w:t>
      </w:r>
      <w:r>
        <w:rPr>
          <w:rFonts w:ascii="Times New Roman" w:hAnsi="Times New Roman" w:cs="Times New Roman"/>
          <w:sz w:val="24"/>
        </w:rPr>
        <w:t xml:space="preserve"> (-0.083; t-stat=-0.96) and on </w:t>
      </w:r>
      <w:r w:rsidRPr="00EF24EC">
        <w:rPr>
          <w:rFonts w:ascii="Times New Roman" w:hAnsi="Times New Roman" w:cs="Times New Roman"/>
          <w:i/>
          <w:sz w:val="24"/>
        </w:rPr>
        <w:t>SPAC-IPO</w:t>
      </w:r>
      <w:r>
        <w:rPr>
          <w:rFonts w:ascii="Times New Roman" w:hAnsi="Times New Roman" w:cs="Times New Roman"/>
          <w:i/>
          <w:sz w:val="24"/>
        </w:rPr>
        <w:t>*ACC</w:t>
      </w:r>
      <w:r w:rsidRPr="00D14CD2">
        <w:rPr>
          <w:rFonts w:ascii="Times New Roman" w:hAnsi="Times New Roman" w:cs="Times New Roman"/>
          <w:i/>
          <w:sz w:val="24"/>
          <w:vertAlign w:val="subscript"/>
        </w:rPr>
        <w:t>t</w:t>
      </w:r>
      <w:r>
        <w:rPr>
          <w:rFonts w:ascii="Times New Roman" w:hAnsi="Times New Roman" w:cs="Times New Roman"/>
          <w:i/>
          <w:sz w:val="24"/>
          <w:vertAlign w:val="subscript"/>
        </w:rPr>
        <w:t>-1</w:t>
      </w:r>
      <w:r>
        <w:rPr>
          <w:rFonts w:ascii="Times New Roman" w:hAnsi="Times New Roman" w:cs="Times New Roman"/>
          <w:sz w:val="24"/>
        </w:rPr>
        <w:t xml:space="preserve"> (-0.200; t-stat=-2.42) are both negative. Therefore, the cash flow (accruals) persistence of SPAC-IPO firms is only 87% (46%) of non-SPAC-IPOs. The results are similar when we perform entropy balancing.</w:t>
      </w:r>
    </w:p>
    <w:p w14:paraId="02BFAE15" w14:textId="3D295E59" w:rsidR="00DB1F00" w:rsidRDefault="00DB1F00" w:rsidP="00DB1F00">
      <w:pPr>
        <w:spacing w:after="0" w:line="480" w:lineRule="auto"/>
        <w:ind w:firstLine="720"/>
        <w:jc w:val="both"/>
        <w:rPr>
          <w:rFonts w:ascii="Times New Roman" w:hAnsi="Times New Roman" w:cs="Times New Roman"/>
          <w:sz w:val="24"/>
        </w:rPr>
      </w:pPr>
      <w:r>
        <w:rPr>
          <w:rFonts w:ascii="Times New Roman" w:hAnsi="Times New Roman" w:cs="Times New Roman"/>
          <w:sz w:val="24"/>
        </w:rPr>
        <w:t>C</w:t>
      </w:r>
      <w:r w:rsidRPr="00C800D8">
        <w:rPr>
          <w:rFonts w:ascii="Times New Roman" w:hAnsi="Times New Roman" w:cs="Times New Roman"/>
          <w:sz w:val="24"/>
        </w:rPr>
        <w:t xml:space="preserve">onsistent with Hypothesis </w:t>
      </w:r>
      <w:r>
        <w:rPr>
          <w:rFonts w:ascii="Times New Roman" w:hAnsi="Times New Roman" w:cs="Times New Roman"/>
          <w:sz w:val="24"/>
        </w:rPr>
        <w:t>2</w:t>
      </w:r>
      <w:r w:rsidRPr="00C800D8">
        <w:rPr>
          <w:rFonts w:ascii="Times New Roman" w:hAnsi="Times New Roman" w:cs="Times New Roman"/>
          <w:sz w:val="24"/>
        </w:rPr>
        <w:t xml:space="preserve">, </w:t>
      </w:r>
      <w:r>
        <w:rPr>
          <w:rFonts w:ascii="Times New Roman" w:hAnsi="Times New Roman" w:cs="Times New Roman"/>
          <w:sz w:val="24"/>
        </w:rPr>
        <w:t xml:space="preserve">our findings indicate that earnings persistence is lower in SPAC-IPOs than in non-SPAC-IPOs because of lower accruals persistence. </w:t>
      </w:r>
      <w:r w:rsidR="00E668E5">
        <w:rPr>
          <w:rFonts w:ascii="Times New Roman" w:hAnsi="Times New Roman" w:cs="Times New Roman"/>
          <w:sz w:val="24"/>
        </w:rPr>
        <w:t>Because future earnings are less reliable when e</w:t>
      </w:r>
      <w:r>
        <w:rPr>
          <w:rFonts w:ascii="Times New Roman" w:hAnsi="Times New Roman" w:cs="Times New Roman"/>
          <w:sz w:val="24"/>
        </w:rPr>
        <w:t>arnings</w:t>
      </w:r>
      <w:r w:rsidR="00E668E5">
        <w:rPr>
          <w:rFonts w:ascii="Times New Roman" w:hAnsi="Times New Roman" w:cs="Times New Roman"/>
          <w:sz w:val="24"/>
        </w:rPr>
        <w:t xml:space="preserve"> and </w:t>
      </w:r>
      <w:r>
        <w:rPr>
          <w:rFonts w:ascii="Times New Roman" w:hAnsi="Times New Roman" w:cs="Times New Roman"/>
          <w:sz w:val="24"/>
        </w:rPr>
        <w:t xml:space="preserve">accruals </w:t>
      </w:r>
      <w:r w:rsidR="00E668E5">
        <w:rPr>
          <w:rFonts w:ascii="Times New Roman" w:hAnsi="Times New Roman" w:cs="Times New Roman"/>
          <w:sz w:val="24"/>
        </w:rPr>
        <w:t xml:space="preserve">are less </w:t>
      </w:r>
      <w:r>
        <w:rPr>
          <w:rFonts w:ascii="Times New Roman" w:hAnsi="Times New Roman" w:cs="Times New Roman"/>
          <w:sz w:val="24"/>
        </w:rPr>
        <w:t>persist</w:t>
      </w:r>
      <w:r w:rsidR="00934367">
        <w:rPr>
          <w:rFonts w:ascii="Times New Roman" w:hAnsi="Times New Roman" w:cs="Times New Roman"/>
          <w:sz w:val="24"/>
        </w:rPr>
        <w:t>ent</w:t>
      </w:r>
      <w:r w:rsidR="00E668E5">
        <w:rPr>
          <w:rFonts w:ascii="Times New Roman" w:hAnsi="Times New Roman" w:cs="Times New Roman"/>
          <w:sz w:val="24"/>
        </w:rPr>
        <w:t xml:space="preserve">, </w:t>
      </w:r>
      <w:r>
        <w:rPr>
          <w:rFonts w:ascii="Times New Roman" w:hAnsi="Times New Roman" w:cs="Times New Roman"/>
          <w:sz w:val="24"/>
        </w:rPr>
        <w:t xml:space="preserve">these results </w:t>
      </w:r>
      <w:r w:rsidR="0068463A">
        <w:rPr>
          <w:rFonts w:ascii="Times New Roman" w:hAnsi="Times New Roman" w:cs="Times New Roman"/>
          <w:sz w:val="24"/>
        </w:rPr>
        <w:t xml:space="preserve">again </w:t>
      </w:r>
      <w:r>
        <w:rPr>
          <w:rFonts w:ascii="Times New Roman" w:hAnsi="Times New Roman" w:cs="Times New Roman"/>
          <w:sz w:val="24"/>
        </w:rPr>
        <w:t xml:space="preserve">suggest that the information risk is higher in SPAC-IPO than in non-SPAC-IPO.      </w:t>
      </w:r>
    </w:p>
    <w:p w14:paraId="6DEDAE69" w14:textId="16446F5C" w:rsidR="00B97BAD" w:rsidRDefault="00B97BAD" w:rsidP="00B97BAD">
      <w:pPr>
        <w:spacing w:after="0" w:line="480" w:lineRule="auto"/>
        <w:jc w:val="both"/>
        <w:rPr>
          <w:rFonts w:ascii="Times New Roman" w:hAnsi="Times New Roman" w:cs="Times New Roman"/>
          <w:i/>
          <w:sz w:val="24"/>
        </w:rPr>
      </w:pPr>
      <w:r w:rsidRPr="007D0844">
        <w:rPr>
          <w:rFonts w:ascii="Times New Roman" w:hAnsi="Times New Roman" w:cs="Times New Roman"/>
          <w:i/>
          <w:sz w:val="24"/>
        </w:rPr>
        <w:t>6.</w:t>
      </w:r>
      <w:r w:rsidR="00BD7985">
        <w:rPr>
          <w:rFonts w:ascii="Times New Roman" w:hAnsi="Times New Roman" w:cs="Times New Roman"/>
          <w:i/>
          <w:sz w:val="24"/>
        </w:rPr>
        <w:t>1.</w:t>
      </w:r>
      <w:r w:rsidR="008A3019">
        <w:rPr>
          <w:rFonts w:ascii="Times New Roman" w:hAnsi="Times New Roman" w:cs="Times New Roman"/>
          <w:i/>
          <w:sz w:val="24"/>
        </w:rPr>
        <w:t>4</w:t>
      </w:r>
      <w:r w:rsidRPr="007D0844">
        <w:rPr>
          <w:rFonts w:ascii="Times New Roman" w:hAnsi="Times New Roman" w:cs="Times New Roman"/>
          <w:i/>
          <w:sz w:val="24"/>
        </w:rPr>
        <w:t>.</w:t>
      </w:r>
      <w:r w:rsidRPr="007D0844">
        <w:rPr>
          <w:rFonts w:ascii="Times New Roman" w:hAnsi="Times New Roman" w:cs="Times New Roman"/>
          <w:i/>
          <w:sz w:val="24"/>
        </w:rPr>
        <w:tab/>
        <w:t xml:space="preserve">Differences in </w:t>
      </w:r>
      <w:r>
        <w:rPr>
          <w:rFonts w:ascii="Times New Roman" w:hAnsi="Times New Roman" w:cs="Times New Roman"/>
          <w:i/>
          <w:sz w:val="24"/>
        </w:rPr>
        <w:t>Stock Exchanges Listings</w:t>
      </w:r>
    </w:p>
    <w:p w14:paraId="5248E156" w14:textId="77777777" w:rsidR="00B97BAD" w:rsidRDefault="00B97BAD" w:rsidP="00B97BAD">
      <w:pPr>
        <w:spacing w:after="0" w:line="480" w:lineRule="auto"/>
        <w:jc w:val="both"/>
        <w:rPr>
          <w:rFonts w:ascii="Times New Roman" w:hAnsi="Times New Roman" w:cs="Times New Roman"/>
          <w:sz w:val="24"/>
        </w:rPr>
      </w:pPr>
      <w:r>
        <w:rPr>
          <w:rFonts w:ascii="Times New Roman" w:hAnsi="Times New Roman" w:cs="Times New Roman"/>
          <w:sz w:val="24"/>
        </w:rPr>
        <w:tab/>
        <w:t xml:space="preserve">Table 7 reports the results on the differences in the stock exchange listings between SPAC-and non-SPAC-IPOs. The univariate results from Panel A show that 15% (33%) of the SPAC-IPOs (non-SPAC-IPOs) list on the NYSE stock exchange. Thus, non-SPAC-IPOs are more than twice as likely to list on the NYSE stock exchange as SPAC-IPOs. Also, 79% (64%) of the SPAC-IPOs (non-SPAC-IPOs) list on the NASDAQ stock exchange. Thus, SPAC-IPOs have a 23% higher likelihood of listing on the NASDAQ stock exchange than non-SPAC-IPOs. The listing on </w:t>
      </w:r>
      <w:r>
        <w:rPr>
          <w:rFonts w:ascii="Times New Roman" w:hAnsi="Times New Roman" w:cs="Times New Roman"/>
          <w:sz w:val="24"/>
        </w:rPr>
        <w:lastRenderedPageBreak/>
        <w:t xml:space="preserve">OTC is a rare event for both groups of firms and the difference between the two groups is not statistically significant. </w:t>
      </w:r>
    </w:p>
    <w:p w14:paraId="68C72D05" w14:textId="3A055866" w:rsidR="008A07C2" w:rsidRDefault="00B97BAD" w:rsidP="00B97BAD">
      <w:pPr>
        <w:spacing w:after="0" w:line="480" w:lineRule="auto"/>
        <w:jc w:val="both"/>
        <w:rPr>
          <w:rFonts w:ascii="Times New Roman" w:hAnsi="Times New Roman" w:cs="Times New Roman"/>
          <w:sz w:val="24"/>
        </w:rPr>
      </w:pPr>
      <w:r>
        <w:rPr>
          <w:rFonts w:ascii="Times New Roman" w:hAnsi="Times New Roman" w:cs="Times New Roman"/>
          <w:sz w:val="24"/>
        </w:rPr>
        <w:tab/>
        <w:t xml:space="preserve">The logistic regression results from Panel B are consistent with the Panel A results. The coefficient on </w:t>
      </w:r>
      <w:r w:rsidRPr="00C47CD1">
        <w:rPr>
          <w:rFonts w:ascii="Times New Roman" w:hAnsi="Times New Roman" w:cs="Times New Roman"/>
          <w:i/>
          <w:sz w:val="24"/>
        </w:rPr>
        <w:t>SPAC-IPO</w:t>
      </w:r>
      <w:r>
        <w:rPr>
          <w:rFonts w:ascii="Times New Roman" w:hAnsi="Times New Roman" w:cs="Times New Roman"/>
          <w:sz w:val="24"/>
        </w:rPr>
        <w:t xml:space="preserve"> is </w:t>
      </w:r>
      <w:r w:rsidR="00EE1909">
        <w:rPr>
          <w:rFonts w:ascii="Times New Roman" w:hAnsi="Times New Roman" w:cs="Times New Roman"/>
          <w:sz w:val="24"/>
        </w:rPr>
        <w:t>posit</w:t>
      </w:r>
      <w:r>
        <w:rPr>
          <w:rFonts w:ascii="Times New Roman" w:hAnsi="Times New Roman" w:cs="Times New Roman"/>
          <w:sz w:val="24"/>
        </w:rPr>
        <w:t>ive and statistically significant (</w:t>
      </w:r>
      <w:r w:rsidRPr="00911A48">
        <w:rPr>
          <w:rFonts w:ascii="Times New Roman" w:hAnsi="Times New Roman" w:cs="Times New Roman"/>
          <w:sz w:val="24"/>
        </w:rPr>
        <w:t>1.</w:t>
      </w:r>
      <w:r>
        <w:rPr>
          <w:rFonts w:ascii="Times New Roman" w:hAnsi="Times New Roman" w:cs="Times New Roman"/>
          <w:sz w:val="24"/>
        </w:rPr>
        <w:t xml:space="preserve">617; </w:t>
      </w:r>
      <w:r>
        <w:rPr>
          <w:rStyle w:val="mi"/>
          <w:rFonts w:ascii="MathJax_Math" w:hAnsi="MathJax_Math"/>
          <w:i/>
          <w:iCs/>
          <w:sz w:val="26"/>
          <w:szCs w:val="26"/>
        </w:rPr>
        <w:t>χ</w:t>
      </w:r>
      <w:r>
        <w:rPr>
          <w:rStyle w:val="mn"/>
          <w:rFonts w:ascii="MathJax_Main" w:hAnsi="MathJax_Main"/>
          <w:sz w:val="18"/>
          <w:szCs w:val="18"/>
        </w:rPr>
        <w:t>2</w:t>
      </w:r>
      <w:r>
        <w:rPr>
          <w:rFonts w:ascii="Times New Roman" w:hAnsi="Times New Roman" w:cs="Times New Roman"/>
          <w:sz w:val="24"/>
        </w:rPr>
        <w:t xml:space="preserve">=16.07) when </w:t>
      </w:r>
      <w:r w:rsidRPr="00A978F3">
        <w:rPr>
          <w:rFonts w:ascii="Times New Roman" w:hAnsi="Times New Roman" w:cs="Times New Roman"/>
          <w:i/>
          <w:sz w:val="24"/>
        </w:rPr>
        <w:t>N</w:t>
      </w:r>
      <w:r w:rsidR="00EE1909">
        <w:rPr>
          <w:rFonts w:ascii="Times New Roman" w:hAnsi="Times New Roman" w:cs="Times New Roman"/>
          <w:i/>
          <w:sz w:val="24"/>
        </w:rPr>
        <w:t>ONN</w:t>
      </w:r>
      <w:r w:rsidRPr="00A978F3">
        <w:rPr>
          <w:rFonts w:ascii="Times New Roman" w:hAnsi="Times New Roman" w:cs="Times New Roman"/>
          <w:i/>
          <w:sz w:val="24"/>
        </w:rPr>
        <w:t>YSE</w:t>
      </w:r>
      <w:r>
        <w:rPr>
          <w:rFonts w:ascii="Times New Roman" w:hAnsi="Times New Roman" w:cs="Times New Roman"/>
          <w:sz w:val="24"/>
        </w:rPr>
        <w:t xml:space="preserve"> is the dependent variable in the first regression without entropy balancing. Holding other factors constant, our estimates suggest that SPAC-IPO</w:t>
      </w:r>
      <w:r w:rsidR="00EE1909">
        <w:rPr>
          <w:rFonts w:ascii="Times New Roman" w:hAnsi="Times New Roman" w:cs="Times New Roman"/>
          <w:sz w:val="24"/>
        </w:rPr>
        <w:t>s</w:t>
      </w:r>
      <w:r>
        <w:rPr>
          <w:rFonts w:ascii="Times New Roman" w:hAnsi="Times New Roman" w:cs="Times New Roman"/>
          <w:sz w:val="24"/>
        </w:rPr>
        <w:t xml:space="preserve"> </w:t>
      </w:r>
      <w:r w:rsidR="00EE1909">
        <w:rPr>
          <w:rFonts w:ascii="Times New Roman" w:hAnsi="Times New Roman" w:cs="Times New Roman"/>
          <w:sz w:val="24"/>
        </w:rPr>
        <w:t>are</w:t>
      </w:r>
      <w:r>
        <w:rPr>
          <w:rFonts w:ascii="Times New Roman" w:hAnsi="Times New Roman" w:cs="Times New Roman"/>
          <w:sz w:val="24"/>
        </w:rPr>
        <w:t xml:space="preserve"> </w:t>
      </w:r>
      <w:r w:rsidR="00EE1909">
        <w:rPr>
          <w:rFonts w:ascii="Times New Roman" w:hAnsi="Times New Roman" w:cs="Times New Roman"/>
          <w:sz w:val="24"/>
        </w:rPr>
        <w:t>five times as li</w:t>
      </w:r>
      <w:r>
        <w:rPr>
          <w:rFonts w:ascii="Times New Roman" w:hAnsi="Times New Roman" w:cs="Times New Roman"/>
          <w:sz w:val="24"/>
        </w:rPr>
        <w:t xml:space="preserve">kely to list on </w:t>
      </w:r>
      <w:r w:rsidR="00EE1909">
        <w:rPr>
          <w:rFonts w:ascii="Times New Roman" w:hAnsi="Times New Roman" w:cs="Times New Roman"/>
          <w:sz w:val="24"/>
        </w:rPr>
        <w:t xml:space="preserve">stock exchanges other than </w:t>
      </w:r>
      <w:r>
        <w:rPr>
          <w:rFonts w:ascii="Times New Roman" w:hAnsi="Times New Roman" w:cs="Times New Roman"/>
          <w:sz w:val="24"/>
        </w:rPr>
        <w:t>NYSE as non-SPAC-IPO</w:t>
      </w:r>
      <w:r w:rsidR="00EE1909">
        <w:rPr>
          <w:rFonts w:ascii="Times New Roman" w:hAnsi="Times New Roman" w:cs="Times New Roman"/>
          <w:sz w:val="24"/>
        </w:rPr>
        <w:t>s</w:t>
      </w:r>
      <w:r>
        <w:rPr>
          <w:rFonts w:ascii="Times New Roman" w:hAnsi="Times New Roman" w:cs="Times New Roman"/>
          <w:sz w:val="24"/>
        </w:rPr>
        <w:t xml:space="preserve">. The results are similar in the second regression after entropy balancing. </w:t>
      </w:r>
    </w:p>
    <w:p w14:paraId="10FDA493" w14:textId="6580A64E" w:rsidR="00B97BAD" w:rsidRDefault="00B97BAD" w:rsidP="008A07C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Consistent with Hypothesis 3, we find that SPAC-IPOs are </w:t>
      </w:r>
      <w:r w:rsidR="00EE1909">
        <w:rPr>
          <w:rFonts w:ascii="Times New Roman" w:hAnsi="Times New Roman" w:cs="Times New Roman"/>
          <w:sz w:val="24"/>
        </w:rPr>
        <w:t xml:space="preserve">more </w:t>
      </w:r>
      <w:r>
        <w:rPr>
          <w:rFonts w:ascii="Times New Roman" w:hAnsi="Times New Roman" w:cs="Times New Roman"/>
          <w:sz w:val="24"/>
        </w:rPr>
        <w:t xml:space="preserve">likely to </w:t>
      </w:r>
      <w:r w:rsidR="00A451D5">
        <w:rPr>
          <w:rFonts w:ascii="Times New Roman" w:hAnsi="Times New Roman" w:cs="Times New Roman"/>
          <w:sz w:val="24"/>
        </w:rPr>
        <w:t xml:space="preserve">avoid </w:t>
      </w:r>
      <w:r>
        <w:rPr>
          <w:rFonts w:ascii="Times New Roman" w:hAnsi="Times New Roman" w:cs="Times New Roman"/>
          <w:sz w:val="24"/>
        </w:rPr>
        <w:t>NYSE than non-SPAC-IPOs.</w:t>
      </w:r>
      <w:r w:rsidR="008A07C2">
        <w:rPr>
          <w:rFonts w:ascii="Times New Roman" w:hAnsi="Times New Roman" w:cs="Times New Roman"/>
          <w:sz w:val="24"/>
        </w:rPr>
        <w:t xml:space="preserve"> </w:t>
      </w:r>
      <w:r w:rsidR="00B66832">
        <w:rPr>
          <w:rFonts w:ascii="Times New Roman" w:hAnsi="Times New Roman" w:cs="Times New Roman"/>
          <w:sz w:val="24"/>
        </w:rPr>
        <w:t>Besides</w:t>
      </w:r>
      <w:r w:rsidR="0068463A">
        <w:rPr>
          <w:rFonts w:ascii="Times New Roman" w:hAnsi="Times New Roman" w:cs="Times New Roman"/>
          <w:sz w:val="24"/>
        </w:rPr>
        <w:t xml:space="preserve"> cost considerations, </w:t>
      </w:r>
      <w:r>
        <w:rPr>
          <w:rFonts w:ascii="Times New Roman" w:hAnsi="Times New Roman" w:cs="Times New Roman"/>
          <w:sz w:val="24"/>
        </w:rPr>
        <w:t>SPAC shareholders and sponsors with warrants might prefer the NASDAQ to benefit from the higher volatility in stock prices.</w:t>
      </w:r>
      <w:r w:rsidR="008A07C2">
        <w:rPr>
          <w:rFonts w:ascii="Times New Roman" w:hAnsi="Times New Roman" w:cs="Times New Roman"/>
          <w:sz w:val="24"/>
        </w:rPr>
        <w:t xml:space="preserve"> Since </w:t>
      </w:r>
      <w:r w:rsidR="00EE1909">
        <w:rPr>
          <w:rFonts w:ascii="Times New Roman" w:hAnsi="Times New Roman" w:cs="Times New Roman"/>
          <w:sz w:val="24"/>
        </w:rPr>
        <w:t xml:space="preserve">non-NYSE (i.e., </w:t>
      </w:r>
      <w:r w:rsidR="008A07C2">
        <w:rPr>
          <w:rFonts w:ascii="Times New Roman" w:hAnsi="Times New Roman" w:cs="Times New Roman"/>
          <w:sz w:val="24"/>
        </w:rPr>
        <w:t xml:space="preserve">NASDAQ </w:t>
      </w:r>
      <w:r w:rsidR="00EE1909">
        <w:rPr>
          <w:rFonts w:ascii="Times New Roman" w:hAnsi="Times New Roman" w:cs="Times New Roman"/>
          <w:sz w:val="24"/>
        </w:rPr>
        <w:t xml:space="preserve">or OTC) </w:t>
      </w:r>
      <w:r w:rsidR="008A07C2">
        <w:rPr>
          <w:rFonts w:ascii="Times New Roman" w:hAnsi="Times New Roman" w:cs="Times New Roman"/>
          <w:sz w:val="24"/>
        </w:rPr>
        <w:t xml:space="preserve">firms tend to </w:t>
      </w:r>
      <w:r w:rsidR="00934367">
        <w:rPr>
          <w:rFonts w:ascii="Times New Roman" w:hAnsi="Times New Roman" w:cs="Times New Roman"/>
          <w:sz w:val="24"/>
        </w:rPr>
        <w:t xml:space="preserve">be </w:t>
      </w:r>
      <w:r w:rsidR="008A07C2">
        <w:rPr>
          <w:rFonts w:ascii="Times New Roman" w:hAnsi="Times New Roman" w:cs="Times New Roman"/>
          <w:sz w:val="24"/>
        </w:rPr>
        <w:t>riskier, these results also suggest that the information risk is higher in SPAC-IPO</w:t>
      </w:r>
      <w:r w:rsidR="000C4F35">
        <w:rPr>
          <w:rFonts w:ascii="Times New Roman" w:hAnsi="Times New Roman" w:cs="Times New Roman"/>
          <w:sz w:val="24"/>
        </w:rPr>
        <w:t>s</w:t>
      </w:r>
      <w:r w:rsidR="008A07C2">
        <w:rPr>
          <w:rFonts w:ascii="Times New Roman" w:hAnsi="Times New Roman" w:cs="Times New Roman"/>
          <w:sz w:val="24"/>
        </w:rPr>
        <w:t xml:space="preserve"> than in non-SPAC-IPO</w:t>
      </w:r>
      <w:r w:rsidR="000C4F35">
        <w:rPr>
          <w:rFonts w:ascii="Times New Roman" w:hAnsi="Times New Roman" w:cs="Times New Roman"/>
          <w:sz w:val="24"/>
        </w:rPr>
        <w:t>s</w:t>
      </w:r>
      <w:r w:rsidR="008A07C2">
        <w:rPr>
          <w:rFonts w:ascii="Times New Roman" w:hAnsi="Times New Roman" w:cs="Times New Roman"/>
          <w:sz w:val="24"/>
        </w:rPr>
        <w:t xml:space="preserve">.      </w:t>
      </w:r>
    </w:p>
    <w:p w14:paraId="53B7EB43" w14:textId="056F6EDD" w:rsidR="001234AD" w:rsidRPr="008E4412" w:rsidRDefault="001234AD" w:rsidP="001234AD">
      <w:pPr>
        <w:spacing w:after="0" w:line="480" w:lineRule="auto"/>
        <w:jc w:val="both"/>
        <w:rPr>
          <w:rFonts w:ascii="Times New Roman" w:hAnsi="Times New Roman" w:cs="Times New Roman"/>
          <w:i/>
          <w:sz w:val="24"/>
        </w:rPr>
      </w:pPr>
      <w:r>
        <w:rPr>
          <w:rFonts w:ascii="Times New Roman" w:hAnsi="Times New Roman" w:cs="Times New Roman"/>
          <w:i/>
          <w:sz w:val="24"/>
        </w:rPr>
        <w:t>6.</w:t>
      </w:r>
      <w:r w:rsidR="00BD7985">
        <w:rPr>
          <w:rFonts w:ascii="Times New Roman" w:hAnsi="Times New Roman" w:cs="Times New Roman"/>
          <w:i/>
          <w:sz w:val="24"/>
        </w:rPr>
        <w:t>1.</w:t>
      </w:r>
      <w:r>
        <w:rPr>
          <w:rFonts w:ascii="Times New Roman" w:hAnsi="Times New Roman" w:cs="Times New Roman"/>
          <w:i/>
          <w:sz w:val="24"/>
        </w:rPr>
        <w:t>5</w:t>
      </w:r>
      <w:r w:rsidRPr="008E4412">
        <w:rPr>
          <w:rFonts w:ascii="Times New Roman" w:hAnsi="Times New Roman" w:cs="Times New Roman"/>
          <w:i/>
          <w:sz w:val="24"/>
        </w:rPr>
        <w:t>.</w:t>
      </w:r>
      <w:r w:rsidRPr="008E4412">
        <w:rPr>
          <w:rFonts w:ascii="Times New Roman" w:hAnsi="Times New Roman" w:cs="Times New Roman"/>
          <w:i/>
          <w:sz w:val="24"/>
        </w:rPr>
        <w:tab/>
      </w:r>
      <w:r w:rsidR="00D22EC4">
        <w:rPr>
          <w:rFonts w:ascii="Times New Roman" w:hAnsi="Times New Roman" w:cs="Times New Roman"/>
          <w:i/>
          <w:sz w:val="24"/>
        </w:rPr>
        <w:t xml:space="preserve">Endogeneity and Variations in the </w:t>
      </w:r>
      <w:r w:rsidRPr="008E4412">
        <w:rPr>
          <w:rFonts w:ascii="Times New Roman" w:hAnsi="Times New Roman" w:cs="Times New Roman"/>
          <w:i/>
          <w:sz w:val="24"/>
          <w:szCs w:val="24"/>
        </w:rPr>
        <w:t xml:space="preserve">SPAC Sample  </w:t>
      </w:r>
      <w:r w:rsidRPr="008E4412">
        <w:rPr>
          <w:rFonts w:ascii="Times New Roman" w:hAnsi="Times New Roman" w:cs="Times New Roman"/>
          <w:i/>
          <w:sz w:val="24"/>
        </w:rPr>
        <w:t xml:space="preserve"> </w:t>
      </w:r>
    </w:p>
    <w:p w14:paraId="51C95ED4" w14:textId="7EDF6729" w:rsidR="001234AD" w:rsidRPr="00353B62" w:rsidRDefault="001234AD" w:rsidP="001234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we attribute the differences between SPAC</w:t>
      </w:r>
      <w:r w:rsidR="00B66832">
        <w:rPr>
          <w:rFonts w:ascii="Times New Roman" w:hAnsi="Times New Roman" w:cs="Times New Roman"/>
          <w:sz w:val="24"/>
          <w:szCs w:val="24"/>
        </w:rPr>
        <w:t>s</w:t>
      </w:r>
      <w:r>
        <w:rPr>
          <w:rFonts w:ascii="Times New Roman" w:hAnsi="Times New Roman" w:cs="Times New Roman"/>
          <w:sz w:val="24"/>
          <w:szCs w:val="24"/>
        </w:rPr>
        <w:t xml:space="preserve"> and non-SPACs to factors uniquely associated with SPAC-IPOs (e.g., SPAC-sponsors), omitted correlated variables or differences in </w:t>
      </w:r>
      <w:r w:rsidRPr="001A29B0">
        <w:rPr>
          <w:rFonts w:ascii="Times New Roman" w:hAnsi="Times New Roman" w:cs="Times New Roman"/>
          <w:sz w:val="24"/>
          <w:szCs w:val="24"/>
        </w:rPr>
        <w:t xml:space="preserve">firm characteristics </w:t>
      </w:r>
      <w:r>
        <w:rPr>
          <w:rFonts w:ascii="Times New Roman" w:hAnsi="Times New Roman" w:cs="Times New Roman"/>
          <w:sz w:val="24"/>
          <w:szCs w:val="24"/>
        </w:rPr>
        <w:t xml:space="preserve">might also explain our results. To address these concerns, we </w:t>
      </w:r>
      <w:r w:rsidRPr="00353B62">
        <w:rPr>
          <w:rFonts w:ascii="Times New Roman" w:hAnsi="Times New Roman" w:cs="Times New Roman"/>
          <w:sz w:val="24"/>
          <w:szCs w:val="24"/>
        </w:rPr>
        <w:t xml:space="preserve">design three cross-sectional tests </w:t>
      </w:r>
      <w:r>
        <w:rPr>
          <w:rFonts w:ascii="Times New Roman" w:hAnsi="Times New Roman" w:cs="Times New Roman"/>
          <w:sz w:val="24"/>
          <w:szCs w:val="24"/>
        </w:rPr>
        <w:t xml:space="preserve">restricted to </w:t>
      </w:r>
      <w:r w:rsidRPr="00353B62">
        <w:rPr>
          <w:rFonts w:ascii="Times New Roman" w:hAnsi="Times New Roman" w:cs="Times New Roman"/>
          <w:sz w:val="24"/>
          <w:szCs w:val="24"/>
        </w:rPr>
        <w:t xml:space="preserve">the SPAC sample—two tests from agency considerations and </w:t>
      </w:r>
      <w:r>
        <w:rPr>
          <w:rFonts w:ascii="Times New Roman" w:hAnsi="Times New Roman" w:cs="Times New Roman"/>
          <w:sz w:val="24"/>
          <w:szCs w:val="24"/>
        </w:rPr>
        <w:t xml:space="preserve">another </w:t>
      </w:r>
      <w:r w:rsidRPr="00353B62">
        <w:rPr>
          <w:rFonts w:ascii="Times New Roman" w:hAnsi="Times New Roman" w:cs="Times New Roman"/>
          <w:sz w:val="24"/>
          <w:szCs w:val="24"/>
        </w:rPr>
        <w:t xml:space="preserve">from risk by </w:t>
      </w:r>
      <w:r>
        <w:rPr>
          <w:rFonts w:ascii="Times New Roman" w:hAnsi="Times New Roman" w:cs="Times New Roman"/>
          <w:sz w:val="24"/>
          <w:szCs w:val="24"/>
        </w:rPr>
        <w:t xml:space="preserve">drawing on </w:t>
      </w:r>
      <w:r w:rsidRPr="00353B62">
        <w:rPr>
          <w:rFonts w:ascii="Times New Roman" w:hAnsi="Times New Roman" w:cs="Times New Roman"/>
          <w:sz w:val="24"/>
          <w:szCs w:val="24"/>
        </w:rPr>
        <w:t>hand</w:t>
      </w:r>
      <w:r>
        <w:rPr>
          <w:rFonts w:ascii="Times New Roman" w:hAnsi="Times New Roman" w:cs="Times New Roman"/>
          <w:sz w:val="24"/>
          <w:szCs w:val="24"/>
        </w:rPr>
        <w:t>-</w:t>
      </w:r>
      <w:r w:rsidRPr="00353B62">
        <w:rPr>
          <w:rFonts w:ascii="Times New Roman" w:hAnsi="Times New Roman" w:cs="Times New Roman"/>
          <w:sz w:val="24"/>
          <w:szCs w:val="24"/>
        </w:rPr>
        <w:t>collect</w:t>
      </w:r>
      <w:r>
        <w:rPr>
          <w:rFonts w:ascii="Times New Roman" w:hAnsi="Times New Roman" w:cs="Times New Roman"/>
          <w:sz w:val="24"/>
          <w:szCs w:val="24"/>
        </w:rPr>
        <w:t xml:space="preserve">ed </w:t>
      </w:r>
      <w:r w:rsidRPr="00353B62">
        <w:rPr>
          <w:rFonts w:ascii="Times New Roman" w:hAnsi="Times New Roman" w:cs="Times New Roman"/>
          <w:sz w:val="24"/>
          <w:szCs w:val="24"/>
        </w:rPr>
        <w:t xml:space="preserve">SPAC/SPAC-IPO data. The first test exploits the potential role of sponsors as internal monitors in mitigating agency problems subsequent to the SPAC’s merger with a target. When more sponsors serve on the board of the SPAC-IPO acting as internal monitors, agency and information problems are likely to be lower relative to when they do not serve on the SPAC-IPO board. Accordingly, we define </w:t>
      </w:r>
      <w:r w:rsidRPr="00353B62">
        <w:rPr>
          <w:rFonts w:ascii="Times New Roman" w:hAnsi="Times New Roman" w:cs="Times New Roman"/>
          <w:i/>
          <w:sz w:val="24"/>
          <w:szCs w:val="24"/>
        </w:rPr>
        <w:t>SPONSOR_BOARD%</w:t>
      </w:r>
      <w:r w:rsidRPr="00353B62">
        <w:rPr>
          <w:rFonts w:ascii="Times New Roman" w:hAnsi="Times New Roman" w:cs="Times New Roman"/>
          <w:sz w:val="24"/>
          <w:szCs w:val="24"/>
        </w:rPr>
        <w:t xml:space="preserve"> as the </w:t>
      </w:r>
      <w:r w:rsidRPr="00353B62">
        <w:rPr>
          <w:rFonts w:ascii="Times New Roman" w:hAnsi="Times New Roman" w:cs="Times New Roman"/>
          <w:sz w:val="24"/>
          <w:szCs w:val="24"/>
        </w:rPr>
        <w:lastRenderedPageBreak/>
        <w:t>percentage of board members that are SPAC-sponsors. The second test exploits the role of PIPEs as sophisticated</w:t>
      </w:r>
      <w:r>
        <w:rPr>
          <w:rFonts w:ascii="Times New Roman" w:hAnsi="Times New Roman" w:cs="Times New Roman"/>
          <w:sz w:val="24"/>
          <w:szCs w:val="24"/>
        </w:rPr>
        <w:t xml:space="preserve">/institutional </w:t>
      </w:r>
      <w:r w:rsidRPr="00353B62">
        <w:rPr>
          <w:rFonts w:ascii="Times New Roman" w:hAnsi="Times New Roman" w:cs="Times New Roman"/>
          <w:sz w:val="24"/>
          <w:szCs w:val="24"/>
        </w:rPr>
        <w:t xml:space="preserve">investors (e.g., private equity funds, hedge funds and other private financial investors) as external monitors in demanding greater transparency/higher quality from SPAC-IPO management. Accordingly, we define </w:t>
      </w:r>
      <w:r w:rsidRPr="00353B62">
        <w:rPr>
          <w:rFonts w:ascii="Times New Roman" w:hAnsi="Times New Roman" w:cs="Times New Roman"/>
          <w:i/>
          <w:sz w:val="24"/>
          <w:szCs w:val="24"/>
        </w:rPr>
        <w:t>PIPE</w:t>
      </w:r>
      <w:r w:rsidRPr="00353B62">
        <w:rPr>
          <w:rFonts w:ascii="Times New Roman" w:hAnsi="Times New Roman" w:cs="Times New Roman"/>
          <w:sz w:val="24"/>
          <w:szCs w:val="24"/>
        </w:rPr>
        <w:t xml:space="preserve"> as one if PIPE investment is needed to complete the merger with the target, and zero otherwise. The third test links the duration between the SPAC formation and its merger with the target as a proxy for SPAC-IPO risk. Because sponsors typically have two years to merge with a target from the formation of a SPAC, sponsors are more likely to identify riskier targets as the duration lengthens and approaches the two-year deadline. Accordingly, we define </w:t>
      </w:r>
      <w:r w:rsidRPr="00353B62">
        <w:rPr>
          <w:rFonts w:ascii="Times New Roman" w:hAnsi="Times New Roman" w:cs="Times New Roman"/>
          <w:i/>
          <w:sz w:val="24"/>
          <w:szCs w:val="24"/>
        </w:rPr>
        <w:t xml:space="preserve">FIRSTYEAR </w:t>
      </w:r>
      <w:r w:rsidRPr="00353B62">
        <w:rPr>
          <w:rFonts w:ascii="Times New Roman" w:hAnsi="Times New Roman" w:cs="Times New Roman"/>
          <w:sz w:val="24"/>
          <w:szCs w:val="24"/>
        </w:rPr>
        <w:t>as one if the target merges with the SPAC within one year of its formation</w:t>
      </w:r>
      <w:r w:rsidR="00EC5AF3">
        <w:rPr>
          <w:rFonts w:ascii="Times New Roman" w:hAnsi="Times New Roman" w:cs="Times New Roman"/>
          <w:sz w:val="24"/>
          <w:szCs w:val="24"/>
        </w:rPr>
        <w:t>, and zero otherwise</w:t>
      </w:r>
      <w:r w:rsidRPr="00353B62">
        <w:rPr>
          <w:rFonts w:ascii="Times New Roman" w:hAnsi="Times New Roman" w:cs="Times New Roman"/>
          <w:sz w:val="24"/>
          <w:szCs w:val="24"/>
        </w:rPr>
        <w:t>.</w:t>
      </w:r>
      <w:r w:rsidRPr="00353B62">
        <w:rPr>
          <w:rStyle w:val="FootnoteReference"/>
          <w:rFonts w:ascii="Times New Roman" w:hAnsi="Times New Roman" w:cs="Times New Roman"/>
          <w:sz w:val="24"/>
          <w:szCs w:val="24"/>
        </w:rPr>
        <w:footnoteReference w:id="20"/>
      </w:r>
      <w:r w:rsidRPr="00353B62">
        <w:rPr>
          <w:rFonts w:ascii="Times New Roman" w:hAnsi="Times New Roman" w:cs="Times New Roman"/>
          <w:sz w:val="24"/>
          <w:szCs w:val="24"/>
        </w:rPr>
        <w:t xml:space="preserve"> </w:t>
      </w:r>
    </w:p>
    <w:p w14:paraId="3547BDAA" w14:textId="77777777" w:rsidR="001234AD" w:rsidRPr="002278D9" w:rsidRDefault="001234AD" w:rsidP="001234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Because </w:t>
      </w:r>
      <w:r w:rsidRPr="00FD006B">
        <w:rPr>
          <w:rFonts w:ascii="Times New Roman" w:hAnsi="Times New Roman" w:cs="Times New Roman"/>
          <w:i/>
          <w:sz w:val="24"/>
        </w:rPr>
        <w:t>SPONSOR_</w:t>
      </w:r>
      <w:r>
        <w:rPr>
          <w:rFonts w:ascii="Times New Roman" w:hAnsi="Times New Roman" w:cs="Times New Roman"/>
          <w:i/>
          <w:sz w:val="24"/>
        </w:rPr>
        <w:t>BOARD%</w:t>
      </w:r>
      <w:r>
        <w:rPr>
          <w:rFonts w:ascii="Times New Roman" w:hAnsi="Times New Roman" w:cs="Times New Roman"/>
          <w:sz w:val="24"/>
        </w:rPr>
        <w:t xml:space="preserve"> represents the strength of internal monitoring, we expect </w:t>
      </w:r>
      <w:r w:rsidRPr="00FD006B">
        <w:rPr>
          <w:rFonts w:ascii="Times New Roman" w:hAnsi="Times New Roman" w:cs="Times New Roman"/>
          <w:i/>
          <w:sz w:val="24"/>
        </w:rPr>
        <w:t>SPONSOR_</w:t>
      </w:r>
      <w:r>
        <w:rPr>
          <w:rFonts w:ascii="Times New Roman" w:hAnsi="Times New Roman" w:cs="Times New Roman"/>
          <w:i/>
          <w:sz w:val="24"/>
        </w:rPr>
        <w:t>BOARD%</w:t>
      </w:r>
      <w:r>
        <w:rPr>
          <w:rFonts w:ascii="Times New Roman" w:hAnsi="Times New Roman" w:cs="Times New Roman"/>
          <w:sz w:val="24"/>
        </w:rPr>
        <w:t xml:space="preserve"> to be negatively associated with audit demand (there is less need for added monitors), with the effectiveness of controls and procedures, and with higher financial reporting quality proxies. Because </w:t>
      </w:r>
      <w:r w:rsidRPr="00353B62">
        <w:rPr>
          <w:rFonts w:ascii="Times New Roman" w:hAnsi="Times New Roman" w:cs="Times New Roman"/>
          <w:i/>
          <w:sz w:val="24"/>
        </w:rPr>
        <w:t>PIPE</w:t>
      </w:r>
      <w:r>
        <w:rPr>
          <w:rFonts w:ascii="Times New Roman" w:hAnsi="Times New Roman" w:cs="Times New Roman"/>
          <w:sz w:val="24"/>
        </w:rPr>
        <w:t xml:space="preserve"> represents greater external monitoring, we expect </w:t>
      </w:r>
      <w:r w:rsidRPr="00353B62">
        <w:rPr>
          <w:rFonts w:ascii="Times New Roman" w:hAnsi="Times New Roman" w:cs="Times New Roman"/>
          <w:i/>
          <w:sz w:val="24"/>
          <w:szCs w:val="24"/>
        </w:rPr>
        <w:t>PIPE</w:t>
      </w:r>
      <w:r>
        <w:rPr>
          <w:rFonts w:ascii="Times New Roman" w:hAnsi="Times New Roman" w:cs="Times New Roman"/>
          <w:sz w:val="24"/>
        </w:rPr>
        <w:t xml:space="preserve"> to be positively associated with audit demand, with the effectiveness of controls and procedures, and with higher financial reporting quality proxies. Because </w:t>
      </w:r>
      <w:r>
        <w:rPr>
          <w:rFonts w:ascii="Times New Roman" w:hAnsi="Times New Roman" w:cs="Times New Roman"/>
          <w:i/>
          <w:sz w:val="24"/>
        </w:rPr>
        <w:t>FIRSTYEAR</w:t>
      </w:r>
      <w:r>
        <w:rPr>
          <w:rFonts w:ascii="Times New Roman" w:hAnsi="Times New Roman" w:cs="Times New Roman"/>
          <w:sz w:val="24"/>
        </w:rPr>
        <w:t xml:space="preserve"> represents less risky SPAC-IPOs, we expect </w:t>
      </w:r>
      <w:r>
        <w:rPr>
          <w:rFonts w:ascii="Times New Roman" w:hAnsi="Times New Roman" w:cs="Times New Roman"/>
          <w:i/>
          <w:sz w:val="24"/>
        </w:rPr>
        <w:t>FIRSTYEAR</w:t>
      </w:r>
      <w:r>
        <w:rPr>
          <w:rFonts w:ascii="Times New Roman" w:hAnsi="Times New Roman" w:cs="Times New Roman"/>
          <w:sz w:val="24"/>
        </w:rPr>
        <w:t xml:space="preserve"> to be positively associated with audit demand (high-quality auditors are more likely to accept less risky engagements or less risky firms may prefer higher quality auditors), but negatively associated with the effectiveness of controls and procedures, and with higher financial reporting quality proxies. </w:t>
      </w:r>
    </w:p>
    <w:p w14:paraId="1C43E3A6" w14:textId="08572E95" w:rsidR="001234AD" w:rsidRDefault="001234AD" w:rsidP="001234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results on the three cross sectional tests are reported in Table 8. When </w:t>
      </w:r>
      <w:r w:rsidR="00A451D5">
        <w:rPr>
          <w:rFonts w:ascii="Times New Roman" w:hAnsi="Times New Roman" w:cs="Times New Roman"/>
          <w:i/>
          <w:sz w:val="24"/>
        </w:rPr>
        <w:t>NONB</w:t>
      </w:r>
      <w:r w:rsidRPr="00C3392E">
        <w:rPr>
          <w:rFonts w:ascii="Times New Roman" w:hAnsi="Times New Roman" w:cs="Times New Roman"/>
          <w:i/>
          <w:sz w:val="24"/>
        </w:rPr>
        <w:t>IG4</w:t>
      </w:r>
      <w:r>
        <w:rPr>
          <w:rFonts w:ascii="Times New Roman" w:hAnsi="Times New Roman" w:cs="Times New Roman"/>
          <w:sz w:val="24"/>
        </w:rPr>
        <w:t xml:space="preserve"> is the dependent variable, the coefficient on </w:t>
      </w:r>
      <w:r w:rsidRPr="008E4412">
        <w:rPr>
          <w:rFonts w:ascii="Times New Roman" w:hAnsi="Times New Roman" w:cs="Times New Roman"/>
          <w:i/>
          <w:sz w:val="24"/>
        </w:rPr>
        <w:t>SPONSOR_BOARD%</w:t>
      </w:r>
      <w:r w:rsidRPr="006F14CB">
        <w:rPr>
          <w:rFonts w:ascii="Times New Roman" w:hAnsi="Times New Roman" w:cs="Times New Roman"/>
          <w:i/>
          <w:sz w:val="24"/>
        </w:rPr>
        <w:t xml:space="preserve"> </w:t>
      </w:r>
      <w:r>
        <w:rPr>
          <w:rFonts w:ascii="Times New Roman" w:hAnsi="Times New Roman" w:cs="Times New Roman"/>
          <w:sz w:val="24"/>
        </w:rPr>
        <w:t xml:space="preserve">is </w:t>
      </w:r>
      <w:r w:rsidR="00A451D5">
        <w:rPr>
          <w:rFonts w:ascii="Times New Roman" w:hAnsi="Times New Roman" w:cs="Times New Roman"/>
          <w:sz w:val="24"/>
        </w:rPr>
        <w:t xml:space="preserve">positive </w:t>
      </w:r>
      <w:r>
        <w:rPr>
          <w:rFonts w:ascii="Times New Roman" w:hAnsi="Times New Roman" w:cs="Times New Roman"/>
          <w:sz w:val="24"/>
        </w:rPr>
        <w:t xml:space="preserve">and statistically </w:t>
      </w:r>
      <w:r>
        <w:rPr>
          <w:rFonts w:ascii="Times New Roman" w:hAnsi="Times New Roman" w:cs="Times New Roman"/>
          <w:sz w:val="24"/>
        </w:rPr>
        <w:lastRenderedPageBreak/>
        <w:t xml:space="preserve">significant, suggesting that the demand for </w:t>
      </w:r>
      <w:r w:rsidR="00A451D5">
        <w:rPr>
          <w:rFonts w:ascii="Times New Roman" w:hAnsi="Times New Roman" w:cs="Times New Roman"/>
          <w:sz w:val="24"/>
        </w:rPr>
        <w:t xml:space="preserve">high </w:t>
      </w:r>
      <w:r>
        <w:rPr>
          <w:rFonts w:ascii="Times New Roman" w:hAnsi="Times New Roman" w:cs="Times New Roman"/>
          <w:sz w:val="24"/>
        </w:rPr>
        <w:t xml:space="preserve">quality </w:t>
      </w:r>
      <w:r w:rsidR="00A451D5">
        <w:rPr>
          <w:rFonts w:ascii="Times New Roman" w:hAnsi="Times New Roman" w:cs="Times New Roman"/>
          <w:sz w:val="24"/>
        </w:rPr>
        <w:t xml:space="preserve">auditors </w:t>
      </w:r>
      <w:r>
        <w:rPr>
          <w:rFonts w:ascii="Times New Roman" w:hAnsi="Times New Roman" w:cs="Times New Roman"/>
          <w:sz w:val="24"/>
        </w:rPr>
        <w:t xml:space="preserve">is lower when sponsors serve as </w:t>
      </w:r>
      <w:r w:rsidR="00934367">
        <w:rPr>
          <w:rFonts w:ascii="Times New Roman" w:hAnsi="Times New Roman" w:cs="Times New Roman"/>
          <w:sz w:val="24"/>
        </w:rPr>
        <w:t xml:space="preserve">internal </w:t>
      </w:r>
      <w:r>
        <w:rPr>
          <w:rFonts w:ascii="Times New Roman" w:hAnsi="Times New Roman" w:cs="Times New Roman"/>
          <w:sz w:val="24"/>
        </w:rPr>
        <w:t xml:space="preserve">monitors of SPAC-IPOs. The coefficient on </w:t>
      </w:r>
      <w:r w:rsidRPr="00353B62">
        <w:rPr>
          <w:rFonts w:ascii="Times New Roman" w:hAnsi="Times New Roman" w:cs="Times New Roman"/>
          <w:i/>
          <w:sz w:val="24"/>
        </w:rPr>
        <w:t>PIPE</w:t>
      </w:r>
      <w:r>
        <w:rPr>
          <w:rFonts w:ascii="Times New Roman" w:hAnsi="Times New Roman" w:cs="Times New Roman"/>
          <w:sz w:val="24"/>
        </w:rPr>
        <w:t xml:space="preserve"> is </w:t>
      </w:r>
      <w:r w:rsidR="00A451D5">
        <w:rPr>
          <w:rFonts w:ascii="Times New Roman" w:hAnsi="Times New Roman" w:cs="Times New Roman"/>
          <w:sz w:val="24"/>
        </w:rPr>
        <w:t xml:space="preserve">negative </w:t>
      </w:r>
      <w:r>
        <w:rPr>
          <w:rFonts w:ascii="Times New Roman" w:hAnsi="Times New Roman" w:cs="Times New Roman"/>
          <w:sz w:val="24"/>
        </w:rPr>
        <w:t xml:space="preserve">and weakly significant, suggesting sophisticated investors demand higher audit quality. The coefficient on </w:t>
      </w:r>
      <w:r>
        <w:rPr>
          <w:rFonts w:ascii="Times New Roman" w:hAnsi="Times New Roman" w:cs="Times New Roman"/>
          <w:i/>
          <w:sz w:val="24"/>
        </w:rPr>
        <w:t>FIRSTYEAR</w:t>
      </w:r>
      <w:r>
        <w:rPr>
          <w:rFonts w:ascii="Times New Roman" w:hAnsi="Times New Roman" w:cs="Times New Roman"/>
          <w:sz w:val="24"/>
        </w:rPr>
        <w:t xml:space="preserve"> is </w:t>
      </w:r>
      <w:r w:rsidR="00A451D5">
        <w:rPr>
          <w:rFonts w:ascii="Times New Roman" w:hAnsi="Times New Roman" w:cs="Times New Roman"/>
          <w:sz w:val="24"/>
        </w:rPr>
        <w:t xml:space="preserve">negative </w:t>
      </w:r>
      <w:r>
        <w:rPr>
          <w:rFonts w:ascii="Times New Roman" w:hAnsi="Times New Roman" w:cs="Times New Roman"/>
          <w:sz w:val="24"/>
        </w:rPr>
        <w:t xml:space="preserve">and statistically significant, suggesting that </w:t>
      </w:r>
      <w:r w:rsidR="00A451D5">
        <w:rPr>
          <w:rFonts w:ascii="Times New Roman" w:hAnsi="Times New Roman" w:cs="Times New Roman"/>
          <w:sz w:val="24"/>
        </w:rPr>
        <w:t>non-</w:t>
      </w:r>
      <w:r>
        <w:rPr>
          <w:rFonts w:ascii="Times New Roman" w:hAnsi="Times New Roman" w:cs="Times New Roman"/>
          <w:sz w:val="24"/>
        </w:rPr>
        <w:t xml:space="preserve">Big 4 retention is </w:t>
      </w:r>
      <w:r w:rsidR="00A451D5">
        <w:rPr>
          <w:rFonts w:ascii="Times New Roman" w:hAnsi="Times New Roman" w:cs="Times New Roman"/>
          <w:sz w:val="24"/>
        </w:rPr>
        <w:t xml:space="preserve">lower </w:t>
      </w:r>
      <w:r>
        <w:rPr>
          <w:rFonts w:ascii="Times New Roman" w:hAnsi="Times New Roman" w:cs="Times New Roman"/>
          <w:sz w:val="24"/>
        </w:rPr>
        <w:t xml:space="preserve">when SPAC-IPOs are less risky. </w:t>
      </w:r>
    </w:p>
    <w:p w14:paraId="73811651" w14:textId="5DD3E102" w:rsidR="001234AD" w:rsidRDefault="001234AD" w:rsidP="001234A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When </w:t>
      </w:r>
      <w:r>
        <w:rPr>
          <w:rFonts w:ascii="Times New Roman" w:hAnsi="Times New Roman" w:cs="Times New Roman"/>
          <w:i/>
          <w:sz w:val="24"/>
        </w:rPr>
        <w:t xml:space="preserve">MATERIALWEAKNESS </w:t>
      </w:r>
      <w:r>
        <w:rPr>
          <w:rFonts w:ascii="Times New Roman" w:hAnsi="Times New Roman" w:cs="Times New Roman"/>
          <w:sz w:val="24"/>
        </w:rPr>
        <w:t xml:space="preserve">is the dependent variable, the coefficients on </w:t>
      </w:r>
      <w:r w:rsidRPr="008E4412">
        <w:rPr>
          <w:rFonts w:ascii="Times New Roman" w:hAnsi="Times New Roman" w:cs="Times New Roman"/>
          <w:i/>
          <w:sz w:val="24"/>
        </w:rPr>
        <w:t>SPONSOR_BOARD%</w:t>
      </w:r>
      <w:r w:rsidRPr="00353B62">
        <w:rPr>
          <w:rFonts w:ascii="Times New Roman" w:hAnsi="Times New Roman" w:cs="Times New Roman"/>
          <w:sz w:val="24"/>
        </w:rPr>
        <w:t>,</w:t>
      </w:r>
      <w:r>
        <w:rPr>
          <w:rFonts w:ascii="Times New Roman" w:hAnsi="Times New Roman" w:cs="Times New Roman"/>
          <w:i/>
          <w:sz w:val="24"/>
        </w:rPr>
        <w:t xml:space="preserve"> PIPE, </w:t>
      </w:r>
      <w:r>
        <w:rPr>
          <w:rFonts w:ascii="Times New Roman" w:hAnsi="Times New Roman" w:cs="Times New Roman"/>
          <w:sz w:val="24"/>
        </w:rPr>
        <w:t xml:space="preserve">and </w:t>
      </w:r>
      <w:r>
        <w:rPr>
          <w:rFonts w:ascii="Times New Roman" w:hAnsi="Times New Roman" w:cs="Times New Roman"/>
          <w:i/>
          <w:sz w:val="24"/>
        </w:rPr>
        <w:t>FIRSTYEAR</w:t>
      </w:r>
      <w:r>
        <w:rPr>
          <w:rFonts w:ascii="Times New Roman" w:hAnsi="Times New Roman" w:cs="Times New Roman"/>
          <w:sz w:val="24"/>
        </w:rPr>
        <w:t xml:space="preserve"> are all negative but only the coefficient on </w:t>
      </w:r>
      <w:r>
        <w:rPr>
          <w:rFonts w:ascii="Times New Roman" w:hAnsi="Times New Roman" w:cs="Times New Roman"/>
          <w:i/>
          <w:sz w:val="24"/>
        </w:rPr>
        <w:t>FIRSTYEAR</w:t>
      </w:r>
      <w:r>
        <w:rPr>
          <w:rFonts w:ascii="Times New Roman" w:hAnsi="Times New Roman" w:cs="Times New Roman"/>
          <w:sz w:val="24"/>
        </w:rPr>
        <w:t xml:space="preserve"> is significant, suggesting that internal controls are more effective when SPACs merge with targets soon after their formation. When </w:t>
      </w:r>
      <w:r>
        <w:rPr>
          <w:rFonts w:ascii="Times New Roman" w:hAnsi="Times New Roman" w:cs="Times New Roman"/>
          <w:i/>
          <w:sz w:val="24"/>
        </w:rPr>
        <w:t xml:space="preserve">RESTATE </w:t>
      </w:r>
      <w:r>
        <w:rPr>
          <w:rFonts w:ascii="Times New Roman" w:hAnsi="Times New Roman" w:cs="Times New Roman"/>
          <w:sz w:val="24"/>
        </w:rPr>
        <w:t xml:space="preserve">is the dependent variable, the coefficients on </w:t>
      </w:r>
      <w:r w:rsidRPr="008E4412">
        <w:rPr>
          <w:rFonts w:ascii="Times New Roman" w:hAnsi="Times New Roman" w:cs="Times New Roman"/>
          <w:i/>
          <w:sz w:val="24"/>
        </w:rPr>
        <w:t>SPONSOR_BOARD%</w:t>
      </w:r>
      <w:r>
        <w:rPr>
          <w:rFonts w:ascii="Times New Roman" w:hAnsi="Times New Roman" w:cs="Times New Roman"/>
          <w:sz w:val="24"/>
        </w:rPr>
        <w:t xml:space="preserve"> and </w:t>
      </w:r>
      <w:r>
        <w:rPr>
          <w:rFonts w:ascii="Times New Roman" w:hAnsi="Times New Roman" w:cs="Times New Roman"/>
          <w:i/>
          <w:sz w:val="24"/>
        </w:rPr>
        <w:t>FIRSTYEAR</w:t>
      </w:r>
      <w:r>
        <w:rPr>
          <w:rFonts w:ascii="Times New Roman" w:hAnsi="Times New Roman" w:cs="Times New Roman"/>
          <w:sz w:val="24"/>
        </w:rPr>
        <w:t xml:space="preserve"> are negative but not significant</w:t>
      </w:r>
      <w:r w:rsidR="00EC5AF3">
        <w:rPr>
          <w:rFonts w:ascii="Times New Roman" w:hAnsi="Times New Roman" w:cs="Times New Roman"/>
          <w:sz w:val="24"/>
        </w:rPr>
        <w:t xml:space="preserve"> while the coefficient for PIPE is positive but not significant</w:t>
      </w:r>
      <w:r>
        <w:rPr>
          <w:rFonts w:ascii="Times New Roman" w:hAnsi="Times New Roman" w:cs="Times New Roman"/>
          <w:sz w:val="24"/>
        </w:rPr>
        <w:t xml:space="preserve">. Finally, when </w:t>
      </w:r>
      <w:r>
        <w:rPr>
          <w:rFonts w:ascii="Times New Roman" w:hAnsi="Times New Roman" w:cs="Times New Roman"/>
          <w:i/>
          <w:sz w:val="24"/>
        </w:rPr>
        <w:t xml:space="preserve">NONTIMELY </w:t>
      </w:r>
      <w:r>
        <w:rPr>
          <w:rFonts w:ascii="Times New Roman" w:hAnsi="Times New Roman" w:cs="Times New Roman"/>
          <w:sz w:val="24"/>
        </w:rPr>
        <w:t xml:space="preserve">is the dependent variable, the coefficient on </w:t>
      </w:r>
      <w:r w:rsidRPr="00E77A08">
        <w:rPr>
          <w:rFonts w:ascii="Times New Roman" w:hAnsi="Times New Roman" w:cs="Times New Roman"/>
          <w:i/>
          <w:sz w:val="24"/>
        </w:rPr>
        <w:t>PIPE</w:t>
      </w:r>
      <w:r>
        <w:rPr>
          <w:rFonts w:ascii="Times New Roman" w:hAnsi="Times New Roman" w:cs="Times New Roman"/>
          <w:sz w:val="24"/>
        </w:rPr>
        <w:t xml:space="preserve"> is negative and </w:t>
      </w:r>
      <w:r w:rsidR="00C9033D" w:rsidRPr="00E77A08">
        <w:rPr>
          <w:rFonts w:ascii="Times New Roman" w:hAnsi="Times New Roman" w:cs="Times New Roman"/>
          <w:i/>
          <w:sz w:val="24"/>
        </w:rPr>
        <w:t>PIPE</w:t>
      </w:r>
      <w:r w:rsidR="00C9033D">
        <w:rPr>
          <w:rFonts w:ascii="Times New Roman" w:hAnsi="Times New Roman" w:cs="Times New Roman"/>
          <w:sz w:val="24"/>
        </w:rPr>
        <w:t xml:space="preserve"> is </w:t>
      </w:r>
      <w:r>
        <w:rPr>
          <w:rFonts w:ascii="Times New Roman" w:hAnsi="Times New Roman" w:cs="Times New Roman"/>
          <w:sz w:val="24"/>
        </w:rPr>
        <w:t>the only variable that is weakly significant, suggesting that annual filings are less likely to be delayed when SPAC-IPOs entail PIPE investments.</w:t>
      </w:r>
      <w:r>
        <w:rPr>
          <w:rStyle w:val="FootnoteReference"/>
          <w:rFonts w:ascii="Times New Roman" w:hAnsi="Times New Roman" w:cs="Times New Roman"/>
          <w:sz w:val="24"/>
        </w:rPr>
        <w:footnoteReference w:id="21"/>
      </w:r>
      <w:r>
        <w:rPr>
          <w:rFonts w:ascii="Times New Roman" w:hAnsi="Times New Roman" w:cs="Times New Roman"/>
          <w:sz w:val="24"/>
        </w:rPr>
        <w:t xml:space="preserve">  </w:t>
      </w:r>
    </w:p>
    <w:p w14:paraId="7982F096" w14:textId="0D35A1CB" w:rsidR="003D1DF9" w:rsidRDefault="003D1DF9" w:rsidP="003D1DF9">
      <w:pPr>
        <w:spacing w:after="0" w:line="480" w:lineRule="auto"/>
        <w:jc w:val="both"/>
        <w:rPr>
          <w:rFonts w:ascii="Times New Roman" w:hAnsi="Times New Roman" w:cs="Times New Roman"/>
          <w:i/>
          <w:sz w:val="24"/>
        </w:rPr>
      </w:pPr>
      <w:r w:rsidRPr="007D0844">
        <w:rPr>
          <w:rFonts w:ascii="Times New Roman" w:hAnsi="Times New Roman" w:cs="Times New Roman"/>
          <w:i/>
          <w:sz w:val="24"/>
        </w:rPr>
        <w:t>6.</w:t>
      </w:r>
      <w:r>
        <w:rPr>
          <w:rFonts w:ascii="Times New Roman" w:hAnsi="Times New Roman" w:cs="Times New Roman"/>
          <w:i/>
          <w:sz w:val="24"/>
        </w:rPr>
        <w:t>1.6</w:t>
      </w:r>
      <w:r w:rsidRPr="007D0844">
        <w:rPr>
          <w:rFonts w:ascii="Times New Roman" w:hAnsi="Times New Roman" w:cs="Times New Roman"/>
          <w:i/>
          <w:sz w:val="24"/>
        </w:rPr>
        <w:t>.</w:t>
      </w:r>
      <w:r w:rsidRPr="007D0844">
        <w:rPr>
          <w:rFonts w:ascii="Times New Roman" w:hAnsi="Times New Roman" w:cs="Times New Roman"/>
          <w:i/>
          <w:sz w:val="24"/>
        </w:rPr>
        <w:tab/>
        <w:t xml:space="preserve">Differences in </w:t>
      </w:r>
      <w:r>
        <w:rPr>
          <w:rFonts w:ascii="Times New Roman" w:hAnsi="Times New Roman" w:cs="Times New Roman"/>
          <w:i/>
          <w:sz w:val="24"/>
        </w:rPr>
        <w:t>Stock Exchange Delisting</w:t>
      </w:r>
    </w:p>
    <w:p w14:paraId="2F5494E4" w14:textId="28A25E54" w:rsidR="003D1DF9" w:rsidRDefault="003D1DF9" w:rsidP="003D1DF9">
      <w:pPr>
        <w:spacing w:after="0" w:line="480" w:lineRule="auto"/>
        <w:jc w:val="both"/>
        <w:rPr>
          <w:rFonts w:ascii="Times New Roman" w:hAnsi="Times New Roman" w:cs="Times New Roman"/>
          <w:sz w:val="24"/>
        </w:rPr>
      </w:pPr>
      <w:r>
        <w:rPr>
          <w:rFonts w:ascii="Times New Roman" w:hAnsi="Times New Roman" w:cs="Times New Roman"/>
          <w:sz w:val="24"/>
        </w:rPr>
        <w:tab/>
        <w:t>Table 9 reports the results on the differences in the involuntary stock exchange delisting between SPAC-</w:t>
      </w:r>
      <w:r w:rsidR="00934367">
        <w:rPr>
          <w:rFonts w:ascii="Times New Roman" w:hAnsi="Times New Roman" w:cs="Times New Roman"/>
          <w:sz w:val="24"/>
        </w:rPr>
        <w:t xml:space="preserve"> </w:t>
      </w:r>
      <w:r>
        <w:rPr>
          <w:rFonts w:ascii="Times New Roman" w:hAnsi="Times New Roman" w:cs="Times New Roman"/>
          <w:sz w:val="24"/>
        </w:rPr>
        <w:t xml:space="preserve">and non-SPAC-IPOs. The univariate results from Panel A show that 11% (2%) of the SPAC-IPOs (non-SPAC-IPOs) are subsequently delisted; the difference is statistically significant at the 1% level. Thus, SPAC-IPOs are five and half times as likely to be delisted as non-SPAC-IPOs. </w:t>
      </w:r>
    </w:p>
    <w:p w14:paraId="5AE0C5F8" w14:textId="58ECC274" w:rsidR="003D1DF9" w:rsidRDefault="003D1DF9" w:rsidP="003D1DF9">
      <w:pPr>
        <w:spacing w:after="0" w:line="480" w:lineRule="auto"/>
        <w:jc w:val="both"/>
        <w:rPr>
          <w:rFonts w:ascii="Times New Roman" w:hAnsi="Times New Roman" w:cs="Times New Roman"/>
          <w:sz w:val="24"/>
        </w:rPr>
      </w:pPr>
      <w:r>
        <w:rPr>
          <w:rFonts w:ascii="Times New Roman" w:hAnsi="Times New Roman" w:cs="Times New Roman"/>
          <w:sz w:val="24"/>
        </w:rPr>
        <w:tab/>
        <w:t>The logistic regression results from Panel B are consistent with Panel A results.</w:t>
      </w:r>
      <w:r w:rsidR="00312A03">
        <w:rPr>
          <w:rFonts w:ascii="Times New Roman" w:hAnsi="Times New Roman" w:cs="Times New Roman"/>
          <w:sz w:val="24"/>
        </w:rPr>
        <w:t xml:space="preserve"> </w:t>
      </w:r>
      <w:r>
        <w:rPr>
          <w:rFonts w:ascii="Times New Roman" w:hAnsi="Times New Roman" w:cs="Times New Roman"/>
          <w:sz w:val="24"/>
        </w:rPr>
        <w:t xml:space="preserve"> The coefficient on </w:t>
      </w:r>
      <w:r w:rsidRPr="00C47CD1">
        <w:rPr>
          <w:rFonts w:ascii="Times New Roman" w:hAnsi="Times New Roman" w:cs="Times New Roman"/>
          <w:i/>
          <w:sz w:val="24"/>
        </w:rPr>
        <w:t>SPAC-IPO</w:t>
      </w:r>
      <w:r>
        <w:rPr>
          <w:rFonts w:ascii="Times New Roman" w:hAnsi="Times New Roman" w:cs="Times New Roman"/>
          <w:sz w:val="24"/>
        </w:rPr>
        <w:t xml:space="preserve"> is positive and statistically significant (1.64</w:t>
      </w:r>
      <w:r w:rsidR="000D230F">
        <w:rPr>
          <w:rFonts w:ascii="Times New Roman" w:hAnsi="Times New Roman" w:cs="Times New Roman"/>
          <w:sz w:val="24"/>
        </w:rPr>
        <w:t>8</w:t>
      </w:r>
      <w:r>
        <w:rPr>
          <w:rFonts w:ascii="Times New Roman" w:hAnsi="Times New Roman" w:cs="Times New Roman"/>
          <w:sz w:val="24"/>
        </w:rPr>
        <w:t xml:space="preserve">; </w:t>
      </w:r>
      <w:r>
        <w:rPr>
          <w:rStyle w:val="mi"/>
          <w:rFonts w:ascii="MathJax_Math" w:hAnsi="MathJax_Math"/>
          <w:i/>
          <w:iCs/>
          <w:sz w:val="26"/>
          <w:szCs w:val="26"/>
        </w:rPr>
        <w:t>χ</w:t>
      </w:r>
      <w:r>
        <w:rPr>
          <w:rStyle w:val="mn"/>
          <w:rFonts w:ascii="MathJax_Main" w:hAnsi="MathJax_Main"/>
          <w:sz w:val="18"/>
          <w:szCs w:val="18"/>
        </w:rPr>
        <w:t>2</w:t>
      </w:r>
      <w:r>
        <w:rPr>
          <w:rFonts w:ascii="Times New Roman" w:hAnsi="Times New Roman" w:cs="Times New Roman"/>
          <w:sz w:val="24"/>
        </w:rPr>
        <w:t>=4.</w:t>
      </w:r>
      <w:r w:rsidR="00EC5AF3">
        <w:rPr>
          <w:rFonts w:ascii="Times New Roman" w:hAnsi="Times New Roman" w:cs="Times New Roman"/>
          <w:sz w:val="24"/>
        </w:rPr>
        <w:t xml:space="preserve">67 </w:t>
      </w:r>
      <w:r w:rsidR="00312A03">
        <w:rPr>
          <w:rFonts w:ascii="Times New Roman" w:hAnsi="Times New Roman" w:cs="Times New Roman"/>
          <w:sz w:val="24"/>
        </w:rPr>
        <w:t xml:space="preserve">without entropy </w:t>
      </w:r>
      <w:r w:rsidR="00312A03">
        <w:rPr>
          <w:rFonts w:ascii="Times New Roman" w:hAnsi="Times New Roman" w:cs="Times New Roman"/>
          <w:sz w:val="24"/>
        </w:rPr>
        <w:lastRenderedPageBreak/>
        <w:t>balancing</w:t>
      </w:r>
      <w:r>
        <w:rPr>
          <w:rFonts w:ascii="Times New Roman" w:hAnsi="Times New Roman" w:cs="Times New Roman"/>
          <w:sz w:val="24"/>
        </w:rPr>
        <w:t xml:space="preserve">).  Holding other factors constant, our estimates suggest that a SPAC-IPO is five times as likely to be delisted as a non-SPAC-IPO. </w:t>
      </w:r>
      <w:r w:rsidR="00312A03" w:rsidRPr="00312A03">
        <w:rPr>
          <w:rFonts w:ascii="Times New Roman" w:hAnsi="Times New Roman" w:cs="Times New Roman"/>
          <w:sz w:val="24"/>
        </w:rPr>
        <w:t xml:space="preserve">The results are similar in the second regression after entropy balancing. </w:t>
      </w:r>
      <w:r>
        <w:rPr>
          <w:rFonts w:ascii="Times New Roman" w:hAnsi="Times New Roman" w:cs="Times New Roman"/>
          <w:sz w:val="24"/>
        </w:rPr>
        <w:t xml:space="preserve">Consistent with Hypothesis 4, we find that SPAC-IPOs are more likely to be delisted than non-SPAC-IPOs. </w:t>
      </w:r>
    </w:p>
    <w:p w14:paraId="34641886" w14:textId="441F8408" w:rsidR="003D1DF9" w:rsidRPr="003D1DF9" w:rsidRDefault="003D1DF9" w:rsidP="003D1DF9">
      <w:pPr>
        <w:spacing w:after="0" w:line="480" w:lineRule="auto"/>
        <w:jc w:val="both"/>
        <w:rPr>
          <w:rFonts w:ascii="Times New Roman" w:hAnsi="Times New Roman" w:cs="Times New Roman"/>
          <w:b/>
          <w:i/>
          <w:sz w:val="24"/>
        </w:rPr>
      </w:pPr>
      <w:r w:rsidRPr="003D1DF9">
        <w:rPr>
          <w:rFonts w:ascii="Times New Roman" w:hAnsi="Times New Roman" w:cs="Times New Roman"/>
          <w:b/>
          <w:i/>
          <w:sz w:val="24"/>
        </w:rPr>
        <w:t xml:space="preserve">6.2. </w:t>
      </w:r>
      <w:r w:rsidRPr="003D1DF9">
        <w:rPr>
          <w:rFonts w:ascii="Times New Roman" w:hAnsi="Times New Roman" w:cs="Times New Roman"/>
          <w:b/>
          <w:i/>
          <w:sz w:val="24"/>
        </w:rPr>
        <w:tab/>
        <w:t xml:space="preserve">Information Risk for the </w:t>
      </w:r>
      <w:r>
        <w:rPr>
          <w:rFonts w:ascii="Times New Roman" w:hAnsi="Times New Roman" w:cs="Times New Roman"/>
          <w:b/>
          <w:i/>
          <w:sz w:val="24"/>
        </w:rPr>
        <w:t>Post</w:t>
      </w:r>
      <w:r w:rsidR="00D22EC4">
        <w:rPr>
          <w:rFonts w:ascii="Times New Roman" w:hAnsi="Times New Roman" w:cs="Times New Roman"/>
          <w:b/>
          <w:i/>
          <w:sz w:val="24"/>
        </w:rPr>
        <w:t xml:space="preserve"> </w:t>
      </w:r>
      <w:r w:rsidRPr="003D1DF9">
        <w:rPr>
          <w:rFonts w:ascii="Times New Roman" w:hAnsi="Times New Roman" w:cs="Times New Roman"/>
          <w:b/>
          <w:i/>
          <w:sz w:val="24"/>
        </w:rPr>
        <w:t>IPO</w:t>
      </w:r>
      <w:r>
        <w:rPr>
          <w:rFonts w:ascii="Times New Roman" w:hAnsi="Times New Roman" w:cs="Times New Roman"/>
          <w:b/>
          <w:i/>
          <w:sz w:val="24"/>
        </w:rPr>
        <w:t>-Y</w:t>
      </w:r>
      <w:r w:rsidRPr="003D1DF9">
        <w:rPr>
          <w:rFonts w:ascii="Times New Roman" w:hAnsi="Times New Roman" w:cs="Times New Roman"/>
          <w:b/>
          <w:i/>
          <w:sz w:val="24"/>
        </w:rPr>
        <w:t>ear</w:t>
      </w:r>
      <w:r>
        <w:rPr>
          <w:rFonts w:ascii="Times New Roman" w:hAnsi="Times New Roman" w:cs="Times New Roman"/>
          <w:b/>
          <w:i/>
          <w:sz w:val="24"/>
        </w:rPr>
        <w:t>s</w:t>
      </w:r>
    </w:p>
    <w:p w14:paraId="139A480B" w14:textId="1D9D517C" w:rsidR="009C601C" w:rsidRDefault="009C601C" w:rsidP="00B97BAD">
      <w:pPr>
        <w:spacing w:after="0" w:line="480" w:lineRule="auto"/>
        <w:jc w:val="both"/>
        <w:rPr>
          <w:rFonts w:ascii="Times New Roman" w:hAnsi="Times New Roman" w:cs="Times New Roman"/>
          <w:sz w:val="24"/>
        </w:rPr>
      </w:pPr>
      <w:r w:rsidRPr="009C601C">
        <w:rPr>
          <w:rFonts w:ascii="Times New Roman" w:hAnsi="Times New Roman" w:cs="Times New Roman"/>
          <w:sz w:val="24"/>
        </w:rPr>
        <w:tab/>
      </w:r>
      <w:r w:rsidR="00A23B85">
        <w:rPr>
          <w:rFonts w:ascii="Times New Roman" w:hAnsi="Times New Roman" w:cs="Times New Roman"/>
          <w:sz w:val="24"/>
        </w:rPr>
        <w:t xml:space="preserve">Our </w:t>
      </w:r>
      <w:r w:rsidR="00A23B85" w:rsidRPr="009C601C">
        <w:rPr>
          <w:rFonts w:ascii="Times New Roman" w:hAnsi="Times New Roman" w:cs="Times New Roman"/>
          <w:sz w:val="24"/>
        </w:rPr>
        <w:t xml:space="preserve">results </w:t>
      </w:r>
      <w:r w:rsidR="00A23B85">
        <w:rPr>
          <w:rFonts w:ascii="Times New Roman" w:hAnsi="Times New Roman" w:cs="Times New Roman"/>
          <w:sz w:val="24"/>
        </w:rPr>
        <w:t xml:space="preserve">so far </w:t>
      </w:r>
      <w:r w:rsidR="00A23B85" w:rsidRPr="009C601C">
        <w:rPr>
          <w:rFonts w:ascii="Times New Roman" w:hAnsi="Times New Roman" w:cs="Times New Roman"/>
          <w:sz w:val="24"/>
        </w:rPr>
        <w:t xml:space="preserve">indicate that the information risk is higher </w:t>
      </w:r>
      <w:r w:rsidR="00A23B85">
        <w:rPr>
          <w:rFonts w:ascii="Times New Roman" w:hAnsi="Times New Roman" w:cs="Times New Roman"/>
          <w:sz w:val="24"/>
        </w:rPr>
        <w:t xml:space="preserve">for </w:t>
      </w:r>
      <w:r w:rsidR="00A23B85" w:rsidRPr="009C601C">
        <w:rPr>
          <w:rFonts w:ascii="Times New Roman" w:hAnsi="Times New Roman" w:cs="Times New Roman"/>
          <w:sz w:val="24"/>
        </w:rPr>
        <w:t xml:space="preserve">SPAC-IPOs than </w:t>
      </w:r>
      <w:r w:rsidR="00A23B85">
        <w:rPr>
          <w:rFonts w:ascii="Times New Roman" w:hAnsi="Times New Roman" w:cs="Times New Roman"/>
          <w:sz w:val="24"/>
        </w:rPr>
        <w:t xml:space="preserve">for </w:t>
      </w:r>
      <w:r w:rsidR="00A23B85" w:rsidRPr="009C601C">
        <w:rPr>
          <w:rFonts w:ascii="Times New Roman" w:hAnsi="Times New Roman" w:cs="Times New Roman"/>
          <w:sz w:val="24"/>
        </w:rPr>
        <w:t xml:space="preserve">non-SPAC-IPOs for the </w:t>
      </w:r>
      <w:r w:rsidR="00A23B85">
        <w:rPr>
          <w:rFonts w:ascii="Times New Roman" w:hAnsi="Times New Roman" w:cs="Times New Roman"/>
          <w:sz w:val="24"/>
        </w:rPr>
        <w:t>IPO year. However, it is possible that higher information risk may not persist beyond the merger year. A major feature of de-SPAC transaction</w:t>
      </w:r>
      <w:r w:rsidR="00712CF8">
        <w:rPr>
          <w:rFonts w:ascii="Times New Roman" w:hAnsi="Times New Roman" w:cs="Times New Roman"/>
          <w:sz w:val="24"/>
        </w:rPr>
        <w:t>s</w:t>
      </w:r>
      <w:r w:rsidR="00A23B85">
        <w:rPr>
          <w:rFonts w:ascii="Times New Roman" w:hAnsi="Times New Roman" w:cs="Times New Roman"/>
          <w:sz w:val="24"/>
        </w:rPr>
        <w:t xml:space="preserve"> is that SPAC</w:t>
      </w:r>
      <w:r w:rsidR="00712CF8">
        <w:rPr>
          <w:rFonts w:ascii="Times New Roman" w:hAnsi="Times New Roman" w:cs="Times New Roman"/>
          <w:sz w:val="24"/>
        </w:rPr>
        <w:t>s</w:t>
      </w:r>
      <w:r w:rsidR="00A23B85">
        <w:rPr>
          <w:rFonts w:ascii="Times New Roman" w:hAnsi="Times New Roman" w:cs="Times New Roman"/>
          <w:sz w:val="24"/>
        </w:rPr>
        <w:t xml:space="preserve"> </w:t>
      </w:r>
      <w:r w:rsidR="00712CF8">
        <w:rPr>
          <w:rFonts w:ascii="Times New Roman" w:hAnsi="Times New Roman" w:cs="Times New Roman"/>
          <w:sz w:val="24"/>
        </w:rPr>
        <w:t>are</w:t>
      </w:r>
      <w:r w:rsidR="00A23B85">
        <w:rPr>
          <w:rFonts w:ascii="Times New Roman" w:hAnsi="Times New Roman" w:cs="Times New Roman"/>
          <w:sz w:val="24"/>
        </w:rPr>
        <w:t xml:space="preserve"> under time pressure to complete the merger within a short time</w:t>
      </w:r>
      <w:r w:rsidR="00712CF8">
        <w:rPr>
          <w:rFonts w:ascii="Times New Roman" w:hAnsi="Times New Roman" w:cs="Times New Roman"/>
          <w:sz w:val="24"/>
        </w:rPr>
        <w:t xml:space="preserve"> span</w:t>
      </w:r>
      <w:r w:rsidR="00A23B85">
        <w:rPr>
          <w:rFonts w:ascii="Times New Roman" w:hAnsi="Times New Roman" w:cs="Times New Roman"/>
          <w:sz w:val="24"/>
        </w:rPr>
        <w:t xml:space="preserve">. Once a target company is identified, SPAC-sponsors must quickly prepare the necessary documentation for shareholder approval. Thereafter, as </w:t>
      </w:r>
      <w:r w:rsidR="0004787F">
        <w:rPr>
          <w:rFonts w:ascii="Times New Roman" w:hAnsi="Times New Roman" w:cs="Times New Roman"/>
          <w:sz w:val="24"/>
        </w:rPr>
        <w:t xml:space="preserve">private company merging with a publicly listed company, the </w:t>
      </w:r>
      <w:r w:rsidR="00A23B85">
        <w:rPr>
          <w:rFonts w:ascii="Times New Roman" w:hAnsi="Times New Roman" w:cs="Times New Roman"/>
          <w:sz w:val="24"/>
        </w:rPr>
        <w:t>target compan</w:t>
      </w:r>
      <w:r w:rsidR="0004787F">
        <w:rPr>
          <w:rFonts w:ascii="Times New Roman" w:hAnsi="Times New Roman" w:cs="Times New Roman"/>
          <w:sz w:val="24"/>
        </w:rPr>
        <w:t xml:space="preserve">y must submit </w:t>
      </w:r>
      <w:r w:rsidR="00EC5AF3">
        <w:rPr>
          <w:rFonts w:ascii="Times New Roman" w:hAnsi="Times New Roman" w:cs="Times New Roman"/>
          <w:sz w:val="24"/>
        </w:rPr>
        <w:t xml:space="preserve">a </w:t>
      </w:r>
      <w:r w:rsidR="0004787F">
        <w:rPr>
          <w:rFonts w:ascii="Times New Roman" w:hAnsi="Times New Roman" w:cs="Times New Roman"/>
          <w:sz w:val="24"/>
        </w:rPr>
        <w:t xml:space="preserve">Form 4 and </w:t>
      </w:r>
      <w:r w:rsidR="00EC5AF3">
        <w:rPr>
          <w:rFonts w:ascii="Times New Roman" w:hAnsi="Times New Roman" w:cs="Times New Roman"/>
          <w:sz w:val="24"/>
        </w:rPr>
        <w:t xml:space="preserve">a </w:t>
      </w:r>
      <w:r w:rsidR="0004787F">
        <w:rPr>
          <w:rFonts w:ascii="Times New Roman" w:hAnsi="Times New Roman" w:cs="Times New Roman"/>
          <w:sz w:val="24"/>
        </w:rPr>
        <w:t xml:space="preserve">Super 8-K, and also meet the filing requirements of a public company in the first year. </w:t>
      </w:r>
      <w:r w:rsidR="00712CF8">
        <w:rPr>
          <w:rFonts w:ascii="Times New Roman" w:hAnsi="Times New Roman" w:cs="Times New Roman"/>
          <w:sz w:val="24"/>
        </w:rPr>
        <w:t>B</w:t>
      </w:r>
      <w:r w:rsidR="0004787F">
        <w:rPr>
          <w:rFonts w:ascii="Times New Roman" w:hAnsi="Times New Roman" w:cs="Times New Roman"/>
          <w:sz w:val="24"/>
        </w:rPr>
        <w:t>y the second year, SPAC-IPOs may not be faced with the same time pressure as the first year. Hence</w:t>
      </w:r>
      <w:r w:rsidR="00A23B85">
        <w:rPr>
          <w:rFonts w:ascii="Times New Roman" w:hAnsi="Times New Roman" w:cs="Times New Roman"/>
          <w:sz w:val="24"/>
        </w:rPr>
        <w:t xml:space="preserve">, we investigate whether the information </w:t>
      </w:r>
      <w:r w:rsidR="00A23B85" w:rsidRPr="009C601C">
        <w:rPr>
          <w:rFonts w:ascii="Times New Roman" w:hAnsi="Times New Roman" w:cs="Times New Roman"/>
          <w:sz w:val="24"/>
        </w:rPr>
        <w:t xml:space="preserve">risk </w:t>
      </w:r>
      <w:r w:rsidR="00284480">
        <w:rPr>
          <w:rFonts w:ascii="Times New Roman" w:hAnsi="Times New Roman" w:cs="Times New Roman"/>
          <w:sz w:val="24"/>
        </w:rPr>
        <w:t xml:space="preserve">remains elevated </w:t>
      </w:r>
      <w:r w:rsidR="00A23B85">
        <w:rPr>
          <w:rFonts w:ascii="Times New Roman" w:hAnsi="Times New Roman" w:cs="Times New Roman"/>
          <w:sz w:val="24"/>
        </w:rPr>
        <w:t>for the post I</w:t>
      </w:r>
      <w:r w:rsidR="00A23B85" w:rsidRPr="009C601C">
        <w:rPr>
          <w:rFonts w:ascii="Times New Roman" w:hAnsi="Times New Roman" w:cs="Times New Roman"/>
          <w:sz w:val="24"/>
        </w:rPr>
        <w:t>PO</w:t>
      </w:r>
      <w:r w:rsidR="00A23B85">
        <w:rPr>
          <w:rFonts w:ascii="Times New Roman" w:hAnsi="Times New Roman" w:cs="Times New Roman"/>
          <w:sz w:val="24"/>
        </w:rPr>
        <w:t>-</w:t>
      </w:r>
      <w:r w:rsidR="00A23B85" w:rsidRPr="009C601C">
        <w:rPr>
          <w:rFonts w:ascii="Times New Roman" w:hAnsi="Times New Roman" w:cs="Times New Roman"/>
          <w:sz w:val="24"/>
        </w:rPr>
        <w:t>year</w:t>
      </w:r>
      <w:r w:rsidR="00A23B85">
        <w:rPr>
          <w:rFonts w:ascii="Times New Roman" w:hAnsi="Times New Roman" w:cs="Times New Roman"/>
          <w:sz w:val="24"/>
        </w:rPr>
        <w:t xml:space="preserve">s (i.e., Years t+1 and t+2). </w:t>
      </w:r>
    </w:p>
    <w:p w14:paraId="55912565" w14:textId="5C75CAE8" w:rsidR="00527D52" w:rsidRDefault="009C601C" w:rsidP="000E3D2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43EEB">
        <w:rPr>
          <w:rFonts w:ascii="Times New Roman" w:hAnsi="Times New Roman" w:cs="Times New Roman"/>
          <w:sz w:val="24"/>
        </w:rPr>
        <w:tab/>
        <w:t xml:space="preserve">Panel A </w:t>
      </w:r>
      <w:r w:rsidR="00D22EC4">
        <w:rPr>
          <w:rFonts w:ascii="Times New Roman" w:hAnsi="Times New Roman" w:cs="Times New Roman"/>
          <w:sz w:val="24"/>
        </w:rPr>
        <w:t xml:space="preserve">of Table 10 </w:t>
      </w:r>
      <w:r w:rsidR="00143EEB">
        <w:rPr>
          <w:rFonts w:ascii="Times New Roman" w:hAnsi="Times New Roman" w:cs="Times New Roman"/>
          <w:sz w:val="24"/>
        </w:rPr>
        <w:t xml:space="preserve">reports the mean values for the </w:t>
      </w:r>
      <w:r w:rsidR="00527D52">
        <w:rPr>
          <w:rFonts w:ascii="Times New Roman" w:hAnsi="Times New Roman" w:cs="Times New Roman"/>
          <w:sz w:val="24"/>
        </w:rPr>
        <w:t xml:space="preserve">following </w:t>
      </w:r>
      <w:r w:rsidR="00BB34EC">
        <w:rPr>
          <w:rFonts w:ascii="Times New Roman" w:hAnsi="Times New Roman" w:cs="Times New Roman"/>
          <w:sz w:val="24"/>
        </w:rPr>
        <w:t>risk factors for SPAC and non-SPAC-IPOs</w:t>
      </w:r>
      <w:r w:rsidR="00527D52">
        <w:rPr>
          <w:rFonts w:ascii="Times New Roman" w:hAnsi="Times New Roman" w:cs="Times New Roman"/>
          <w:sz w:val="24"/>
        </w:rPr>
        <w:t xml:space="preserve">: </w:t>
      </w:r>
      <w:r w:rsidR="00527D52" w:rsidRPr="00527D52">
        <w:rPr>
          <w:rFonts w:ascii="Times New Roman" w:hAnsi="Times New Roman" w:cs="Times New Roman"/>
          <w:i/>
          <w:sz w:val="24"/>
        </w:rPr>
        <w:t>MATERIALWEASKNESS, RESTATE,</w:t>
      </w:r>
      <w:r w:rsidR="00527D52">
        <w:rPr>
          <w:rFonts w:ascii="Times New Roman" w:hAnsi="Times New Roman" w:cs="Times New Roman"/>
          <w:i/>
          <w:sz w:val="24"/>
        </w:rPr>
        <w:t xml:space="preserve"> </w:t>
      </w:r>
      <w:r w:rsidR="00527D52" w:rsidRPr="00527D52">
        <w:rPr>
          <w:rFonts w:ascii="Times New Roman" w:hAnsi="Times New Roman" w:cs="Times New Roman"/>
          <w:i/>
          <w:sz w:val="24"/>
        </w:rPr>
        <w:t xml:space="preserve">RESTATE_ANNOUNCE, NONTIMELY, NONBIG4, HIGHACCRUALS, </w:t>
      </w:r>
      <w:r w:rsidR="00527D52">
        <w:rPr>
          <w:rFonts w:ascii="Times New Roman" w:hAnsi="Times New Roman" w:cs="Times New Roman"/>
          <w:sz w:val="24"/>
        </w:rPr>
        <w:t xml:space="preserve">and </w:t>
      </w:r>
      <w:r w:rsidR="00527D52" w:rsidRPr="00527D52">
        <w:rPr>
          <w:rFonts w:ascii="Times New Roman" w:hAnsi="Times New Roman" w:cs="Times New Roman"/>
          <w:i/>
          <w:sz w:val="24"/>
        </w:rPr>
        <w:t>NONNYSE</w:t>
      </w:r>
      <w:r w:rsidR="00BB34EC">
        <w:rPr>
          <w:rFonts w:ascii="Times New Roman" w:hAnsi="Times New Roman" w:cs="Times New Roman"/>
          <w:sz w:val="24"/>
        </w:rPr>
        <w:t>. For restatements, we include whether: (1) current period financial statements are subsequently restated (</w:t>
      </w:r>
      <w:r w:rsidR="00BB34EC" w:rsidRPr="00BB34EC">
        <w:rPr>
          <w:rFonts w:ascii="Times New Roman" w:hAnsi="Times New Roman" w:cs="Times New Roman"/>
          <w:i/>
          <w:sz w:val="24"/>
        </w:rPr>
        <w:t>RESTATE</w:t>
      </w:r>
      <w:r w:rsidR="00BB34EC">
        <w:rPr>
          <w:rFonts w:ascii="Times New Roman" w:hAnsi="Times New Roman" w:cs="Times New Roman"/>
          <w:sz w:val="24"/>
        </w:rPr>
        <w:t>) and (2) there is a restatement announcement in the current period (</w:t>
      </w:r>
      <w:r w:rsidR="00BB34EC" w:rsidRPr="00BB34EC">
        <w:rPr>
          <w:rFonts w:ascii="Times New Roman" w:hAnsi="Times New Roman" w:cs="Times New Roman"/>
          <w:i/>
          <w:sz w:val="24"/>
        </w:rPr>
        <w:t>RESTATE_ANNOUNCE</w:t>
      </w:r>
      <w:r w:rsidR="00BB34EC">
        <w:rPr>
          <w:rFonts w:ascii="Times New Roman" w:hAnsi="Times New Roman" w:cs="Times New Roman"/>
          <w:sz w:val="24"/>
        </w:rPr>
        <w:t xml:space="preserve">). </w:t>
      </w:r>
      <w:r w:rsidR="00527D52">
        <w:rPr>
          <w:rFonts w:ascii="Times New Roman" w:hAnsi="Times New Roman" w:cs="Times New Roman"/>
          <w:sz w:val="24"/>
        </w:rPr>
        <w:t>Since o</w:t>
      </w:r>
      <w:r w:rsidR="00BB34EC">
        <w:rPr>
          <w:rFonts w:ascii="Times New Roman" w:hAnsi="Times New Roman" w:cs="Times New Roman"/>
          <w:sz w:val="24"/>
        </w:rPr>
        <w:t>ur accruals persistence measure is based on a cross-sectional test</w:t>
      </w:r>
      <w:r w:rsidR="00527D52">
        <w:rPr>
          <w:rFonts w:ascii="Times New Roman" w:hAnsi="Times New Roman" w:cs="Times New Roman"/>
          <w:sz w:val="24"/>
        </w:rPr>
        <w:t xml:space="preserve">, to </w:t>
      </w:r>
      <w:r w:rsidR="007A3E97">
        <w:rPr>
          <w:rFonts w:ascii="Times New Roman" w:hAnsi="Times New Roman" w:cs="Times New Roman"/>
          <w:sz w:val="24"/>
        </w:rPr>
        <w:t xml:space="preserve">assign </w:t>
      </w:r>
      <w:r w:rsidR="00527D52">
        <w:rPr>
          <w:rFonts w:ascii="Times New Roman" w:hAnsi="Times New Roman" w:cs="Times New Roman"/>
          <w:sz w:val="24"/>
        </w:rPr>
        <w:t>firm-specific value</w:t>
      </w:r>
      <w:r w:rsidR="007A3E97">
        <w:rPr>
          <w:rFonts w:ascii="Times New Roman" w:hAnsi="Times New Roman" w:cs="Times New Roman"/>
          <w:sz w:val="24"/>
        </w:rPr>
        <w:t>s</w:t>
      </w:r>
      <w:r w:rsidR="00527D52">
        <w:rPr>
          <w:rFonts w:ascii="Times New Roman" w:hAnsi="Times New Roman" w:cs="Times New Roman"/>
          <w:sz w:val="24"/>
        </w:rPr>
        <w:t xml:space="preserve"> we </w:t>
      </w:r>
      <w:r w:rsidR="00BB34EC">
        <w:rPr>
          <w:rFonts w:ascii="Times New Roman" w:hAnsi="Times New Roman" w:cs="Times New Roman"/>
          <w:sz w:val="24"/>
        </w:rPr>
        <w:t xml:space="preserve">assign </w:t>
      </w:r>
      <w:r w:rsidR="00527D52">
        <w:rPr>
          <w:rFonts w:ascii="Times New Roman" w:hAnsi="Times New Roman" w:cs="Times New Roman"/>
          <w:sz w:val="24"/>
        </w:rPr>
        <w:t xml:space="preserve">a score of one </w:t>
      </w:r>
      <w:r w:rsidR="007A3E97">
        <w:rPr>
          <w:rFonts w:ascii="Times New Roman" w:hAnsi="Times New Roman" w:cs="Times New Roman"/>
          <w:sz w:val="24"/>
        </w:rPr>
        <w:t xml:space="preserve">if </w:t>
      </w:r>
      <w:r w:rsidR="005F4416">
        <w:rPr>
          <w:rFonts w:ascii="Times New Roman" w:hAnsi="Times New Roman" w:cs="Times New Roman"/>
          <w:sz w:val="24"/>
        </w:rPr>
        <w:t xml:space="preserve">the value of </w:t>
      </w:r>
      <w:r w:rsidR="007A3E97" w:rsidRPr="005F4416">
        <w:rPr>
          <w:rFonts w:ascii="Times New Roman" w:hAnsi="Times New Roman" w:cs="Times New Roman"/>
          <w:i/>
          <w:sz w:val="24"/>
        </w:rPr>
        <w:t>ACC</w:t>
      </w:r>
      <w:r w:rsidR="007A3E97">
        <w:rPr>
          <w:rFonts w:ascii="Times New Roman" w:hAnsi="Times New Roman" w:cs="Times New Roman"/>
          <w:sz w:val="24"/>
        </w:rPr>
        <w:t xml:space="preserve"> </w:t>
      </w:r>
      <w:r w:rsidR="00BB34EC">
        <w:rPr>
          <w:rFonts w:ascii="Times New Roman" w:hAnsi="Times New Roman" w:cs="Times New Roman"/>
          <w:sz w:val="24"/>
        </w:rPr>
        <w:t xml:space="preserve">is </w:t>
      </w:r>
      <w:r w:rsidR="007A3E97">
        <w:rPr>
          <w:rFonts w:ascii="Times New Roman" w:hAnsi="Times New Roman" w:cs="Times New Roman"/>
          <w:sz w:val="24"/>
        </w:rPr>
        <w:t xml:space="preserve">greater </w:t>
      </w:r>
      <w:r w:rsidR="00BB34EC">
        <w:rPr>
          <w:rFonts w:ascii="Times New Roman" w:hAnsi="Times New Roman" w:cs="Times New Roman"/>
          <w:sz w:val="24"/>
        </w:rPr>
        <w:t>than the sample median</w:t>
      </w:r>
      <w:r w:rsidR="007A3E97">
        <w:rPr>
          <w:rFonts w:ascii="Times New Roman" w:hAnsi="Times New Roman" w:cs="Times New Roman"/>
          <w:sz w:val="24"/>
        </w:rPr>
        <w:t>, else zero</w:t>
      </w:r>
      <w:r w:rsidR="00BB34EC">
        <w:rPr>
          <w:rFonts w:ascii="Times New Roman" w:hAnsi="Times New Roman" w:cs="Times New Roman"/>
          <w:sz w:val="24"/>
        </w:rPr>
        <w:t xml:space="preserve"> (</w:t>
      </w:r>
      <w:r w:rsidR="00BB34EC" w:rsidRPr="00BB34EC">
        <w:rPr>
          <w:rFonts w:ascii="Times New Roman" w:hAnsi="Times New Roman" w:cs="Times New Roman"/>
          <w:i/>
          <w:sz w:val="24"/>
        </w:rPr>
        <w:t>HIGHACCRUALS</w:t>
      </w:r>
      <w:r w:rsidR="00BB34EC">
        <w:rPr>
          <w:rFonts w:ascii="Times New Roman" w:hAnsi="Times New Roman" w:cs="Times New Roman"/>
          <w:sz w:val="24"/>
        </w:rPr>
        <w:t xml:space="preserve">). </w:t>
      </w:r>
      <w:r w:rsidR="00527D52">
        <w:rPr>
          <w:rFonts w:ascii="Times New Roman" w:hAnsi="Times New Roman" w:cs="Times New Roman"/>
          <w:sz w:val="24"/>
        </w:rPr>
        <w:t xml:space="preserve">We also </w:t>
      </w:r>
      <w:r w:rsidR="007A3E97">
        <w:rPr>
          <w:rFonts w:ascii="Times New Roman" w:hAnsi="Times New Roman" w:cs="Times New Roman"/>
          <w:sz w:val="24"/>
        </w:rPr>
        <w:t xml:space="preserve">report the mean values of the </w:t>
      </w:r>
      <w:r w:rsidR="00527D52">
        <w:rPr>
          <w:rFonts w:ascii="Times New Roman" w:hAnsi="Times New Roman" w:cs="Times New Roman"/>
          <w:sz w:val="24"/>
        </w:rPr>
        <w:t>aggregate risk score (</w:t>
      </w:r>
      <w:r w:rsidR="00527D52" w:rsidRPr="00E20658">
        <w:rPr>
          <w:rFonts w:ascii="Times New Roman" w:hAnsi="Times New Roman" w:cs="Times New Roman"/>
          <w:i/>
          <w:sz w:val="24"/>
        </w:rPr>
        <w:t>RISK</w:t>
      </w:r>
      <w:r w:rsidR="00527D52">
        <w:rPr>
          <w:rFonts w:ascii="Times New Roman" w:hAnsi="Times New Roman" w:cs="Times New Roman"/>
          <w:sz w:val="24"/>
        </w:rPr>
        <w:t>).</w:t>
      </w:r>
    </w:p>
    <w:p w14:paraId="22EDCC32" w14:textId="4334B2F3" w:rsidR="009C601C" w:rsidRPr="00BB34EC" w:rsidRDefault="00BB34EC" w:rsidP="000E3D2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Other than </w:t>
      </w:r>
      <w:r w:rsidRPr="00BB34EC">
        <w:rPr>
          <w:rFonts w:ascii="Times New Roman" w:hAnsi="Times New Roman" w:cs="Times New Roman"/>
          <w:i/>
          <w:sz w:val="24"/>
        </w:rPr>
        <w:t>HIGHACCRUALS</w:t>
      </w:r>
      <w:r>
        <w:rPr>
          <w:rFonts w:ascii="Times New Roman" w:hAnsi="Times New Roman" w:cs="Times New Roman"/>
          <w:i/>
          <w:sz w:val="24"/>
        </w:rPr>
        <w:t xml:space="preserve">, </w:t>
      </w:r>
      <w:r>
        <w:rPr>
          <w:rFonts w:ascii="Times New Roman" w:hAnsi="Times New Roman" w:cs="Times New Roman"/>
          <w:sz w:val="24"/>
        </w:rPr>
        <w:t>all the other risk factors are statistically different between SPAC-IPOs and non-SPAC-IPOs</w:t>
      </w:r>
      <w:r w:rsidR="00B851DE">
        <w:rPr>
          <w:rFonts w:ascii="Times New Roman" w:hAnsi="Times New Roman" w:cs="Times New Roman"/>
          <w:sz w:val="24"/>
        </w:rPr>
        <w:t xml:space="preserve"> for the Years t+1 and t+2</w:t>
      </w:r>
      <w:r>
        <w:rPr>
          <w:rFonts w:ascii="Times New Roman" w:hAnsi="Times New Roman" w:cs="Times New Roman"/>
          <w:sz w:val="24"/>
        </w:rPr>
        <w:t xml:space="preserve">. </w:t>
      </w:r>
      <w:r w:rsidR="00E20658">
        <w:rPr>
          <w:rFonts w:ascii="Times New Roman" w:hAnsi="Times New Roman" w:cs="Times New Roman"/>
          <w:sz w:val="24"/>
        </w:rPr>
        <w:t xml:space="preserve">The mean value </w:t>
      </w:r>
      <w:r w:rsidR="000E3D26">
        <w:rPr>
          <w:rFonts w:ascii="Times New Roman" w:hAnsi="Times New Roman" w:cs="Times New Roman"/>
          <w:sz w:val="24"/>
        </w:rPr>
        <w:t xml:space="preserve">of </w:t>
      </w:r>
      <w:r w:rsidR="000E3D26" w:rsidRPr="000E3D26">
        <w:rPr>
          <w:rFonts w:ascii="Times New Roman" w:hAnsi="Times New Roman" w:cs="Times New Roman"/>
          <w:i/>
          <w:sz w:val="24"/>
        </w:rPr>
        <w:t>RISK</w:t>
      </w:r>
      <w:r w:rsidR="000E3D26">
        <w:rPr>
          <w:rFonts w:ascii="Times New Roman" w:hAnsi="Times New Roman" w:cs="Times New Roman"/>
          <w:sz w:val="24"/>
        </w:rPr>
        <w:t xml:space="preserve"> </w:t>
      </w:r>
      <w:r w:rsidR="00E20658">
        <w:rPr>
          <w:rFonts w:ascii="Times New Roman" w:hAnsi="Times New Roman" w:cs="Times New Roman"/>
          <w:sz w:val="24"/>
        </w:rPr>
        <w:t xml:space="preserve">for SPAC-IPO (non-SPAC-IPO) in Year t is </w:t>
      </w:r>
      <w:r w:rsidR="007A3E97">
        <w:rPr>
          <w:rFonts w:ascii="Times New Roman" w:hAnsi="Times New Roman" w:cs="Times New Roman"/>
          <w:sz w:val="24"/>
        </w:rPr>
        <w:t>2</w:t>
      </w:r>
      <w:r w:rsidR="00E20658">
        <w:rPr>
          <w:rFonts w:ascii="Times New Roman" w:hAnsi="Times New Roman" w:cs="Times New Roman"/>
          <w:sz w:val="24"/>
        </w:rPr>
        <w:t>.</w:t>
      </w:r>
      <w:r w:rsidR="007A3E97">
        <w:rPr>
          <w:rFonts w:ascii="Times New Roman" w:hAnsi="Times New Roman" w:cs="Times New Roman"/>
          <w:sz w:val="24"/>
        </w:rPr>
        <w:t>67</w:t>
      </w:r>
      <w:r w:rsidR="00E20658">
        <w:rPr>
          <w:rFonts w:ascii="Times New Roman" w:hAnsi="Times New Roman" w:cs="Times New Roman"/>
          <w:sz w:val="24"/>
        </w:rPr>
        <w:t xml:space="preserve"> (</w:t>
      </w:r>
      <w:r w:rsidR="007A3E97">
        <w:rPr>
          <w:rFonts w:ascii="Times New Roman" w:hAnsi="Times New Roman" w:cs="Times New Roman"/>
          <w:sz w:val="24"/>
        </w:rPr>
        <w:t>1</w:t>
      </w:r>
      <w:r w:rsidR="00E20658">
        <w:rPr>
          <w:rFonts w:ascii="Times New Roman" w:hAnsi="Times New Roman" w:cs="Times New Roman"/>
          <w:sz w:val="24"/>
        </w:rPr>
        <w:t>.</w:t>
      </w:r>
      <w:r w:rsidR="007A3E97">
        <w:rPr>
          <w:rFonts w:ascii="Times New Roman" w:hAnsi="Times New Roman" w:cs="Times New Roman"/>
          <w:sz w:val="24"/>
        </w:rPr>
        <w:t>56</w:t>
      </w:r>
      <w:r w:rsidR="00E20658">
        <w:rPr>
          <w:rFonts w:ascii="Times New Roman" w:hAnsi="Times New Roman" w:cs="Times New Roman"/>
          <w:sz w:val="24"/>
        </w:rPr>
        <w:t xml:space="preserve">). Thus, for the IPO-year, </w:t>
      </w:r>
      <w:r w:rsidR="00284480" w:rsidRPr="000E3D26">
        <w:rPr>
          <w:rFonts w:ascii="Times New Roman" w:hAnsi="Times New Roman" w:cs="Times New Roman"/>
          <w:i/>
          <w:sz w:val="24"/>
        </w:rPr>
        <w:t>RISK</w:t>
      </w:r>
      <w:r w:rsidR="00284480">
        <w:rPr>
          <w:rFonts w:ascii="Times New Roman" w:hAnsi="Times New Roman" w:cs="Times New Roman"/>
          <w:sz w:val="24"/>
        </w:rPr>
        <w:t xml:space="preserve"> </w:t>
      </w:r>
      <w:r w:rsidR="00E20658">
        <w:rPr>
          <w:rFonts w:ascii="Times New Roman" w:hAnsi="Times New Roman" w:cs="Times New Roman"/>
          <w:sz w:val="24"/>
        </w:rPr>
        <w:t xml:space="preserve">is </w:t>
      </w:r>
      <w:r w:rsidR="007A3E97">
        <w:rPr>
          <w:rFonts w:ascii="Times New Roman" w:hAnsi="Times New Roman" w:cs="Times New Roman"/>
          <w:sz w:val="24"/>
        </w:rPr>
        <w:t>71</w:t>
      </w:r>
      <w:r w:rsidR="00E20658">
        <w:rPr>
          <w:rFonts w:ascii="Times New Roman" w:hAnsi="Times New Roman" w:cs="Times New Roman"/>
          <w:sz w:val="24"/>
        </w:rPr>
        <w:t>% higher for SPAC-IPOs than for non-SPAC-IPO</w:t>
      </w:r>
      <w:r w:rsidR="004E5BED">
        <w:rPr>
          <w:rFonts w:ascii="Times New Roman" w:hAnsi="Times New Roman" w:cs="Times New Roman"/>
          <w:sz w:val="24"/>
        </w:rPr>
        <w:t>s</w:t>
      </w:r>
      <w:r w:rsidR="00E20658">
        <w:rPr>
          <w:rFonts w:ascii="Times New Roman" w:hAnsi="Times New Roman" w:cs="Times New Roman"/>
          <w:sz w:val="24"/>
        </w:rPr>
        <w:t>.</w:t>
      </w:r>
      <w:r w:rsidR="0045275C">
        <w:rPr>
          <w:rFonts w:ascii="Times New Roman" w:hAnsi="Times New Roman" w:cs="Times New Roman"/>
          <w:sz w:val="24"/>
        </w:rPr>
        <w:t xml:space="preserve"> </w:t>
      </w:r>
      <w:r w:rsidR="005F4416">
        <w:rPr>
          <w:rFonts w:ascii="Times New Roman" w:hAnsi="Times New Roman" w:cs="Times New Roman"/>
          <w:sz w:val="24"/>
        </w:rPr>
        <w:t>F</w:t>
      </w:r>
      <w:r w:rsidR="0045275C">
        <w:rPr>
          <w:rFonts w:ascii="Times New Roman" w:hAnsi="Times New Roman" w:cs="Times New Roman"/>
          <w:sz w:val="24"/>
        </w:rPr>
        <w:t xml:space="preserve">or the Year t+1 (t+2), the risk score is </w:t>
      </w:r>
      <w:r w:rsidR="007A3E97">
        <w:rPr>
          <w:rFonts w:ascii="Times New Roman" w:hAnsi="Times New Roman" w:cs="Times New Roman"/>
          <w:sz w:val="24"/>
        </w:rPr>
        <w:t>77</w:t>
      </w:r>
      <w:r w:rsidR="0045275C">
        <w:rPr>
          <w:rFonts w:ascii="Times New Roman" w:hAnsi="Times New Roman" w:cs="Times New Roman"/>
          <w:sz w:val="24"/>
        </w:rPr>
        <w:t>% (</w:t>
      </w:r>
      <w:r w:rsidR="007A3E97">
        <w:rPr>
          <w:rFonts w:ascii="Times New Roman" w:hAnsi="Times New Roman" w:cs="Times New Roman"/>
          <w:sz w:val="24"/>
        </w:rPr>
        <w:t>82</w:t>
      </w:r>
      <w:r w:rsidR="0045275C">
        <w:rPr>
          <w:rFonts w:ascii="Times New Roman" w:hAnsi="Times New Roman" w:cs="Times New Roman"/>
          <w:sz w:val="24"/>
        </w:rPr>
        <w:t>%) higher for SPAC-IPOs than for non-SPAC-IPO</w:t>
      </w:r>
      <w:r w:rsidR="004E5BED">
        <w:rPr>
          <w:rFonts w:ascii="Times New Roman" w:hAnsi="Times New Roman" w:cs="Times New Roman"/>
          <w:sz w:val="24"/>
        </w:rPr>
        <w:t>s</w:t>
      </w:r>
      <w:r w:rsidR="0045275C">
        <w:rPr>
          <w:rFonts w:ascii="Times New Roman" w:hAnsi="Times New Roman" w:cs="Times New Roman"/>
          <w:sz w:val="24"/>
        </w:rPr>
        <w:t xml:space="preserve">. </w:t>
      </w:r>
      <w:r w:rsidR="007A3E97">
        <w:rPr>
          <w:rFonts w:ascii="Times New Roman" w:hAnsi="Times New Roman" w:cs="Times New Roman"/>
          <w:sz w:val="24"/>
        </w:rPr>
        <w:t>Th</w:t>
      </w:r>
      <w:r w:rsidR="00284480">
        <w:rPr>
          <w:rFonts w:ascii="Times New Roman" w:hAnsi="Times New Roman" w:cs="Times New Roman"/>
          <w:sz w:val="24"/>
        </w:rPr>
        <w:t xml:space="preserve">us, </w:t>
      </w:r>
      <w:r w:rsidR="007A3E97">
        <w:rPr>
          <w:rFonts w:ascii="Times New Roman" w:hAnsi="Times New Roman" w:cs="Times New Roman"/>
          <w:sz w:val="24"/>
        </w:rPr>
        <w:t>the information risk for the SPAC-IPO increase</w:t>
      </w:r>
      <w:r w:rsidR="005F4416">
        <w:rPr>
          <w:rFonts w:ascii="Times New Roman" w:hAnsi="Times New Roman" w:cs="Times New Roman"/>
          <w:sz w:val="24"/>
        </w:rPr>
        <w:t>s</w:t>
      </w:r>
      <w:r w:rsidR="007A3E97">
        <w:rPr>
          <w:rFonts w:ascii="Times New Roman" w:hAnsi="Times New Roman" w:cs="Times New Roman"/>
          <w:sz w:val="24"/>
        </w:rPr>
        <w:t xml:space="preserve"> monotonically</w:t>
      </w:r>
      <w:r w:rsidR="00284480">
        <w:rPr>
          <w:rFonts w:ascii="Times New Roman" w:hAnsi="Times New Roman" w:cs="Times New Roman"/>
          <w:sz w:val="24"/>
        </w:rPr>
        <w:t xml:space="preserve"> </w:t>
      </w:r>
      <w:r w:rsidR="007A3E97">
        <w:rPr>
          <w:rFonts w:ascii="Times New Roman" w:hAnsi="Times New Roman" w:cs="Times New Roman"/>
          <w:sz w:val="24"/>
        </w:rPr>
        <w:t>over the three years subsequent to the de-SPAC transaction</w:t>
      </w:r>
      <w:r w:rsidR="005F4416">
        <w:rPr>
          <w:rFonts w:ascii="Times New Roman" w:hAnsi="Times New Roman" w:cs="Times New Roman"/>
          <w:sz w:val="24"/>
        </w:rPr>
        <w:t>s</w:t>
      </w:r>
      <w:r w:rsidR="007A3E97">
        <w:rPr>
          <w:rFonts w:ascii="Times New Roman" w:hAnsi="Times New Roman" w:cs="Times New Roman"/>
          <w:sz w:val="24"/>
        </w:rPr>
        <w:t xml:space="preserve">. </w:t>
      </w:r>
      <w:r w:rsidR="00E20658">
        <w:rPr>
          <w:rFonts w:ascii="Times New Roman" w:hAnsi="Times New Roman" w:cs="Times New Roman"/>
          <w:sz w:val="24"/>
        </w:rPr>
        <w:t xml:space="preserve"> </w:t>
      </w:r>
      <w:r w:rsidR="00284480">
        <w:rPr>
          <w:rFonts w:ascii="Times New Roman" w:hAnsi="Times New Roman" w:cs="Times New Roman"/>
          <w:sz w:val="24"/>
        </w:rPr>
        <w:t xml:space="preserve"> </w:t>
      </w:r>
    </w:p>
    <w:p w14:paraId="1AAAF261" w14:textId="6B7D774B" w:rsidR="00143EEB" w:rsidRPr="009C601C" w:rsidRDefault="00E20658" w:rsidP="00B97BAD">
      <w:pPr>
        <w:spacing w:after="0" w:line="480" w:lineRule="auto"/>
        <w:jc w:val="both"/>
        <w:rPr>
          <w:rFonts w:ascii="Times New Roman" w:hAnsi="Times New Roman" w:cs="Times New Roman"/>
          <w:sz w:val="24"/>
        </w:rPr>
      </w:pPr>
      <w:r>
        <w:rPr>
          <w:rFonts w:ascii="Times New Roman" w:hAnsi="Times New Roman" w:cs="Times New Roman"/>
          <w:sz w:val="24"/>
        </w:rPr>
        <w:tab/>
        <w:t xml:space="preserve">In Panel B, we examine the differences in the individual risk factors for Years t+1 and t+2 after controlling for other firm characteristics and find </w:t>
      </w:r>
      <w:r w:rsidR="0045275C">
        <w:rPr>
          <w:rFonts w:ascii="Times New Roman" w:hAnsi="Times New Roman" w:cs="Times New Roman"/>
          <w:sz w:val="24"/>
        </w:rPr>
        <w:t xml:space="preserve">results </w:t>
      </w:r>
      <w:r>
        <w:rPr>
          <w:rFonts w:ascii="Times New Roman" w:hAnsi="Times New Roman" w:cs="Times New Roman"/>
          <w:sz w:val="24"/>
        </w:rPr>
        <w:t xml:space="preserve">consistent </w:t>
      </w:r>
      <w:r w:rsidR="0045275C">
        <w:rPr>
          <w:rFonts w:ascii="Times New Roman" w:hAnsi="Times New Roman" w:cs="Times New Roman"/>
          <w:sz w:val="24"/>
        </w:rPr>
        <w:t>with those in Panel A</w:t>
      </w:r>
      <w:r>
        <w:rPr>
          <w:rFonts w:ascii="Times New Roman" w:hAnsi="Times New Roman" w:cs="Times New Roman"/>
          <w:sz w:val="24"/>
        </w:rPr>
        <w:t xml:space="preserve">. Overall, the results from Table </w:t>
      </w:r>
      <w:r w:rsidR="00796066">
        <w:rPr>
          <w:rFonts w:ascii="Times New Roman" w:hAnsi="Times New Roman" w:cs="Times New Roman"/>
          <w:sz w:val="24"/>
        </w:rPr>
        <w:t>10</w:t>
      </w:r>
      <w:r>
        <w:rPr>
          <w:rFonts w:ascii="Times New Roman" w:hAnsi="Times New Roman" w:cs="Times New Roman"/>
          <w:sz w:val="24"/>
        </w:rPr>
        <w:t xml:space="preserve"> indicate that the information risk of SPAC-IPOs remains </w:t>
      </w:r>
      <w:r w:rsidR="00284480">
        <w:rPr>
          <w:rFonts w:ascii="Times New Roman" w:hAnsi="Times New Roman" w:cs="Times New Roman"/>
          <w:sz w:val="24"/>
        </w:rPr>
        <w:t>high</w:t>
      </w:r>
      <w:r>
        <w:rPr>
          <w:rFonts w:ascii="Times New Roman" w:hAnsi="Times New Roman" w:cs="Times New Roman"/>
          <w:sz w:val="24"/>
        </w:rPr>
        <w:t xml:space="preserve"> for the post-IPO years.   </w:t>
      </w:r>
    </w:p>
    <w:p w14:paraId="2AB0F161" w14:textId="1CA293C5" w:rsidR="008E7547" w:rsidRPr="003D1DF9" w:rsidRDefault="008E7547" w:rsidP="0032006A">
      <w:pPr>
        <w:spacing w:after="0" w:line="480" w:lineRule="auto"/>
        <w:jc w:val="both"/>
        <w:rPr>
          <w:rFonts w:ascii="Times New Roman" w:hAnsi="Times New Roman" w:cs="Times New Roman"/>
          <w:b/>
          <w:i/>
          <w:sz w:val="24"/>
          <w:szCs w:val="24"/>
        </w:rPr>
      </w:pPr>
      <w:r w:rsidRPr="003D1DF9">
        <w:rPr>
          <w:rFonts w:ascii="Times New Roman" w:hAnsi="Times New Roman" w:cs="Times New Roman"/>
          <w:b/>
          <w:i/>
          <w:sz w:val="24"/>
          <w:szCs w:val="24"/>
        </w:rPr>
        <w:t>6.</w:t>
      </w:r>
      <w:r w:rsidR="003D1DF9" w:rsidRPr="003D1DF9">
        <w:rPr>
          <w:rFonts w:ascii="Times New Roman" w:hAnsi="Times New Roman" w:cs="Times New Roman"/>
          <w:b/>
          <w:i/>
          <w:sz w:val="24"/>
          <w:szCs w:val="24"/>
        </w:rPr>
        <w:t>3</w:t>
      </w:r>
      <w:r w:rsidRPr="003D1DF9">
        <w:rPr>
          <w:rFonts w:ascii="Times New Roman" w:hAnsi="Times New Roman" w:cs="Times New Roman"/>
          <w:b/>
          <w:i/>
          <w:sz w:val="24"/>
          <w:szCs w:val="24"/>
        </w:rPr>
        <w:t>.</w:t>
      </w:r>
      <w:r w:rsidRPr="003D1DF9">
        <w:rPr>
          <w:rFonts w:ascii="Times New Roman" w:hAnsi="Times New Roman" w:cs="Times New Roman"/>
          <w:b/>
          <w:i/>
          <w:sz w:val="24"/>
          <w:szCs w:val="24"/>
        </w:rPr>
        <w:tab/>
        <w:t xml:space="preserve">Information Risk </w:t>
      </w:r>
      <w:r w:rsidR="00B65EA2">
        <w:rPr>
          <w:rFonts w:ascii="Times New Roman" w:hAnsi="Times New Roman" w:cs="Times New Roman"/>
          <w:b/>
          <w:i/>
          <w:sz w:val="24"/>
          <w:szCs w:val="24"/>
        </w:rPr>
        <w:t xml:space="preserve">Metric </w:t>
      </w:r>
      <w:r w:rsidRPr="003D1DF9">
        <w:rPr>
          <w:rFonts w:ascii="Times New Roman" w:hAnsi="Times New Roman" w:cs="Times New Roman"/>
          <w:b/>
          <w:i/>
          <w:sz w:val="24"/>
          <w:szCs w:val="24"/>
        </w:rPr>
        <w:t xml:space="preserve">and </w:t>
      </w:r>
      <w:r w:rsidR="00280807" w:rsidRPr="003D1DF9">
        <w:rPr>
          <w:rFonts w:ascii="Times New Roman" w:hAnsi="Times New Roman" w:cs="Times New Roman"/>
          <w:b/>
          <w:i/>
          <w:sz w:val="24"/>
          <w:szCs w:val="24"/>
        </w:rPr>
        <w:t xml:space="preserve">SPAC-IPO </w:t>
      </w:r>
      <w:r w:rsidRPr="003D1DF9">
        <w:rPr>
          <w:rFonts w:ascii="Times New Roman" w:hAnsi="Times New Roman" w:cs="Times New Roman"/>
          <w:b/>
          <w:i/>
          <w:sz w:val="24"/>
          <w:szCs w:val="24"/>
        </w:rPr>
        <w:t>Return</w:t>
      </w:r>
      <w:r w:rsidR="004E5BED">
        <w:rPr>
          <w:rFonts w:ascii="Times New Roman" w:hAnsi="Times New Roman" w:cs="Times New Roman"/>
          <w:b/>
          <w:i/>
          <w:sz w:val="24"/>
          <w:szCs w:val="24"/>
        </w:rPr>
        <w:t>s</w:t>
      </w:r>
    </w:p>
    <w:p w14:paraId="27857BCB" w14:textId="4FFC001C" w:rsidR="00193EBD" w:rsidRDefault="00B50AC8" w:rsidP="0032006A">
      <w:pPr>
        <w:spacing w:after="0" w:line="480" w:lineRule="auto"/>
        <w:jc w:val="both"/>
        <w:rPr>
          <w:rFonts w:ascii="Times New Roman" w:hAnsi="Times New Roman" w:cs="Times New Roman"/>
          <w:sz w:val="24"/>
          <w:szCs w:val="24"/>
        </w:rPr>
      </w:pPr>
      <w:r w:rsidRPr="00193EBD">
        <w:rPr>
          <w:rFonts w:ascii="Times New Roman" w:hAnsi="Times New Roman" w:cs="Times New Roman"/>
          <w:sz w:val="24"/>
          <w:szCs w:val="24"/>
        </w:rPr>
        <w:tab/>
        <w:t xml:space="preserve">Gahng et al. (2021) find that SPAC-IPOs underperform following their merger with publicly traded SPACs. We first replicate their findings </w:t>
      </w:r>
      <w:r w:rsidR="00C8374B">
        <w:rPr>
          <w:rFonts w:ascii="Times New Roman" w:hAnsi="Times New Roman" w:cs="Times New Roman"/>
          <w:sz w:val="24"/>
          <w:szCs w:val="24"/>
        </w:rPr>
        <w:t xml:space="preserve">using </w:t>
      </w:r>
      <w:r w:rsidRPr="00193EBD">
        <w:rPr>
          <w:rFonts w:ascii="Times New Roman" w:hAnsi="Times New Roman" w:cs="Times New Roman"/>
          <w:sz w:val="24"/>
          <w:szCs w:val="24"/>
        </w:rPr>
        <w:t>our sample of SPAC-IPOs</w:t>
      </w:r>
      <w:r w:rsidR="00193EBD">
        <w:rPr>
          <w:rFonts w:ascii="Times New Roman" w:hAnsi="Times New Roman" w:cs="Times New Roman"/>
          <w:sz w:val="24"/>
          <w:szCs w:val="24"/>
        </w:rPr>
        <w:t xml:space="preserve"> in Table 1</w:t>
      </w:r>
      <w:r w:rsidR="00796066">
        <w:rPr>
          <w:rFonts w:ascii="Times New Roman" w:hAnsi="Times New Roman" w:cs="Times New Roman"/>
          <w:sz w:val="24"/>
          <w:szCs w:val="24"/>
        </w:rPr>
        <w:t>1</w:t>
      </w:r>
      <w:r w:rsidRPr="00193EBD">
        <w:rPr>
          <w:rFonts w:ascii="Times New Roman" w:hAnsi="Times New Roman" w:cs="Times New Roman"/>
          <w:sz w:val="24"/>
          <w:szCs w:val="24"/>
        </w:rPr>
        <w:t xml:space="preserve">. Similar to Gahng et al. (2021), we compute one-year, two-year, and three-year buy-and-hold SPAC-IPO </w:t>
      </w:r>
      <w:r w:rsidR="00C8374B">
        <w:rPr>
          <w:rFonts w:ascii="Times New Roman" w:hAnsi="Times New Roman" w:cs="Times New Roman"/>
          <w:sz w:val="24"/>
          <w:szCs w:val="24"/>
        </w:rPr>
        <w:t>r</w:t>
      </w:r>
      <w:r w:rsidR="00C8374B" w:rsidRPr="00193EBD">
        <w:rPr>
          <w:rFonts w:ascii="Times New Roman" w:hAnsi="Times New Roman" w:cs="Times New Roman"/>
          <w:sz w:val="24"/>
          <w:szCs w:val="24"/>
        </w:rPr>
        <w:t>eturn</w:t>
      </w:r>
      <w:r w:rsidR="009B6F16">
        <w:rPr>
          <w:rFonts w:ascii="Times New Roman" w:hAnsi="Times New Roman" w:cs="Times New Roman"/>
          <w:sz w:val="24"/>
          <w:szCs w:val="24"/>
        </w:rPr>
        <w:t>s</w:t>
      </w:r>
      <w:r w:rsidR="00C8374B" w:rsidRPr="00193EBD">
        <w:rPr>
          <w:rFonts w:ascii="Times New Roman" w:hAnsi="Times New Roman" w:cs="Times New Roman"/>
          <w:sz w:val="24"/>
          <w:szCs w:val="24"/>
        </w:rPr>
        <w:t xml:space="preserve"> </w:t>
      </w:r>
      <w:r w:rsidR="00C8374B">
        <w:rPr>
          <w:rFonts w:ascii="Times New Roman" w:hAnsi="Times New Roman" w:cs="Times New Roman"/>
          <w:sz w:val="24"/>
          <w:szCs w:val="24"/>
        </w:rPr>
        <w:t xml:space="preserve">starting </w:t>
      </w:r>
      <w:r w:rsidRPr="00193EBD">
        <w:rPr>
          <w:rFonts w:ascii="Times New Roman" w:hAnsi="Times New Roman" w:cs="Times New Roman"/>
          <w:sz w:val="24"/>
          <w:szCs w:val="24"/>
        </w:rPr>
        <w:t xml:space="preserve">from the deal closing date. We find that the raw </w:t>
      </w:r>
      <w:r w:rsidR="00C8374B">
        <w:rPr>
          <w:rFonts w:ascii="Times New Roman" w:hAnsi="Times New Roman" w:cs="Times New Roman"/>
          <w:sz w:val="24"/>
          <w:szCs w:val="24"/>
        </w:rPr>
        <w:t xml:space="preserve">SPAC-IPO </w:t>
      </w:r>
      <w:r w:rsidRPr="00193EBD">
        <w:rPr>
          <w:rFonts w:ascii="Times New Roman" w:hAnsi="Times New Roman" w:cs="Times New Roman"/>
          <w:sz w:val="24"/>
          <w:szCs w:val="24"/>
        </w:rPr>
        <w:t xml:space="preserve">(CRSP equally weighted market-adjusted) return is -13.50% (-37.42%) for the one-year period, is </w:t>
      </w:r>
      <w:r w:rsidR="00193EBD" w:rsidRPr="00193EBD">
        <w:rPr>
          <w:rFonts w:ascii="Times New Roman" w:hAnsi="Times New Roman" w:cs="Times New Roman"/>
          <w:sz w:val="24"/>
          <w:szCs w:val="24"/>
        </w:rPr>
        <w:t xml:space="preserve">-13.87% (-46.27%) for the two-year period, and </w:t>
      </w:r>
      <w:r w:rsidR="00C8374B">
        <w:rPr>
          <w:rFonts w:ascii="Times New Roman" w:hAnsi="Times New Roman" w:cs="Times New Roman"/>
          <w:sz w:val="24"/>
          <w:szCs w:val="24"/>
        </w:rPr>
        <w:t xml:space="preserve">is </w:t>
      </w:r>
      <w:r w:rsidR="00193EBD" w:rsidRPr="00193EBD">
        <w:rPr>
          <w:rFonts w:ascii="Times New Roman" w:hAnsi="Times New Roman" w:cs="Times New Roman"/>
          <w:sz w:val="24"/>
          <w:szCs w:val="24"/>
        </w:rPr>
        <w:t>-24.31% (-63.63%) for the three-year period</w:t>
      </w:r>
      <w:r w:rsidR="00193EBD">
        <w:rPr>
          <w:rFonts w:ascii="Times New Roman" w:hAnsi="Times New Roman" w:cs="Times New Roman"/>
          <w:sz w:val="24"/>
          <w:szCs w:val="24"/>
        </w:rPr>
        <w:t xml:space="preserve"> (Panel A)</w:t>
      </w:r>
      <w:r w:rsidR="00193EBD" w:rsidRPr="00193EBD">
        <w:rPr>
          <w:rFonts w:ascii="Times New Roman" w:hAnsi="Times New Roman" w:cs="Times New Roman"/>
          <w:sz w:val="24"/>
          <w:szCs w:val="24"/>
        </w:rPr>
        <w:t>.</w:t>
      </w:r>
      <w:r w:rsidR="0045275C">
        <w:rPr>
          <w:rFonts w:ascii="Times New Roman" w:hAnsi="Times New Roman" w:cs="Times New Roman"/>
          <w:sz w:val="24"/>
          <w:szCs w:val="24"/>
        </w:rPr>
        <w:t xml:space="preserve"> As in their study, we find that SPAC-IPO stocks underperform</w:t>
      </w:r>
      <w:r w:rsidR="00193EBD">
        <w:rPr>
          <w:rFonts w:ascii="Times New Roman" w:hAnsi="Times New Roman" w:cs="Times New Roman"/>
          <w:sz w:val="24"/>
          <w:szCs w:val="24"/>
        </w:rPr>
        <w:t xml:space="preserve"> </w:t>
      </w:r>
      <w:r w:rsidR="0045275C">
        <w:rPr>
          <w:rFonts w:ascii="Times New Roman" w:hAnsi="Times New Roman" w:cs="Times New Roman"/>
          <w:sz w:val="24"/>
          <w:szCs w:val="24"/>
        </w:rPr>
        <w:t>relative to the market and that th</w:t>
      </w:r>
      <w:r w:rsidR="00785902">
        <w:rPr>
          <w:rFonts w:ascii="Times New Roman" w:hAnsi="Times New Roman" w:cs="Times New Roman"/>
          <w:sz w:val="24"/>
          <w:szCs w:val="24"/>
        </w:rPr>
        <w:t xml:space="preserve">e magnitude of this </w:t>
      </w:r>
      <w:r w:rsidR="0045275C">
        <w:rPr>
          <w:rFonts w:ascii="Times New Roman" w:hAnsi="Times New Roman" w:cs="Times New Roman"/>
          <w:sz w:val="24"/>
          <w:szCs w:val="24"/>
        </w:rPr>
        <w:t>underperformance</w:t>
      </w:r>
      <w:r w:rsidR="00785902">
        <w:rPr>
          <w:rFonts w:ascii="Times New Roman" w:hAnsi="Times New Roman" w:cs="Times New Roman"/>
          <w:sz w:val="24"/>
          <w:szCs w:val="24"/>
        </w:rPr>
        <w:t xml:space="preserve"> becomes larger over time.</w:t>
      </w:r>
      <w:r w:rsidR="0045275C">
        <w:rPr>
          <w:rFonts w:ascii="Times New Roman" w:hAnsi="Times New Roman" w:cs="Times New Roman"/>
          <w:sz w:val="24"/>
          <w:szCs w:val="24"/>
        </w:rPr>
        <w:t xml:space="preserve"> </w:t>
      </w:r>
    </w:p>
    <w:p w14:paraId="442B0CE8" w14:textId="16FE2A69" w:rsidR="008E7547" w:rsidRPr="00193EBD" w:rsidRDefault="00193EBD" w:rsidP="003200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Panel B, we compute </w:t>
      </w:r>
      <w:r w:rsidR="005900EF">
        <w:rPr>
          <w:rFonts w:ascii="Times New Roman" w:hAnsi="Times New Roman" w:cs="Times New Roman"/>
          <w:sz w:val="24"/>
          <w:szCs w:val="24"/>
        </w:rPr>
        <w:t xml:space="preserve">risk-adjusted </w:t>
      </w:r>
      <w:r>
        <w:rPr>
          <w:rFonts w:ascii="Times New Roman" w:hAnsi="Times New Roman" w:cs="Times New Roman"/>
          <w:sz w:val="24"/>
          <w:szCs w:val="24"/>
        </w:rPr>
        <w:t>SPAC</w:t>
      </w:r>
      <w:r w:rsidR="00123E60">
        <w:rPr>
          <w:rFonts w:ascii="Times New Roman" w:hAnsi="Times New Roman" w:cs="Times New Roman"/>
          <w:sz w:val="24"/>
          <w:szCs w:val="24"/>
        </w:rPr>
        <w:t>-IPO</w:t>
      </w:r>
      <w:r>
        <w:rPr>
          <w:rFonts w:ascii="Times New Roman" w:hAnsi="Times New Roman" w:cs="Times New Roman"/>
          <w:sz w:val="24"/>
          <w:szCs w:val="24"/>
        </w:rPr>
        <w:t xml:space="preserve"> </w:t>
      </w:r>
      <w:r w:rsidR="005900EF">
        <w:rPr>
          <w:rFonts w:ascii="Times New Roman" w:hAnsi="Times New Roman" w:cs="Times New Roman"/>
          <w:sz w:val="24"/>
          <w:szCs w:val="24"/>
        </w:rPr>
        <w:t xml:space="preserve">portfolio </w:t>
      </w:r>
      <w:r>
        <w:rPr>
          <w:rFonts w:ascii="Times New Roman" w:hAnsi="Times New Roman" w:cs="Times New Roman"/>
          <w:sz w:val="24"/>
          <w:szCs w:val="24"/>
        </w:rPr>
        <w:t>return</w:t>
      </w:r>
      <w:r w:rsidR="005900EF">
        <w:rPr>
          <w:rFonts w:ascii="Times New Roman" w:hAnsi="Times New Roman" w:cs="Times New Roman"/>
          <w:sz w:val="24"/>
          <w:szCs w:val="24"/>
        </w:rPr>
        <w:t>s</w:t>
      </w:r>
      <w:r>
        <w:rPr>
          <w:rFonts w:ascii="Times New Roman" w:hAnsi="Times New Roman" w:cs="Times New Roman"/>
          <w:sz w:val="24"/>
          <w:szCs w:val="24"/>
        </w:rPr>
        <w:t xml:space="preserve"> based on the Fama-French three-factor model. We form portfolios in the calendar month by adding firms to the portfolio following </w:t>
      </w:r>
      <w:r w:rsidR="001E19B9">
        <w:rPr>
          <w:rFonts w:ascii="Times New Roman" w:hAnsi="Times New Roman" w:cs="Times New Roman"/>
          <w:sz w:val="24"/>
          <w:szCs w:val="24"/>
        </w:rPr>
        <w:t xml:space="preserve">a </w:t>
      </w:r>
      <w:r>
        <w:rPr>
          <w:rFonts w:ascii="Times New Roman" w:hAnsi="Times New Roman" w:cs="Times New Roman"/>
          <w:sz w:val="24"/>
          <w:szCs w:val="24"/>
        </w:rPr>
        <w:t>SPAC-IPO merger</w:t>
      </w:r>
      <w:r w:rsidR="001E19B9">
        <w:rPr>
          <w:rFonts w:ascii="Times New Roman" w:hAnsi="Times New Roman" w:cs="Times New Roman"/>
          <w:sz w:val="24"/>
          <w:szCs w:val="24"/>
        </w:rPr>
        <w:t xml:space="preserve">. </w:t>
      </w:r>
      <w:r w:rsidR="00CB5C93" w:rsidRPr="00CB5C93">
        <w:rPr>
          <w:rFonts w:ascii="Times New Roman" w:hAnsi="Times New Roman" w:cs="Times New Roman"/>
          <w:sz w:val="24"/>
          <w:szCs w:val="24"/>
        </w:rPr>
        <w:t xml:space="preserve">We require at least two SPAC-IPOs for a given </w:t>
      </w:r>
      <w:r w:rsidR="00CB5C93">
        <w:rPr>
          <w:rFonts w:ascii="Times New Roman" w:hAnsi="Times New Roman" w:cs="Times New Roman"/>
          <w:sz w:val="24"/>
          <w:szCs w:val="24"/>
        </w:rPr>
        <w:t xml:space="preserve">calendar </w:t>
      </w:r>
      <w:r w:rsidR="00CB5C93" w:rsidRPr="00CB5C93">
        <w:rPr>
          <w:rFonts w:ascii="Times New Roman" w:hAnsi="Times New Roman" w:cs="Times New Roman"/>
          <w:sz w:val="24"/>
          <w:szCs w:val="24"/>
        </w:rPr>
        <w:t xml:space="preserve">month. </w:t>
      </w:r>
      <w:r w:rsidR="001E19B9">
        <w:rPr>
          <w:rFonts w:ascii="Times New Roman" w:hAnsi="Times New Roman" w:cs="Times New Roman"/>
          <w:sz w:val="24"/>
          <w:szCs w:val="24"/>
        </w:rPr>
        <w:t xml:space="preserve">Firms are retained in the portfolio for 12, 24, and 36 months unless a SPAC is delisted </w:t>
      </w:r>
      <w:r w:rsidR="001E19B9">
        <w:rPr>
          <w:rFonts w:ascii="Times New Roman" w:hAnsi="Times New Roman" w:cs="Times New Roman"/>
          <w:sz w:val="24"/>
          <w:szCs w:val="24"/>
        </w:rPr>
        <w:lastRenderedPageBreak/>
        <w:t xml:space="preserve">earlier. </w:t>
      </w:r>
      <w:r>
        <w:rPr>
          <w:rFonts w:ascii="Times New Roman" w:hAnsi="Times New Roman" w:cs="Times New Roman"/>
          <w:sz w:val="24"/>
          <w:szCs w:val="24"/>
        </w:rPr>
        <w:t xml:space="preserve"> </w:t>
      </w:r>
      <w:r w:rsidR="001E19B9" w:rsidRPr="001E19B9">
        <w:rPr>
          <w:rFonts w:ascii="Times New Roman" w:hAnsi="Times New Roman" w:cs="Times New Roman"/>
          <w:i/>
          <w:sz w:val="24"/>
          <w:szCs w:val="24"/>
        </w:rPr>
        <w:t>MARKET</w:t>
      </w:r>
      <w:r w:rsidR="001E19B9">
        <w:rPr>
          <w:rFonts w:ascii="Times New Roman" w:hAnsi="Times New Roman" w:cs="Times New Roman"/>
          <w:sz w:val="24"/>
          <w:szCs w:val="24"/>
        </w:rPr>
        <w:t xml:space="preserve"> is the excess return of value-weighted CRSP index, </w:t>
      </w:r>
      <w:r w:rsidR="001E19B9" w:rsidRPr="001E19B9">
        <w:rPr>
          <w:rFonts w:ascii="Times New Roman" w:hAnsi="Times New Roman" w:cs="Times New Roman"/>
          <w:i/>
          <w:sz w:val="24"/>
          <w:szCs w:val="24"/>
        </w:rPr>
        <w:t>SMB</w:t>
      </w:r>
      <w:r w:rsidR="001E19B9">
        <w:rPr>
          <w:rFonts w:ascii="Times New Roman" w:hAnsi="Times New Roman" w:cs="Times New Roman"/>
          <w:sz w:val="24"/>
          <w:szCs w:val="24"/>
        </w:rPr>
        <w:t xml:space="preserve"> is the return on small stock</w:t>
      </w:r>
      <w:r w:rsidR="00EC5AF3">
        <w:rPr>
          <w:rFonts w:ascii="Times New Roman" w:hAnsi="Times New Roman" w:cs="Times New Roman"/>
          <w:sz w:val="24"/>
          <w:szCs w:val="24"/>
        </w:rPr>
        <w:t>s</w:t>
      </w:r>
      <w:r w:rsidR="001E19B9">
        <w:rPr>
          <w:rFonts w:ascii="Times New Roman" w:hAnsi="Times New Roman" w:cs="Times New Roman"/>
          <w:sz w:val="24"/>
          <w:szCs w:val="24"/>
        </w:rPr>
        <w:t xml:space="preserve"> minus big stock</w:t>
      </w:r>
      <w:r w:rsidR="00EC5AF3">
        <w:rPr>
          <w:rFonts w:ascii="Times New Roman" w:hAnsi="Times New Roman" w:cs="Times New Roman"/>
          <w:sz w:val="24"/>
          <w:szCs w:val="24"/>
        </w:rPr>
        <w:t>s</w:t>
      </w:r>
      <w:r w:rsidR="001E19B9">
        <w:rPr>
          <w:rFonts w:ascii="Times New Roman" w:hAnsi="Times New Roman" w:cs="Times New Roman"/>
          <w:sz w:val="24"/>
          <w:szCs w:val="24"/>
        </w:rPr>
        <w:t xml:space="preserve">, and </w:t>
      </w:r>
      <w:r w:rsidR="001E19B9" w:rsidRPr="001E19B9">
        <w:rPr>
          <w:rFonts w:ascii="Times New Roman" w:hAnsi="Times New Roman" w:cs="Times New Roman"/>
          <w:i/>
          <w:sz w:val="24"/>
          <w:szCs w:val="24"/>
        </w:rPr>
        <w:t>HML</w:t>
      </w:r>
      <w:r w:rsidR="001E19B9">
        <w:rPr>
          <w:rFonts w:ascii="Times New Roman" w:hAnsi="Times New Roman" w:cs="Times New Roman"/>
          <w:sz w:val="24"/>
          <w:szCs w:val="24"/>
        </w:rPr>
        <w:t xml:space="preserve"> is the return on high book-to-market firms minus</w:t>
      </w:r>
      <w:r w:rsidR="00123E60">
        <w:rPr>
          <w:rFonts w:ascii="Times New Roman" w:hAnsi="Times New Roman" w:cs="Times New Roman"/>
          <w:sz w:val="24"/>
          <w:szCs w:val="24"/>
        </w:rPr>
        <w:t xml:space="preserve"> the</w:t>
      </w:r>
      <w:r w:rsidR="001E19B9">
        <w:rPr>
          <w:rFonts w:ascii="Times New Roman" w:hAnsi="Times New Roman" w:cs="Times New Roman"/>
          <w:sz w:val="24"/>
          <w:szCs w:val="24"/>
        </w:rPr>
        <w:t xml:space="preserve"> return on low book-to-market firms, where all </w:t>
      </w:r>
      <w:r w:rsidR="00123E60">
        <w:rPr>
          <w:rFonts w:ascii="Times New Roman" w:hAnsi="Times New Roman" w:cs="Times New Roman"/>
          <w:sz w:val="24"/>
          <w:szCs w:val="24"/>
        </w:rPr>
        <w:t xml:space="preserve">of </w:t>
      </w:r>
      <w:r w:rsidR="00C8374B">
        <w:rPr>
          <w:rFonts w:ascii="Times New Roman" w:hAnsi="Times New Roman" w:cs="Times New Roman"/>
          <w:sz w:val="24"/>
          <w:szCs w:val="24"/>
        </w:rPr>
        <w:t xml:space="preserve">the variables are </w:t>
      </w:r>
      <w:r w:rsidR="001E19B9">
        <w:rPr>
          <w:rFonts w:ascii="Times New Roman" w:hAnsi="Times New Roman" w:cs="Times New Roman"/>
          <w:sz w:val="24"/>
          <w:szCs w:val="24"/>
        </w:rPr>
        <w:t>measured for a given month. The dependent variable is the equally</w:t>
      </w:r>
      <w:r w:rsidR="00123E60">
        <w:rPr>
          <w:rFonts w:ascii="Times New Roman" w:hAnsi="Times New Roman" w:cs="Times New Roman"/>
          <w:sz w:val="24"/>
          <w:szCs w:val="24"/>
        </w:rPr>
        <w:t xml:space="preserve"> </w:t>
      </w:r>
      <w:r w:rsidR="001E19B9">
        <w:rPr>
          <w:rFonts w:ascii="Times New Roman" w:hAnsi="Times New Roman" w:cs="Times New Roman"/>
          <w:sz w:val="24"/>
          <w:szCs w:val="24"/>
        </w:rPr>
        <w:t xml:space="preserve">weighted </w:t>
      </w:r>
      <w:r w:rsidR="00064E62">
        <w:rPr>
          <w:rFonts w:ascii="Times New Roman" w:hAnsi="Times New Roman" w:cs="Times New Roman"/>
          <w:sz w:val="24"/>
          <w:szCs w:val="24"/>
        </w:rPr>
        <w:t xml:space="preserve">or value-weighted </w:t>
      </w:r>
      <w:r w:rsidR="001E19B9">
        <w:rPr>
          <w:rFonts w:ascii="Times New Roman" w:hAnsi="Times New Roman" w:cs="Times New Roman"/>
          <w:sz w:val="24"/>
          <w:szCs w:val="24"/>
        </w:rPr>
        <w:t>monthly return for the portfolio of SPAC-IPO</w:t>
      </w:r>
      <w:r w:rsidR="003A35B7">
        <w:rPr>
          <w:rFonts w:ascii="Times New Roman" w:hAnsi="Times New Roman" w:cs="Times New Roman"/>
          <w:sz w:val="24"/>
          <w:szCs w:val="24"/>
        </w:rPr>
        <w:t>s</w:t>
      </w:r>
      <w:r w:rsidR="0024047B">
        <w:rPr>
          <w:rFonts w:ascii="Times New Roman" w:hAnsi="Times New Roman" w:cs="Times New Roman"/>
          <w:sz w:val="24"/>
          <w:szCs w:val="24"/>
        </w:rPr>
        <w:t xml:space="preserve"> for a given calendar month.</w:t>
      </w:r>
      <w:r w:rsidR="00C76846">
        <w:rPr>
          <w:rFonts w:ascii="Times New Roman" w:hAnsi="Times New Roman" w:cs="Times New Roman"/>
          <w:sz w:val="24"/>
          <w:szCs w:val="24"/>
        </w:rPr>
        <w:t xml:space="preserve"> </w:t>
      </w:r>
      <w:r w:rsidR="00C8374B">
        <w:rPr>
          <w:rFonts w:ascii="Times New Roman" w:hAnsi="Times New Roman" w:cs="Times New Roman"/>
          <w:sz w:val="24"/>
          <w:szCs w:val="24"/>
        </w:rPr>
        <w:t>T</w:t>
      </w:r>
      <w:r w:rsidR="00C76846">
        <w:rPr>
          <w:rFonts w:ascii="Times New Roman" w:hAnsi="Times New Roman" w:cs="Times New Roman"/>
          <w:sz w:val="24"/>
          <w:szCs w:val="24"/>
        </w:rPr>
        <w:t xml:space="preserve">he coefficient on </w:t>
      </w:r>
      <w:r w:rsidR="00C76846" w:rsidRPr="00B61822">
        <w:rPr>
          <w:rFonts w:ascii="Times New Roman" w:hAnsi="Times New Roman" w:cs="Times New Roman"/>
          <w:i/>
          <w:sz w:val="24"/>
          <w:szCs w:val="24"/>
        </w:rPr>
        <w:t>ALPHA</w:t>
      </w:r>
      <w:r w:rsidR="00C76846">
        <w:rPr>
          <w:rFonts w:ascii="Times New Roman" w:hAnsi="Times New Roman" w:cs="Times New Roman"/>
          <w:sz w:val="24"/>
          <w:szCs w:val="24"/>
        </w:rPr>
        <w:t xml:space="preserve"> is negative </w:t>
      </w:r>
      <w:r w:rsidR="00B61822">
        <w:rPr>
          <w:rFonts w:ascii="Times New Roman" w:hAnsi="Times New Roman" w:cs="Times New Roman"/>
          <w:sz w:val="24"/>
          <w:szCs w:val="24"/>
        </w:rPr>
        <w:t xml:space="preserve">for all the six specifications </w:t>
      </w:r>
      <w:r w:rsidR="00C76846">
        <w:rPr>
          <w:rFonts w:ascii="Times New Roman" w:hAnsi="Times New Roman" w:cs="Times New Roman"/>
          <w:sz w:val="24"/>
          <w:szCs w:val="24"/>
        </w:rPr>
        <w:t xml:space="preserve">and </w:t>
      </w:r>
      <w:r w:rsidR="00B61822">
        <w:rPr>
          <w:rFonts w:ascii="Times New Roman" w:hAnsi="Times New Roman" w:cs="Times New Roman"/>
          <w:sz w:val="24"/>
          <w:szCs w:val="24"/>
        </w:rPr>
        <w:t xml:space="preserve">it is statistically </w:t>
      </w:r>
      <w:r w:rsidR="00C76846">
        <w:rPr>
          <w:rFonts w:ascii="Times New Roman" w:hAnsi="Times New Roman" w:cs="Times New Roman"/>
          <w:sz w:val="24"/>
          <w:szCs w:val="24"/>
        </w:rPr>
        <w:t xml:space="preserve">significant at the 5% level </w:t>
      </w:r>
      <w:r w:rsidR="00B61822">
        <w:rPr>
          <w:rFonts w:ascii="Times New Roman" w:hAnsi="Times New Roman" w:cs="Times New Roman"/>
          <w:sz w:val="24"/>
          <w:szCs w:val="24"/>
        </w:rPr>
        <w:t xml:space="preserve">in </w:t>
      </w:r>
      <w:r w:rsidR="00C76846">
        <w:rPr>
          <w:rFonts w:ascii="Times New Roman" w:hAnsi="Times New Roman" w:cs="Times New Roman"/>
          <w:sz w:val="24"/>
          <w:szCs w:val="24"/>
        </w:rPr>
        <w:t>five of the six specification</w:t>
      </w:r>
      <w:r w:rsidR="00B61822">
        <w:rPr>
          <w:rFonts w:ascii="Times New Roman" w:hAnsi="Times New Roman" w:cs="Times New Roman"/>
          <w:sz w:val="24"/>
          <w:szCs w:val="24"/>
        </w:rPr>
        <w:t>s</w:t>
      </w:r>
      <w:r w:rsidR="00C76846">
        <w:rPr>
          <w:rFonts w:ascii="Times New Roman" w:hAnsi="Times New Roman" w:cs="Times New Roman"/>
          <w:sz w:val="24"/>
          <w:szCs w:val="24"/>
        </w:rPr>
        <w:t xml:space="preserve">. The </w:t>
      </w:r>
      <w:r w:rsidR="00B61822">
        <w:rPr>
          <w:rFonts w:ascii="Times New Roman" w:hAnsi="Times New Roman" w:cs="Times New Roman"/>
          <w:sz w:val="24"/>
          <w:szCs w:val="24"/>
        </w:rPr>
        <w:t>magnitude of the coefficient</w:t>
      </w:r>
      <w:r w:rsidR="00EF4C98">
        <w:rPr>
          <w:rFonts w:ascii="Times New Roman" w:hAnsi="Times New Roman" w:cs="Times New Roman"/>
          <w:i/>
          <w:sz w:val="24"/>
          <w:szCs w:val="24"/>
        </w:rPr>
        <w:t>s</w:t>
      </w:r>
      <w:r w:rsidR="00B61822">
        <w:rPr>
          <w:rFonts w:ascii="Times New Roman" w:hAnsi="Times New Roman" w:cs="Times New Roman"/>
          <w:sz w:val="24"/>
          <w:szCs w:val="24"/>
        </w:rPr>
        <w:t xml:space="preserve"> varies between -0.014 and -0.025 suggesting that, controlling for the Fama-French factors, SPAC-IPOs underperform by 1.4% to 2.5% per month. These results are very similar to the results reported in </w:t>
      </w:r>
      <w:r w:rsidR="00B61822" w:rsidRPr="00193EBD">
        <w:rPr>
          <w:rFonts w:ascii="Times New Roman" w:hAnsi="Times New Roman" w:cs="Times New Roman"/>
          <w:sz w:val="24"/>
          <w:szCs w:val="24"/>
        </w:rPr>
        <w:t>Gahng et al. (2021)</w:t>
      </w:r>
      <w:r w:rsidR="00B61822">
        <w:rPr>
          <w:rFonts w:ascii="Times New Roman" w:hAnsi="Times New Roman" w:cs="Times New Roman"/>
          <w:sz w:val="24"/>
          <w:szCs w:val="24"/>
        </w:rPr>
        <w:t>.</w:t>
      </w:r>
      <w:r w:rsidR="00B61822" w:rsidRPr="00193EBD">
        <w:rPr>
          <w:rFonts w:ascii="Times New Roman" w:hAnsi="Times New Roman" w:cs="Times New Roman"/>
          <w:sz w:val="24"/>
          <w:szCs w:val="24"/>
        </w:rPr>
        <w:t xml:space="preserve"> </w:t>
      </w:r>
      <w:r w:rsidR="001E19B9">
        <w:rPr>
          <w:rFonts w:ascii="Times New Roman" w:hAnsi="Times New Roman" w:cs="Times New Roman"/>
          <w:sz w:val="24"/>
          <w:szCs w:val="24"/>
        </w:rPr>
        <w:t xml:space="preserve"> </w:t>
      </w:r>
    </w:p>
    <w:p w14:paraId="13DD3AD8" w14:textId="04AE4FD1" w:rsidR="00785902" w:rsidRDefault="00B50AC8" w:rsidP="005A4AD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785902" w:rsidRPr="00785902">
        <w:rPr>
          <w:rFonts w:ascii="Times New Roman" w:hAnsi="Times New Roman" w:cs="Times New Roman"/>
          <w:sz w:val="24"/>
          <w:szCs w:val="24"/>
        </w:rPr>
        <w:t>More importantly,</w:t>
      </w:r>
      <w:r w:rsidR="00785902">
        <w:rPr>
          <w:rFonts w:ascii="Times New Roman" w:hAnsi="Times New Roman" w:cs="Times New Roman"/>
          <w:b/>
          <w:sz w:val="24"/>
          <w:szCs w:val="24"/>
        </w:rPr>
        <w:t xml:space="preserve"> </w:t>
      </w:r>
      <w:r w:rsidR="00B61822" w:rsidRPr="00B61822">
        <w:rPr>
          <w:rFonts w:ascii="Times New Roman" w:hAnsi="Times New Roman" w:cs="Times New Roman"/>
          <w:sz w:val="24"/>
          <w:szCs w:val="24"/>
        </w:rPr>
        <w:t>Table 1</w:t>
      </w:r>
      <w:r w:rsidR="00796066">
        <w:rPr>
          <w:rFonts w:ascii="Times New Roman" w:hAnsi="Times New Roman" w:cs="Times New Roman"/>
          <w:sz w:val="24"/>
          <w:szCs w:val="24"/>
        </w:rPr>
        <w:t>2</w:t>
      </w:r>
      <w:r w:rsidR="00B61822" w:rsidRPr="00B61822">
        <w:rPr>
          <w:rFonts w:ascii="Times New Roman" w:hAnsi="Times New Roman" w:cs="Times New Roman"/>
          <w:sz w:val="24"/>
          <w:szCs w:val="24"/>
        </w:rPr>
        <w:t xml:space="preserve"> present</w:t>
      </w:r>
      <w:r w:rsidR="00C8374B">
        <w:rPr>
          <w:rFonts w:ascii="Times New Roman" w:hAnsi="Times New Roman" w:cs="Times New Roman"/>
          <w:sz w:val="24"/>
          <w:szCs w:val="24"/>
        </w:rPr>
        <w:t>s</w:t>
      </w:r>
      <w:r w:rsidR="00B61822" w:rsidRPr="00B61822">
        <w:rPr>
          <w:rFonts w:ascii="Times New Roman" w:hAnsi="Times New Roman" w:cs="Times New Roman"/>
          <w:sz w:val="24"/>
          <w:szCs w:val="24"/>
        </w:rPr>
        <w:t xml:space="preserve"> the results of the relationship between information risk (</w:t>
      </w:r>
      <w:r w:rsidR="00B61822" w:rsidRPr="00B61822">
        <w:rPr>
          <w:rFonts w:ascii="Times New Roman" w:hAnsi="Times New Roman" w:cs="Times New Roman"/>
          <w:i/>
          <w:sz w:val="24"/>
          <w:szCs w:val="24"/>
        </w:rPr>
        <w:t>RISK</w:t>
      </w:r>
      <w:r w:rsidR="00B61822" w:rsidRPr="00B61822">
        <w:rPr>
          <w:rFonts w:ascii="Times New Roman" w:hAnsi="Times New Roman" w:cs="Times New Roman"/>
          <w:sz w:val="24"/>
          <w:szCs w:val="24"/>
        </w:rPr>
        <w:t>) and SPAC-IPO return</w:t>
      </w:r>
      <w:r w:rsidR="00EC5AF3">
        <w:rPr>
          <w:rFonts w:ascii="Times New Roman" w:hAnsi="Times New Roman" w:cs="Times New Roman"/>
          <w:sz w:val="24"/>
          <w:szCs w:val="24"/>
        </w:rPr>
        <w:t>s</w:t>
      </w:r>
      <w:r w:rsidR="00B61822" w:rsidRPr="00B61822">
        <w:rPr>
          <w:rFonts w:ascii="Times New Roman" w:hAnsi="Times New Roman" w:cs="Times New Roman"/>
          <w:sz w:val="24"/>
          <w:szCs w:val="24"/>
        </w:rPr>
        <w:t xml:space="preserve"> </w:t>
      </w:r>
      <w:r w:rsidR="00255412">
        <w:rPr>
          <w:rFonts w:ascii="Times New Roman" w:hAnsi="Times New Roman" w:cs="Times New Roman"/>
          <w:sz w:val="24"/>
          <w:szCs w:val="24"/>
        </w:rPr>
        <w:t>for different holding periods</w:t>
      </w:r>
      <w:r w:rsidR="00B61822" w:rsidRPr="00B61822">
        <w:rPr>
          <w:rFonts w:ascii="Times New Roman" w:hAnsi="Times New Roman" w:cs="Times New Roman"/>
          <w:sz w:val="24"/>
          <w:szCs w:val="24"/>
        </w:rPr>
        <w:t xml:space="preserve">. </w:t>
      </w:r>
      <w:r w:rsidR="00B61822">
        <w:rPr>
          <w:rFonts w:ascii="Times New Roman" w:hAnsi="Times New Roman" w:cs="Times New Roman"/>
          <w:sz w:val="24"/>
          <w:szCs w:val="24"/>
        </w:rPr>
        <w:t xml:space="preserve">In Panel A, we sort </w:t>
      </w:r>
      <w:r w:rsidR="00B61822" w:rsidRPr="00B61822">
        <w:rPr>
          <w:rFonts w:ascii="Times New Roman" w:hAnsi="Times New Roman" w:cs="Times New Roman"/>
          <w:i/>
          <w:sz w:val="24"/>
          <w:szCs w:val="24"/>
        </w:rPr>
        <w:t xml:space="preserve">RISK </w:t>
      </w:r>
      <w:r w:rsidR="00B61822">
        <w:rPr>
          <w:rFonts w:ascii="Times New Roman" w:hAnsi="Times New Roman" w:cs="Times New Roman"/>
          <w:sz w:val="24"/>
          <w:szCs w:val="24"/>
        </w:rPr>
        <w:t>into three portfolios and then report one-year buy-and-hold market</w:t>
      </w:r>
      <w:r w:rsidR="005900EF">
        <w:rPr>
          <w:rFonts w:ascii="Times New Roman" w:hAnsi="Times New Roman" w:cs="Times New Roman"/>
          <w:sz w:val="24"/>
          <w:szCs w:val="24"/>
        </w:rPr>
        <w:t>-</w:t>
      </w:r>
      <w:r w:rsidR="00B61822">
        <w:rPr>
          <w:rFonts w:ascii="Times New Roman" w:hAnsi="Times New Roman" w:cs="Times New Roman"/>
          <w:sz w:val="24"/>
          <w:szCs w:val="24"/>
        </w:rPr>
        <w:t>adjusted return (</w:t>
      </w:r>
      <w:r w:rsidR="00B61822" w:rsidRPr="003F02EF">
        <w:rPr>
          <w:rFonts w:ascii="Times New Roman" w:hAnsi="Times New Roman" w:cs="Times New Roman"/>
          <w:i/>
          <w:sz w:val="24"/>
          <w:szCs w:val="24"/>
        </w:rPr>
        <w:t>CAR</w:t>
      </w:r>
      <w:r w:rsidR="00B61822">
        <w:rPr>
          <w:rFonts w:ascii="Times New Roman" w:hAnsi="Times New Roman" w:cs="Times New Roman"/>
          <w:sz w:val="24"/>
          <w:szCs w:val="24"/>
        </w:rPr>
        <w:t>) for each of th</w:t>
      </w:r>
      <w:r w:rsidR="00255412">
        <w:rPr>
          <w:rFonts w:ascii="Times New Roman" w:hAnsi="Times New Roman" w:cs="Times New Roman"/>
          <w:sz w:val="24"/>
          <w:szCs w:val="24"/>
        </w:rPr>
        <w:t xml:space="preserve">e three </w:t>
      </w:r>
      <w:r w:rsidR="00B61822">
        <w:rPr>
          <w:rFonts w:ascii="Times New Roman" w:hAnsi="Times New Roman" w:cs="Times New Roman"/>
          <w:sz w:val="24"/>
          <w:szCs w:val="24"/>
        </w:rPr>
        <w:t xml:space="preserve">portfolios. We first report the results for Year t, which </w:t>
      </w:r>
      <w:r w:rsidR="00FD6096">
        <w:rPr>
          <w:rFonts w:ascii="Times New Roman" w:hAnsi="Times New Roman" w:cs="Times New Roman"/>
          <w:sz w:val="24"/>
          <w:szCs w:val="24"/>
        </w:rPr>
        <w:t xml:space="preserve">represents the </w:t>
      </w:r>
      <w:r w:rsidR="00B61822">
        <w:rPr>
          <w:rFonts w:ascii="Times New Roman" w:hAnsi="Times New Roman" w:cs="Times New Roman"/>
          <w:sz w:val="24"/>
          <w:szCs w:val="24"/>
        </w:rPr>
        <w:t xml:space="preserve">first </w:t>
      </w:r>
      <w:r w:rsidR="00FD6096">
        <w:rPr>
          <w:rFonts w:ascii="Times New Roman" w:hAnsi="Times New Roman" w:cs="Times New Roman"/>
          <w:sz w:val="24"/>
          <w:szCs w:val="24"/>
        </w:rPr>
        <w:t xml:space="preserve">fiscal </w:t>
      </w:r>
      <w:r w:rsidR="00B61822">
        <w:rPr>
          <w:rFonts w:ascii="Times New Roman" w:hAnsi="Times New Roman" w:cs="Times New Roman"/>
          <w:sz w:val="24"/>
          <w:szCs w:val="24"/>
        </w:rPr>
        <w:t xml:space="preserve">year </w:t>
      </w:r>
      <w:r w:rsidR="00FD6096">
        <w:rPr>
          <w:rFonts w:ascii="Times New Roman" w:hAnsi="Times New Roman" w:cs="Times New Roman"/>
          <w:sz w:val="24"/>
          <w:szCs w:val="24"/>
        </w:rPr>
        <w:t xml:space="preserve">of the </w:t>
      </w:r>
      <w:r w:rsidR="00B61822">
        <w:rPr>
          <w:rFonts w:ascii="Times New Roman" w:hAnsi="Times New Roman" w:cs="Times New Roman"/>
          <w:sz w:val="24"/>
          <w:szCs w:val="24"/>
        </w:rPr>
        <w:t xml:space="preserve">SPAC-IPO as a publicly traded company. </w:t>
      </w:r>
      <w:r w:rsidR="00FD6096">
        <w:rPr>
          <w:rFonts w:ascii="Times New Roman" w:hAnsi="Times New Roman" w:cs="Times New Roman"/>
          <w:sz w:val="24"/>
          <w:szCs w:val="24"/>
        </w:rPr>
        <w:t xml:space="preserve">For the three </w:t>
      </w:r>
      <w:r w:rsidR="00FD6096" w:rsidRPr="00FD6096">
        <w:rPr>
          <w:rFonts w:ascii="Times New Roman" w:hAnsi="Times New Roman" w:cs="Times New Roman"/>
          <w:i/>
          <w:sz w:val="24"/>
          <w:szCs w:val="24"/>
        </w:rPr>
        <w:t>RISK</w:t>
      </w:r>
      <w:r w:rsidR="00FD6096">
        <w:rPr>
          <w:rFonts w:ascii="Times New Roman" w:hAnsi="Times New Roman" w:cs="Times New Roman"/>
          <w:sz w:val="24"/>
          <w:szCs w:val="24"/>
        </w:rPr>
        <w:t xml:space="preserve"> portfolios, based on the firm-specific values from Year t, the mean (median) </w:t>
      </w:r>
      <w:r w:rsidR="00FD6096" w:rsidRPr="003F02EF">
        <w:rPr>
          <w:rFonts w:ascii="Times New Roman" w:hAnsi="Times New Roman" w:cs="Times New Roman"/>
          <w:i/>
          <w:sz w:val="24"/>
          <w:szCs w:val="24"/>
        </w:rPr>
        <w:t>CAR</w:t>
      </w:r>
      <w:r w:rsidR="00FD6096" w:rsidRPr="003F02EF">
        <w:rPr>
          <w:rFonts w:ascii="Times New Roman" w:hAnsi="Times New Roman" w:cs="Times New Roman"/>
          <w:i/>
          <w:sz w:val="24"/>
          <w:szCs w:val="24"/>
          <w:vertAlign w:val="subscript"/>
        </w:rPr>
        <w:t>t</w:t>
      </w:r>
      <w:r w:rsidR="00FD6096">
        <w:rPr>
          <w:rFonts w:ascii="Times New Roman" w:hAnsi="Times New Roman" w:cs="Times New Roman"/>
          <w:sz w:val="24"/>
          <w:szCs w:val="24"/>
        </w:rPr>
        <w:t xml:space="preserve"> is -0.055 (-0.088), -0.436 (-0.590), and -0.576 (-0.607) for </w:t>
      </w:r>
      <w:r w:rsidR="00920B8F">
        <w:rPr>
          <w:rFonts w:ascii="Times New Roman" w:hAnsi="Times New Roman" w:cs="Times New Roman"/>
          <w:sz w:val="24"/>
          <w:szCs w:val="24"/>
        </w:rPr>
        <w:t xml:space="preserve">the risk </w:t>
      </w:r>
      <w:r w:rsidR="00FD6096">
        <w:rPr>
          <w:rFonts w:ascii="Times New Roman" w:hAnsi="Times New Roman" w:cs="Times New Roman"/>
          <w:sz w:val="24"/>
          <w:szCs w:val="24"/>
        </w:rPr>
        <w:t>portfolio</w:t>
      </w:r>
      <w:r w:rsidR="00920B8F">
        <w:rPr>
          <w:rFonts w:ascii="Times New Roman" w:hAnsi="Times New Roman" w:cs="Times New Roman"/>
          <w:sz w:val="24"/>
          <w:szCs w:val="24"/>
        </w:rPr>
        <w:t>s</w:t>
      </w:r>
      <w:r w:rsidR="00FD6096">
        <w:rPr>
          <w:rFonts w:ascii="Times New Roman" w:hAnsi="Times New Roman" w:cs="Times New Roman"/>
          <w:sz w:val="24"/>
          <w:szCs w:val="24"/>
        </w:rPr>
        <w:t xml:space="preserve"> 1 (low), 2 and 3 (high), respectively. Thus, there is a monotonic decline in stock performance for SPAC-IPOs with higher composite risk scores. </w:t>
      </w:r>
    </w:p>
    <w:p w14:paraId="3E4299D1" w14:textId="21A46FFF" w:rsidR="007F3E20" w:rsidRDefault="00FD6096" w:rsidP="00284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second year (Year t+1), the mean (median) </w:t>
      </w:r>
      <w:r w:rsidRPr="003F02EF">
        <w:rPr>
          <w:rFonts w:ascii="Times New Roman" w:hAnsi="Times New Roman" w:cs="Times New Roman"/>
          <w:i/>
          <w:sz w:val="24"/>
          <w:szCs w:val="24"/>
        </w:rPr>
        <w:t>CAR</w:t>
      </w:r>
      <w:r w:rsidRPr="003F02EF">
        <w:rPr>
          <w:rFonts w:ascii="Times New Roman" w:hAnsi="Times New Roman" w:cs="Times New Roman"/>
          <w:i/>
          <w:sz w:val="24"/>
          <w:szCs w:val="24"/>
          <w:vertAlign w:val="subscript"/>
        </w:rPr>
        <w:t>t+1</w:t>
      </w:r>
      <w:r>
        <w:rPr>
          <w:rFonts w:ascii="Times New Roman" w:hAnsi="Times New Roman" w:cs="Times New Roman"/>
          <w:sz w:val="24"/>
          <w:szCs w:val="24"/>
        </w:rPr>
        <w:t xml:space="preserve"> is 0.431 (-0.08</w:t>
      </w:r>
      <w:r w:rsidR="007F3E20">
        <w:rPr>
          <w:rFonts w:ascii="Times New Roman" w:hAnsi="Times New Roman" w:cs="Times New Roman"/>
          <w:sz w:val="24"/>
          <w:szCs w:val="24"/>
        </w:rPr>
        <w:t>1</w:t>
      </w:r>
      <w:r>
        <w:rPr>
          <w:rFonts w:ascii="Times New Roman" w:hAnsi="Times New Roman" w:cs="Times New Roman"/>
          <w:sz w:val="24"/>
          <w:szCs w:val="24"/>
        </w:rPr>
        <w:t>), -0.337 (-0.323), and -0.</w:t>
      </w:r>
      <w:r w:rsidR="00920B8F">
        <w:rPr>
          <w:rFonts w:ascii="Times New Roman" w:hAnsi="Times New Roman" w:cs="Times New Roman"/>
          <w:sz w:val="24"/>
          <w:szCs w:val="24"/>
        </w:rPr>
        <w:t>115</w:t>
      </w:r>
      <w:r>
        <w:rPr>
          <w:rFonts w:ascii="Times New Roman" w:hAnsi="Times New Roman" w:cs="Times New Roman"/>
          <w:sz w:val="24"/>
          <w:szCs w:val="24"/>
        </w:rPr>
        <w:t xml:space="preserve"> (-0.</w:t>
      </w:r>
      <w:r w:rsidR="00920B8F">
        <w:rPr>
          <w:rFonts w:ascii="Times New Roman" w:hAnsi="Times New Roman" w:cs="Times New Roman"/>
          <w:sz w:val="24"/>
          <w:szCs w:val="24"/>
        </w:rPr>
        <w:t>536</w:t>
      </w:r>
      <w:r>
        <w:rPr>
          <w:rFonts w:ascii="Times New Roman" w:hAnsi="Times New Roman" w:cs="Times New Roman"/>
          <w:sz w:val="24"/>
          <w:szCs w:val="24"/>
        </w:rPr>
        <w:t xml:space="preserve">) for </w:t>
      </w:r>
      <w:r w:rsidR="00920B8F">
        <w:rPr>
          <w:rFonts w:ascii="Times New Roman" w:hAnsi="Times New Roman" w:cs="Times New Roman"/>
          <w:sz w:val="24"/>
          <w:szCs w:val="24"/>
        </w:rPr>
        <w:t xml:space="preserve">risk portfolios </w:t>
      </w:r>
      <w:r>
        <w:rPr>
          <w:rFonts w:ascii="Times New Roman" w:hAnsi="Times New Roman" w:cs="Times New Roman"/>
          <w:sz w:val="24"/>
          <w:szCs w:val="24"/>
        </w:rPr>
        <w:t>1 (low), 2 and 3 (high)</w:t>
      </w:r>
      <w:r w:rsidR="00920B8F">
        <w:rPr>
          <w:rFonts w:ascii="Times New Roman" w:hAnsi="Times New Roman" w:cs="Times New Roman"/>
          <w:sz w:val="24"/>
          <w:szCs w:val="24"/>
        </w:rPr>
        <w:t>, respectively</w:t>
      </w:r>
      <w:r>
        <w:rPr>
          <w:rFonts w:ascii="Times New Roman" w:hAnsi="Times New Roman" w:cs="Times New Roman"/>
          <w:sz w:val="24"/>
          <w:szCs w:val="24"/>
        </w:rPr>
        <w:t>.</w:t>
      </w:r>
      <w:r w:rsidR="007F3E20">
        <w:rPr>
          <w:rFonts w:ascii="Times New Roman" w:hAnsi="Times New Roman" w:cs="Times New Roman"/>
          <w:sz w:val="24"/>
          <w:szCs w:val="24"/>
        </w:rPr>
        <w:t xml:space="preserve"> Again we find a monotonic decline in </w:t>
      </w:r>
      <w:r w:rsidR="00C8374B">
        <w:rPr>
          <w:rFonts w:ascii="Times New Roman" w:hAnsi="Times New Roman" w:cs="Times New Roman"/>
          <w:sz w:val="24"/>
          <w:szCs w:val="24"/>
        </w:rPr>
        <w:t xml:space="preserve">median </w:t>
      </w:r>
      <w:r w:rsidR="007F3E20">
        <w:rPr>
          <w:rFonts w:ascii="Times New Roman" w:hAnsi="Times New Roman" w:cs="Times New Roman"/>
          <w:sz w:val="24"/>
          <w:szCs w:val="24"/>
        </w:rPr>
        <w:t xml:space="preserve">SPAC-IPO stock performance in the second year </w:t>
      </w:r>
      <w:r w:rsidR="00785902">
        <w:rPr>
          <w:rFonts w:ascii="Times New Roman" w:hAnsi="Times New Roman" w:cs="Times New Roman"/>
          <w:sz w:val="24"/>
          <w:szCs w:val="24"/>
        </w:rPr>
        <w:t xml:space="preserve">as </w:t>
      </w:r>
      <w:r w:rsidR="007F3E20">
        <w:rPr>
          <w:rFonts w:ascii="Times New Roman" w:hAnsi="Times New Roman" w:cs="Times New Roman"/>
          <w:sz w:val="24"/>
          <w:szCs w:val="24"/>
        </w:rPr>
        <w:t xml:space="preserve">the risk scores </w:t>
      </w:r>
      <w:r w:rsidR="00785902">
        <w:rPr>
          <w:rFonts w:ascii="Times New Roman" w:hAnsi="Times New Roman" w:cs="Times New Roman"/>
          <w:sz w:val="24"/>
          <w:szCs w:val="24"/>
        </w:rPr>
        <w:t>become bigger</w:t>
      </w:r>
      <w:r w:rsidR="007F3E20">
        <w:rPr>
          <w:rFonts w:ascii="Times New Roman" w:hAnsi="Times New Roman" w:cs="Times New Roman"/>
          <w:sz w:val="24"/>
          <w:szCs w:val="24"/>
        </w:rPr>
        <w:t>. These results underscore the strong relationship between information risk and SPAC-IPO return</w:t>
      </w:r>
      <w:r w:rsidR="00EC5AF3">
        <w:rPr>
          <w:rFonts w:ascii="Times New Roman" w:hAnsi="Times New Roman" w:cs="Times New Roman"/>
          <w:sz w:val="24"/>
          <w:szCs w:val="24"/>
        </w:rPr>
        <w:t>s</w:t>
      </w:r>
      <w:r w:rsidR="007F3E20">
        <w:rPr>
          <w:rFonts w:ascii="Times New Roman" w:hAnsi="Times New Roman" w:cs="Times New Roman"/>
          <w:sz w:val="24"/>
          <w:szCs w:val="24"/>
        </w:rPr>
        <w:t xml:space="preserve"> for the post deal closing periods. In Panel B, we formally assess the statistical strength of the relationship between information risk and return using regression analyses. In the </w:t>
      </w:r>
      <w:r w:rsidR="007F3E20">
        <w:rPr>
          <w:rFonts w:ascii="Times New Roman" w:hAnsi="Times New Roman" w:cs="Times New Roman"/>
          <w:sz w:val="24"/>
          <w:szCs w:val="24"/>
        </w:rPr>
        <w:lastRenderedPageBreak/>
        <w:t xml:space="preserve">first regression, using </w:t>
      </w:r>
      <w:r w:rsidR="007F3E20" w:rsidRPr="003F02EF">
        <w:rPr>
          <w:rFonts w:ascii="Times New Roman" w:hAnsi="Times New Roman" w:cs="Times New Roman"/>
          <w:i/>
          <w:sz w:val="24"/>
          <w:szCs w:val="24"/>
        </w:rPr>
        <w:t>CAR</w:t>
      </w:r>
      <w:r w:rsidR="007F3E20" w:rsidRPr="003F02EF">
        <w:rPr>
          <w:rFonts w:ascii="Times New Roman" w:hAnsi="Times New Roman" w:cs="Times New Roman"/>
          <w:i/>
          <w:sz w:val="24"/>
          <w:szCs w:val="24"/>
          <w:vertAlign w:val="subscript"/>
        </w:rPr>
        <w:t>t</w:t>
      </w:r>
      <w:r w:rsidR="002E4961">
        <w:rPr>
          <w:rFonts w:ascii="Times New Roman" w:hAnsi="Times New Roman" w:cs="Times New Roman"/>
          <w:sz w:val="24"/>
          <w:szCs w:val="24"/>
          <w:vertAlign w:val="subscript"/>
        </w:rPr>
        <w:t xml:space="preserve"> </w:t>
      </w:r>
      <w:r w:rsidR="007F3E20">
        <w:rPr>
          <w:rFonts w:ascii="Times New Roman" w:hAnsi="Times New Roman" w:cs="Times New Roman"/>
          <w:sz w:val="24"/>
          <w:szCs w:val="24"/>
        </w:rPr>
        <w:t xml:space="preserve">as the dependent variable, the coefficient on </w:t>
      </w:r>
      <w:r w:rsidR="007F3E20" w:rsidRPr="00FD6096">
        <w:rPr>
          <w:rFonts w:ascii="Times New Roman" w:hAnsi="Times New Roman" w:cs="Times New Roman"/>
          <w:i/>
          <w:sz w:val="24"/>
          <w:szCs w:val="24"/>
        </w:rPr>
        <w:t>RISK</w:t>
      </w:r>
      <w:r w:rsidR="007F3E20">
        <w:rPr>
          <w:rFonts w:ascii="Times New Roman" w:hAnsi="Times New Roman" w:cs="Times New Roman"/>
          <w:i/>
          <w:sz w:val="24"/>
          <w:szCs w:val="24"/>
          <w:vertAlign w:val="subscript"/>
        </w:rPr>
        <w:t>t</w:t>
      </w:r>
      <w:r w:rsidR="007F3E20">
        <w:rPr>
          <w:rFonts w:ascii="Times New Roman" w:hAnsi="Times New Roman" w:cs="Times New Roman"/>
          <w:i/>
          <w:sz w:val="24"/>
          <w:szCs w:val="24"/>
        </w:rPr>
        <w:t xml:space="preserve"> </w:t>
      </w:r>
      <w:r w:rsidR="007F3E20" w:rsidRPr="007F3E20">
        <w:rPr>
          <w:rFonts w:ascii="Times New Roman" w:hAnsi="Times New Roman" w:cs="Times New Roman"/>
          <w:sz w:val="24"/>
          <w:szCs w:val="24"/>
        </w:rPr>
        <w:t xml:space="preserve">is negative and </w:t>
      </w:r>
      <w:r w:rsidR="007F3E20">
        <w:rPr>
          <w:rFonts w:ascii="Times New Roman" w:hAnsi="Times New Roman" w:cs="Times New Roman"/>
          <w:sz w:val="24"/>
          <w:szCs w:val="24"/>
        </w:rPr>
        <w:t xml:space="preserve">statistically </w:t>
      </w:r>
      <w:r w:rsidR="007F3E20" w:rsidRPr="007F3E20">
        <w:rPr>
          <w:rFonts w:ascii="Times New Roman" w:hAnsi="Times New Roman" w:cs="Times New Roman"/>
          <w:sz w:val="24"/>
          <w:szCs w:val="24"/>
        </w:rPr>
        <w:t>significant</w:t>
      </w:r>
      <w:r w:rsidR="007F3E20">
        <w:rPr>
          <w:rFonts w:ascii="Times New Roman" w:hAnsi="Times New Roman" w:cs="Times New Roman"/>
          <w:sz w:val="24"/>
          <w:szCs w:val="24"/>
        </w:rPr>
        <w:t xml:space="preserve"> at the 5% level</w:t>
      </w:r>
      <w:r w:rsidR="007F3E20">
        <w:rPr>
          <w:rFonts w:ascii="Times New Roman" w:hAnsi="Times New Roman" w:cs="Times New Roman"/>
          <w:i/>
          <w:sz w:val="24"/>
          <w:szCs w:val="24"/>
        </w:rPr>
        <w:t>.</w:t>
      </w:r>
      <w:r w:rsidR="007F3E20">
        <w:rPr>
          <w:rFonts w:ascii="Times New Roman" w:hAnsi="Times New Roman" w:cs="Times New Roman"/>
          <w:sz w:val="24"/>
          <w:szCs w:val="24"/>
        </w:rPr>
        <w:t xml:space="preserve"> When we include </w:t>
      </w:r>
      <w:r w:rsidR="007F3E20" w:rsidRPr="007F3E20">
        <w:rPr>
          <w:rFonts w:ascii="Times New Roman" w:hAnsi="Times New Roman" w:cs="Times New Roman"/>
          <w:i/>
          <w:sz w:val="24"/>
          <w:szCs w:val="24"/>
        </w:rPr>
        <w:t>LEVERAGE</w:t>
      </w:r>
      <w:r w:rsidR="007F3E20">
        <w:rPr>
          <w:rFonts w:ascii="Times New Roman" w:hAnsi="Times New Roman" w:cs="Times New Roman"/>
          <w:sz w:val="24"/>
          <w:szCs w:val="24"/>
        </w:rPr>
        <w:t xml:space="preserve"> and </w:t>
      </w:r>
      <w:r w:rsidR="007F3E20" w:rsidRPr="007F3E20">
        <w:rPr>
          <w:rFonts w:ascii="Times New Roman" w:hAnsi="Times New Roman" w:cs="Times New Roman"/>
          <w:i/>
          <w:sz w:val="24"/>
          <w:szCs w:val="24"/>
        </w:rPr>
        <w:t>ROA</w:t>
      </w:r>
      <w:r w:rsidR="007F3E20">
        <w:rPr>
          <w:rFonts w:ascii="Times New Roman" w:hAnsi="Times New Roman" w:cs="Times New Roman"/>
          <w:sz w:val="24"/>
          <w:szCs w:val="24"/>
        </w:rPr>
        <w:t xml:space="preserve"> as control variables, the coefficient on </w:t>
      </w:r>
      <w:r w:rsidR="007F3E20" w:rsidRPr="00FD6096">
        <w:rPr>
          <w:rFonts w:ascii="Times New Roman" w:hAnsi="Times New Roman" w:cs="Times New Roman"/>
          <w:i/>
          <w:sz w:val="24"/>
          <w:szCs w:val="24"/>
        </w:rPr>
        <w:t>RISK</w:t>
      </w:r>
      <w:r w:rsidR="007F3E20">
        <w:rPr>
          <w:rFonts w:ascii="Times New Roman" w:hAnsi="Times New Roman" w:cs="Times New Roman"/>
          <w:i/>
          <w:sz w:val="24"/>
          <w:szCs w:val="24"/>
          <w:vertAlign w:val="subscript"/>
        </w:rPr>
        <w:t>t</w:t>
      </w:r>
      <w:r w:rsidR="007F3E20">
        <w:rPr>
          <w:rFonts w:ascii="Times New Roman" w:hAnsi="Times New Roman" w:cs="Times New Roman"/>
          <w:i/>
          <w:sz w:val="24"/>
          <w:szCs w:val="24"/>
        </w:rPr>
        <w:t xml:space="preserve"> </w:t>
      </w:r>
      <w:r w:rsidR="007F3E20">
        <w:rPr>
          <w:rFonts w:ascii="Times New Roman" w:hAnsi="Times New Roman" w:cs="Times New Roman"/>
          <w:sz w:val="24"/>
          <w:szCs w:val="24"/>
        </w:rPr>
        <w:t xml:space="preserve">remains </w:t>
      </w:r>
      <w:r w:rsidR="007F3E20" w:rsidRPr="007F3E20">
        <w:rPr>
          <w:rFonts w:ascii="Times New Roman" w:hAnsi="Times New Roman" w:cs="Times New Roman"/>
          <w:sz w:val="24"/>
          <w:szCs w:val="24"/>
        </w:rPr>
        <w:t xml:space="preserve">negative and </w:t>
      </w:r>
      <w:r w:rsidR="007F3E20">
        <w:rPr>
          <w:rFonts w:ascii="Times New Roman" w:hAnsi="Times New Roman" w:cs="Times New Roman"/>
          <w:sz w:val="24"/>
          <w:szCs w:val="24"/>
        </w:rPr>
        <w:t xml:space="preserve">statistically </w:t>
      </w:r>
      <w:r w:rsidR="007F3E20" w:rsidRPr="007F3E20">
        <w:rPr>
          <w:rFonts w:ascii="Times New Roman" w:hAnsi="Times New Roman" w:cs="Times New Roman"/>
          <w:sz w:val="24"/>
          <w:szCs w:val="24"/>
        </w:rPr>
        <w:t>significant</w:t>
      </w:r>
      <w:r w:rsidR="007F3E20">
        <w:rPr>
          <w:rFonts w:ascii="Times New Roman" w:hAnsi="Times New Roman" w:cs="Times New Roman"/>
          <w:sz w:val="24"/>
          <w:szCs w:val="24"/>
        </w:rPr>
        <w:t xml:space="preserve">. Similarly, </w:t>
      </w:r>
      <w:r w:rsidR="002E4961">
        <w:rPr>
          <w:rFonts w:ascii="Times New Roman" w:hAnsi="Times New Roman" w:cs="Times New Roman"/>
          <w:sz w:val="24"/>
          <w:szCs w:val="24"/>
        </w:rPr>
        <w:t xml:space="preserve">when we use </w:t>
      </w:r>
      <w:r w:rsidR="007F3E20" w:rsidRPr="003F02EF">
        <w:rPr>
          <w:rFonts w:ascii="Times New Roman" w:hAnsi="Times New Roman" w:cs="Times New Roman"/>
          <w:i/>
          <w:sz w:val="24"/>
          <w:szCs w:val="24"/>
        </w:rPr>
        <w:t>CAR</w:t>
      </w:r>
      <w:r w:rsidR="007F3E20" w:rsidRPr="003F02EF">
        <w:rPr>
          <w:rFonts w:ascii="Times New Roman" w:hAnsi="Times New Roman" w:cs="Times New Roman"/>
          <w:i/>
          <w:sz w:val="24"/>
          <w:szCs w:val="24"/>
          <w:vertAlign w:val="subscript"/>
        </w:rPr>
        <w:t>t</w:t>
      </w:r>
      <w:r w:rsidR="002E4961" w:rsidRPr="003F02EF">
        <w:rPr>
          <w:rFonts w:ascii="Times New Roman" w:hAnsi="Times New Roman" w:cs="Times New Roman"/>
          <w:i/>
          <w:sz w:val="24"/>
          <w:szCs w:val="24"/>
          <w:vertAlign w:val="subscript"/>
        </w:rPr>
        <w:t>+1</w:t>
      </w:r>
      <w:r w:rsidR="007F3E20">
        <w:rPr>
          <w:rFonts w:ascii="Times New Roman" w:hAnsi="Times New Roman" w:cs="Times New Roman"/>
          <w:sz w:val="24"/>
          <w:szCs w:val="24"/>
        </w:rPr>
        <w:t xml:space="preserve"> as the dependent variable, the coefficient on </w:t>
      </w:r>
      <w:r w:rsidR="007F3E20" w:rsidRPr="00FD6096">
        <w:rPr>
          <w:rFonts w:ascii="Times New Roman" w:hAnsi="Times New Roman" w:cs="Times New Roman"/>
          <w:i/>
          <w:sz w:val="24"/>
          <w:szCs w:val="24"/>
        </w:rPr>
        <w:t>RISK</w:t>
      </w:r>
      <w:r w:rsidR="007F3E20">
        <w:rPr>
          <w:rFonts w:ascii="Times New Roman" w:hAnsi="Times New Roman" w:cs="Times New Roman"/>
          <w:i/>
          <w:sz w:val="24"/>
          <w:szCs w:val="24"/>
          <w:vertAlign w:val="subscript"/>
        </w:rPr>
        <w:t>t</w:t>
      </w:r>
      <w:r w:rsidR="002E4961">
        <w:rPr>
          <w:rFonts w:ascii="Times New Roman" w:hAnsi="Times New Roman" w:cs="Times New Roman"/>
          <w:i/>
          <w:sz w:val="24"/>
          <w:szCs w:val="24"/>
          <w:vertAlign w:val="subscript"/>
        </w:rPr>
        <w:t>+1</w:t>
      </w:r>
      <w:r w:rsidR="007F3E20">
        <w:rPr>
          <w:rFonts w:ascii="Times New Roman" w:hAnsi="Times New Roman" w:cs="Times New Roman"/>
          <w:i/>
          <w:sz w:val="24"/>
          <w:szCs w:val="24"/>
        </w:rPr>
        <w:t xml:space="preserve"> </w:t>
      </w:r>
      <w:r w:rsidR="007F3E20" w:rsidRPr="007F3E20">
        <w:rPr>
          <w:rFonts w:ascii="Times New Roman" w:hAnsi="Times New Roman" w:cs="Times New Roman"/>
          <w:sz w:val="24"/>
          <w:szCs w:val="24"/>
        </w:rPr>
        <w:t xml:space="preserve">is negative and </w:t>
      </w:r>
      <w:r w:rsidR="007F3E20">
        <w:rPr>
          <w:rFonts w:ascii="Times New Roman" w:hAnsi="Times New Roman" w:cs="Times New Roman"/>
          <w:sz w:val="24"/>
          <w:szCs w:val="24"/>
        </w:rPr>
        <w:t xml:space="preserve">statistically </w:t>
      </w:r>
      <w:r w:rsidR="007F3E20" w:rsidRPr="007F3E20">
        <w:rPr>
          <w:rFonts w:ascii="Times New Roman" w:hAnsi="Times New Roman" w:cs="Times New Roman"/>
          <w:sz w:val="24"/>
          <w:szCs w:val="24"/>
        </w:rPr>
        <w:t>significant</w:t>
      </w:r>
      <w:r w:rsidR="007F3E20">
        <w:rPr>
          <w:rFonts w:ascii="Times New Roman" w:hAnsi="Times New Roman" w:cs="Times New Roman"/>
          <w:sz w:val="24"/>
          <w:szCs w:val="24"/>
        </w:rPr>
        <w:t xml:space="preserve"> at the 5% level</w:t>
      </w:r>
      <w:r w:rsidR="002E4961">
        <w:rPr>
          <w:rFonts w:ascii="Times New Roman" w:hAnsi="Times New Roman" w:cs="Times New Roman"/>
          <w:sz w:val="24"/>
          <w:szCs w:val="24"/>
        </w:rPr>
        <w:t xml:space="preserve"> for both the regressions. </w:t>
      </w:r>
    </w:p>
    <w:p w14:paraId="30F4BE0B" w14:textId="5E56C5EC" w:rsidR="0009228E" w:rsidRPr="00B61822" w:rsidRDefault="0009228E" w:rsidP="007F3E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results from Table </w:t>
      </w:r>
      <w:r w:rsidR="00123E60">
        <w:rPr>
          <w:rFonts w:ascii="Times New Roman" w:hAnsi="Times New Roman" w:cs="Times New Roman"/>
          <w:sz w:val="24"/>
          <w:szCs w:val="24"/>
        </w:rPr>
        <w:t>1</w:t>
      </w:r>
      <w:r w:rsidR="00796066">
        <w:rPr>
          <w:rFonts w:ascii="Times New Roman" w:hAnsi="Times New Roman" w:cs="Times New Roman"/>
          <w:sz w:val="24"/>
          <w:szCs w:val="24"/>
        </w:rPr>
        <w:t>2</w:t>
      </w:r>
      <w:r>
        <w:rPr>
          <w:rFonts w:ascii="Times New Roman" w:hAnsi="Times New Roman" w:cs="Times New Roman"/>
          <w:sz w:val="24"/>
          <w:szCs w:val="24"/>
        </w:rPr>
        <w:t xml:space="preserve"> provide persuasive evidence of a</w:t>
      </w:r>
      <w:r w:rsidR="00123E60">
        <w:rPr>
          <w:rFonts w:ascii="Times New Roman" w:hAnsi="Times New Roman" w:cs="Times New Roman"/>
          <w:sz w:val="24"/>
          <w:szCs w:val="24"/>
        </w:rPr>
        <w:t>n</w:t>
      </w:r>
      <w:r>
        <w:rPr>
          <w:rFonts w:ascii="Times New Roman" w:hAnsi="Times New Roman" w:cs="Times New Roman"/>
          <w:sz w:val="24"/>
          <w:szCs w:val="24"/>
        </w:rPr>
        <w:t xml:space="preserve"> association between information </w:t>
      </w:r>
      <w:r w:rsidR="005009AF">
        <w:rPr>
          <w:rFonts w:ascii="Times New Roman" w:hAnsi="Times New Roman" w:cs="Times New Roman"/>
          <w:sz w:val="24"/>
          <w:szCs w:val="24"/>
        </w:rPr>
        <w:t xml:space="preserve">risk </w:t>
      </w:r>
      <w:r>
        <w:rPr>
          <w:rFonts w:ascii="Times New Roman" w:hAnsi="Times New Roman" w:cs="Times New Roman"/>
          <w:sz w:val="24"/>
          <w:szCs w:val="24"/>
        </w:rPr>
        <w:t xml:space="preserve">and SPAC-IPO underperformance. Following their merger with SPACs, SPAC-IPOs underperform the stock market over one- to three-year periods and the magnitude of the underperformance is larger for SPAC-IPOs with more severe information risk problems. Our results suggest that there is considerable variation in the information risk within the SPAC-IPO cohort and that the </w:t>
      </w:r>
      <w:r w:rsidR="00284480">
        <w:rPr>
          <w:rFonts w:ascii="Times New Roman" w:hAnsi="Times New Roman" w:cs="Times New Roman"/>
          <w:sz w:val="24"/>
          <w:szCs w:val="24"/>
        </w:rPr>
        <w:t>i</w:t>
      </w:r>
      <w:r>
        <w:rPr>
          <w:rFonts w:ascii="Times New Roman" w:hAnsi="Times New Roman" w:cs="Times New Roman"/>
          <w:sz w:val="24"/>
          <w:szCs w:val="24"/>
        </w:rPr>
        <w:t xml:space="preserve">nformation risk </w:t>
      </w:r>
      <w:r w:rsidR="00284480">
        <w:rPr>
          <w:rFonts w:ascii="Times New Roman" w:hAnsi="Times New Roman" w:cs="Times New Roman"/>
          <w:sz w:val="24"/>
          <w:szCs w:val="24"/>
        </w:rPr>
        <w:t xml:space="preserve">is </w:t>
      </w:r>
      <w:r w:rsidR="00785902">
        <w:rPr>
          <w:rFonts w:ascii="Times New Roman" w:hAnsi="Times New Roman" w:cs="Times New Roman"/>
          <w:sz w:val="24"/>
          <w:szCs w:val="24"/>
        </w:rPr>
        <w:t xml:space="preserve">embedded </w:t>
      </w:r>
      <w:r>
        <w:rPr>
          <w:rFonts w:ascii="Times New Roman" w:hAnsi="Times New Roman" w:cs="Times New Roman"/>
          <w:sz w:val="24"/>
          <w:szCs w:val="24"/>
        </w:rPr>
        <w:t xml:space="preserve">into the SPAC-IPO stock price.    </w:t>
      </w:r>
    </w:p>
    <w:p w14:paraId="77C24D30" w14:textId="3A32B703" w:rsidR="001E1EE1" w:rsidRPr="002E70AD" w:rsidRDefault="004270E5" w:rsidP="002E70AD">
      <w:pPr>
        <w:spacing w:after="0" w:line="480" w:lineRule="auto"/>
        <w:jc w:val="both"/>
        <w:rPr>
          <w:rFonts w:ascii="Times New Roman" w:hAnsi="Times New Roman" w:cs="Times New Roman"/>
          <w:b/>
          <w:sz w:val="24"/>
        </w:rPr>
      </w:pPr>
      <w:r>
        <w:rPr>
          <w:rFonts w:ascii="Times New Roman" w:hAnsi="Times New Roman" w:cs="Times New Roman"/>
          <w:b/>
          <w:sz w:val="24"/>
        </w:rPr>
        <w:t>7</w:t>
      </w:r>
      <w:r w:rsidR="002E70AD">
        <w:rPr>
          <w:rFonts w:ascii="Times New Roman" w:hAnsi="Times New Roman" w:cs="Times New Roman"/>
          <w:b/>
          <w:sz w:val="24"/>
        </w:rPr>
        <w:t xml:space="preserve">. </w:t>
      </w:r>
      <w:r w:rsidR="002E70AD">
        <w:rPr>
          <w:rFonts w:ascii="Times New Roman" w:hAnsi="Times New Roman" w:cs="Times New Roman"/>
          <w:b/>
          <w:sz w:val="24"/>
        </w:rPr>
        <w:tab/>
      </w:r>
      <w:r w:rsidR="001E1EE1" w:rsidRPr="002E70AD">
        <w:rPr>
          <w:rFonts w:ascii="Times New Roman" w:hAnsi="Times New Roman" w:cs="Times New Roman"/>
          <w:b/>
          <w:sz w:val="24"/>
        </w:rPr>
        <w:t xml:space="preserve">Conclusion </w:t>
      </w:r>
    </w:p>
    <w:p w14:paraId="0BF0894D" w14:textId="1909C5C2" w:rsidR="00560414" w:rsidRDefault="000A0F8C" w:rsidP="00357B58">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In response to the</w:t>
      </w:r>
      <w:r w:rsidR="0014195D">
        <w:rPr>
          <w:rFonts w:ascii="Times New Roman" w:hAnsi="Times New Roman" w:cs="Times New Roman"/>
          <w:sz w:val="24"/>
        </w:rPr>
        <w:t xml:space="preserve"> growing </w:t>
      </w:r>
      <w:r w:rsidR="00E668E5">
        <w:rPr>
          <w:rFonts w:ascii="Times New Roman" w:hAnsi="Times New Roman" w:cs="Times New Roman"/>
          <w:sz w:val="24"/>
        </w:rPr>
        <w:t>concerns surrounding de-</w:t>
      </w:r>
      <w:r w:rsidR="0014195D">
        <w:rPr>
          <w:rFonts w:ascii="Times New Roman" w:hAnsi="Times New Roman" w:cs="Times New Roman"/>
          <w:sz w:val="24"/>
        </w:rPr>
        <w:t>SPAC</w:t>
      </w:r>
      <w:r>
        <w:rPr>
          <w:rFonts w:ascii="Times New Roman" w:hAnsi="Times New Roman" w:cs="Times New Roman"/>
          <w:sz w:val="24"/>
        </w:rPr>
        <w:t xml:space="preserve"> transactions</w:t>
      </w:r>
      <w:r w:rsidR="00C42ACA">
        <w:rPr>
          <w:rFonts w:ascii="Times New Roman" w:hAnsi="Times New Roman" w:cs="Times New Roman"/>
          <w:sz w:val="24"/>
        </w:rPr>
        <w:t>,</w:t>
      </w:r>
      <w:r>
        <w:rPr>
          <w:rFonts w:ascii="Times New Roman" w:hAnsi="Times New Roman" w:cs="Times New Roman"/>
          <w:sz w:val="24"/>
        </w:rPr>
        <w:t xml:space="preserve"> we provide evidence </w:t>
      </w:r>
      <w:r w:rsidR="00A85C64">
        <w:rPr>
          <w:rFonts w:ascii="Times New Roman" w:hAnsi="Times New Roman" w:cs="Times New Roman"/>
          <w:sz w:val="24"/>
        </w:rPr>
        <w:t xml:space="preserve">that </w:t>
      </w:r>
      <w:r w:rsidR="00692D71">
        <w:rPr>
          <w:rFonts w:ascii="Times New Roman" w:hAnsi="Times New Roman" w:cs="Times New Roman"/>
          <w:sz w:val="24"/>
        </w:rPr>
        <w:t xml:space="preserve">private companies that go public by merging with a publicly traded SPAC are associated with </w:t>
      </w:r>
      <w:r w:rsidR="00357B58">
        <w:rPr>
          <w:rFonts w:ascii="Times New Roman" w:hAnsi="Times New Roman" w:cs="Times New Roman"/>
          <w:sz w:val="24"/>
        </w:rPr>
        <w:t xml:space="preserve">lower financial reporting quality, with </w:t>
      </w:r>
      <w:r w:rsidR="00692D71">
        <w:rPr>
          <w:rFonts w:ascii="Times New Roman" w:hAnsi="Times New Roman" w:cs="Times New Roman"/>
          <w:sz w:val="24"/>
        </w:rPr>
        <w:t xml:space="preserve">a lower </w:t>
      </w:r>
      <w:r>
        <w:rPr>
          <w:rFonts w:ascii="Times New Roman" w:hAnsi="Times New Roman" w:cs="Times New Roman"/>
          <w:sz w:val="24"/>
        </w:rPr>
        <w:t xml:space="preserve">demand for </w:t>
      </w:r>
      <w:r w:rsidR="00222D46">
        <w:rPr>
          <w:rFonts w:ascii="Times New Roman" w:hAnsi="Times New Roman" w:cs="Times New Roman"/>
          <w:sz w:val="24"/>
        </w:rPr>
        <w:t>independent</w:t>
      </w:r>
      <w:r>
        <w:rPr>
          <w:rFonts w:ascii="Times New Roman" w:hAnsi="Times New Roman" w:cs="Times New Roman"/>
          <w:sz w:val="24"/>
        </w:rPr>
        <w:t xml:space="preserve"> </w:t>
      </w:r>
      <w:r w:rsidR="00222D46">
        <w:rPr>
          <w:rFonts w:ascii="Times New Roman" w:hAnsi="Times New Roman" w:cs="Times New Roman"/>
          <w:sz w:val="24"/>
        </w:rPr>
        <w:t>third</w:t>
      </w:r>
      <w:r w:rsidR="00053737">
        <w:rPr>
          <w:rFonts w:ascii="Times New Roman" w:hAnsi="Times New Roman" w:cs="Times New Roman"/>
          <w:sz w:val="24"/>
        </w:rPr>
        <w:t>-</w:t>
      </w:r>
      <w:r w:rsidR="00222D46">
        <w:rPr>
          <w:rFonts w:ascii="Times New Roman" w:hAnsi="Times New Roman" w:cs="Times New Roman"/>
          <w:sz w:val="24"/>
        </w:rPr>
        <w:t>party monitoring</w:t>
      </w:r>
      <w:r w:rsidR="00357B58">
        <w:rPr>
          <w:rFonts w:ascii="Times New Roman" w:hAnsi="Times New Roman" w:cs="Times New Roman"/>
          <w:sz w:val="24"/>
        </w:rPr>
        <w:t>,</w:t>
      </w:r>
      <w:r w:rsidR="00222D46">
        <w:rPr>
          <w:rFonts w:ascii="Times New Roman" w:hAnsi="Times New Roman" w:cs="Times New Roman"/>
          <w:sz w:val="24"/>
        </w:rPr>
        <w:t xml:space="preserve"> </w:t>
      </w:r>
      <w:r w:rsidR="00357B58">
        <w:rPr>
          <w:rFonts w:ascii="Times New Roman" w:hAnsi="Times New Roman" w:cs="Times New Roman"/>
          <w:sz w:val="24"/>
        </w:rPr>
        <w:t xml:space="preserve">with higher chance of </w:t>
      </w:r>
      <w:r w:rsidR="00284480">
        <w:rPr>
          <w:rFonts w:ascii="Times New Roman" w:hAnsi="Times New Roman" w:cs="Times New Roman"/>
          <w:sz w:val="24"/>
        </w:rPr>
        <w:t xml:space="preserve">not being </w:t>
      </w:r>
      <w:r w:rsidR="00357B58">
        <w:rPr>
          <w:rFonts w:ascii="Times New Roman" w:hAnsi="Times New Roman" w:cs="Times New Roman"/>
          <w:sz w:val="24"/>
        </w:rPr>
        <w:t>listed on N</w:t>
      </w:r>
      <w:r w:rsidR="00284480">
        <w:rPr>
          <w:rFonts w:ascii="Times New Roman" w:hAnsi="Times New Roman" w:cs="Times New Roman"/>
          <w:sz w:val="24"/>
        </w:rPr>
        <w:t>YSE</w:t>
      </w:r>
      <w:r w:rsidR="00357B58">
        <w:rPr>
          <w:rFonts w:ascii="Times New Roman" w:hAnsi="Times New Roman" w:cs="Times New Roman"/>
          <w:sz w:val="24"/>
        </w:rPr>
        <w:t xml:space="preserve">, and with a higher likelihood of </w:t>
      </w:r>
      <w:r w:rsidR="00284480">
        <w:rPr>
          <w:rFonts w:ascii="Times New Roman" w:hAnsi="Times New Roman" w:cs="Times New Roman"/>
          <w:sz w:val="24"/>
        </w:rPr>
        <w:t xml:space="preserve">being </w:t>
      </w:r>
      <w:r w:rsidR="00357B58">
        <w:rPr>
          <w:rFonts w:ascii="Times New Roman" w:hAnsi="Times New Roman" w:cs="Times New Roman"/>
          <w:sz w:val="24"/>
        </w:rPr>
        <w:t xml:space="preserve"> delisted from a stock exchange compared to </w:t>
      </w:r>
      <w:r w:rsidR="00284480">
        <w:rPr>
          <w:rFonts w:ascii="Times New Roman" w:hAnsi="Times New Roman" w:cs="Times New Roman"/>
          <w:sz w:val="24"/>
        </w:rPr>
        <w:t>t</w:t>
      </w:r>
      <w:r w:rsidR="00357B58">
        <w:rPr>
          <w:rFonts w:ascii="Times New Roman" w:hAnsi="Times New Roman" w:cs="Times New Roman"/>
          <w:sz w:val="24"/>
        </w:rPr>
        <w:t>raditional IPO</w:t>
      </w:r>
      <w:r w:rsidR="00284480">
        <w:rPr>
          <w:rFonts w:ascii="Times New Roman" w:hAnsi="Times New Roman" w:cs="Times New Roman"/>
          <w:sz w:val="24"/>
        </w:rPr>
        <w:t>s</w:t>
      </w:r>
      <w:r w:rsidR="00357B58">
        <w:rPr>
          <w:rFonts w:ascii="Times New Roman" w:hAnsi="Times New Roman" w:cs="Times New Roman"/>
          <w:sz w:val="24"/>
        </w:rPr>
        <w:t xml:space="preserve">. These findings suggest that the information </w:t>
      </w:r>
      <w:r w:rsidR="00AF6B10">
        <w:rPr>
          <w:rFonts w:ascii="Times New Roman" w:hAnsi="Times New Roman" w:cs="Times New Roman"/>
          <w:sz w:val="24"/>
        </w:rPr>
        <w:t xml:space="preserve">risk </w:t>
      </w:r>
      <w:r w:rsidR="00357B58">
        <w:rPr>
          <w:rFonts w:ascii="Times New Roman" w:hAnsi="Times New Roman" w:cs="Times New Roman"/>
          <w:sz w:val="24"/>
        </w:rPr>
        <w:t xml:space="preserve">is considerably higher for SPAC-IPOs than non-SPAC-IPOs. The organizational and operational structure of SPACs, investors’ reliance on SPAC-sponsors to identify suitable merger targets, the inherent </w:t>
      </w:r>
      <w:r w:rsidR="00C868F6" w:rsidRPr="002725D9">
        <w:rPr>
          <w:rFonts w:ascii="Times New Roman" w:hAnsi="Times New Roman" w:cs="Times New Roman"/>
          <w:sz w:val="24"/>
          <w:szCs w:val="24"/>
        </w:rPr>
        <w:t xml:space="preserve">agency conflicts and moral hazard </w:t>
      </w:r>
      <w:r w:rsidR="00357B58">
        <w:rPr>
          <w:rFonts w:ascii="Times New Roman" w:hAnsi="Times New Roman" w:cs="Times New Roman"/>
          <w:sz w:val="24"/>
          <w:szCs w:val="24"/>
        </w:rPr>
        <w:t xml:space="preserve">problems work in tandem to increase the </w:t>
      </w:r>
      <w:r w:rsidR="00C868F6" w:rsidRPr="002725D9">
        <w:rPr>
          <w:rFonts w:ascii="Times New Roman" w:hAnsi="Times New Roman" w:cs="Times New Roman"/>
          <w:sz w:val="24"/>
          <w:szCs w:val="24"/>
        </w:rPr>
        <w:t xml:space="preserve">information </w:t>
      </w:r>
      <w:r w:rsidR="00357B58">
        <w:rPr>
          <w:rFonts w:ascii="Times New Roman" w:hAnsi="Times New Roman" w:cs="Times New Roman"/>
          <w:sz w:val="24"/>
          <w:szCs w:val="24"/>
        </w:rPr>
        <w:t xml:space="preserve">risk </w:t>
      </w:r>
      <w:r w:rsidR="00C868F6" w:rsidRPr="002725D9">
        <w:rPr>
          <w:rFonts w:ascii="Times New Roman" w:hAnsi="Times New Roman" w:cs="Times New Roman"/>
          <w:sz w:val="24"/>
          <w:szCs w:val="24"/>
        </w:rPr>
        <w:t>in SPAC-IPOs</w:t>
      </w:r>
      <w:r w:rsidR="00357B58">
        <w:rPr>
          <w:rFonts w:ascii="Times New Roman" w:hAnsi="Times New Roman" w:cs="Times New Roman"/>
          <w:sz w:val="24"/>
          <w:szCs w:val="24"/>
        </w:rPr>
        <w:t xml:space="preserve">. </w:t>
      </w:r>
      <w:r w:rsidR="00175AE0">
        <w:rPr>
          <w:rFonts w:ascii="Times New Roman" w:hAnsi="Times New Roman" w:cs="Times New Roman"/>
          <w:sz w:val="24"/>
          <w:szCs w:val="24"/>
        </w:rPr>
        <w:t>Our temporal analyses indicate that the heightened information risk of SPAC-IPOs does not dissipate</w:t>
      </w:r>
      <w:r w:rsidR="00284480">
        <w:rPr>
          <w:rFonts w:ascii="Times New Roman" w:hAnsi="Times New Roman" w:cs="Times New Roman"/>
          <w:sz w:val="24"/>
          <w:szCs w:val="24"/>
        </w:rPr>
        <w:t>,</w:t>
      </w:r>
      <w:r w:rsidR="00175AE0">
        <w:rPr>
          <w:rFonts w:ascii="Times New Roman" w:hAnsi="Times New Roman" w:cs="Times New Roman"/>
          <w:sz w:val="24"/>
          <w:szCs w:val="24"/>
        </w:rPr>
        <w:t xml:space="preserve"> </w:t>
      </w:r>
      <w:r w:rsidR="00123E60">
        <w:rPr>
          <w:rFonts w:ascii="Times New Roman" w:hAnsi="Times New Roman" w:cs="Times New Roman"/>
          <w:sz w:val="24"/>
          <w:szCs w:val="24"/>
        </w:rPr>
        <w:t>instead</w:t>
      </w:r>
      <w:r w:rsidR="00175AE0">
        <w:rPr>
          <w:rFonts w:ascii="Times New Roman" w:hAnsi="Times New Roman" w:cs="Times New Roman"/>
          <w:sz w:val="24"/>
          <w:szCs w:val="24"/>
        </w:rPr>
        <w:t xml:space="preserve"> </w:t>
      </w:r>
      <w:r w:rsidR="00284480">
        <w:rPr>
          <w:rFonts w:ascii="Times New Roman" w:hAnsi="Times New Roman" w:cs="Times New Roman"/>
          <w:sz w:val="24"/>
          <w:szCs w:val="24"/>
        </w:rPr>
        <w:t xml:space="preserve">it </w:t>
      </w:r>
      <w:r w:rsidR="00175AE0">
        <w:rPr>
          <w:rFonts w:ascii="Times New Roman" w:hAnsi="Times New Roman" w:cs="Times New Roman"/>
          <w:sz w:val="24"/>
          <w:szCs w:val="24"/>
        </w:rPr>
        <w:t xml:space="preserve">persists </w:t>
      </w:r>
      <w:r w:rsidR="00123E60">
        <w:rPr>
          <w:rFonts w:ascii="Times New Roman" w:hAnsi="Times New Roman" w:cs="Times New Roman"/>
          <w:sz w:val="24"/>
          <w:szCs w:val="24"/>
        </w:rPr>
        <w:t xml:space="preserve">into </w:t>
      </w:r>
      <w:r w:rsidR="00175AE0">
        <w:rPr>
          <w:rFonts w:ascii="Times New Roman" w:hAnsi="Times New Roman" w:cs="Times New Roman"/>
          <w:sz w:val="24"/>
          <w:szCs w:val="24"/>
        </w:rPr>
        <w:t xml:space="preserve">the post-IPO years. </w:t>
      </w:r>
    </w:p>
    <w:p w14:paraId="5F928AB2" w14:textId="3256D238" w:rsidR="0019651D" w:rsidRDefault="0046323B" w:rsidP="00F605C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To address various econometric concerns, we perform </w:t>
      </w:r>
      <w:r w:rsidR="00164603">
        <w:rPr>
          <w:rFonts w:ascii="Times New Roman" w:hAnsi="Times New Roman" w:cs="Times New Roman"/>
          <w:sz w:val="24"/>
        </w:rPr>
        <w:t>t</w:t>
      </w:r>
      <w:r w:rsidR="004C7343">
        <w:rPr>
          <w:rFonts w:ascii="Times New Roman" w:hAnsi="Times New Roman" w:cs="Times New Roman"/>
          <w:sz w:val="24"/>
        </w:rPr>
        <w:t xml:space="preserve">wo </w:t>
      </w:r>
      <w:r>
        <w:rPr>
          <w:rFonts w:ascii="Times New Roman" w:hAnsi="Times New Roman" w:cs="Times New Roman"/>
          <w:sz w:val="24"/>
        </w:rPr>
        <w:t xml:space="preserve">additional tests. First, we </w:t>
      </w:r>
      <w:r w:rsidR="00AD25FE">
        <w:rPr>
          <w:rFonts w:ascii="Times New Roman" w:hAnsi="Times New Roman" w:cs="Times New Roman"/>
          <w:sz w:val="24"/>
        </w:rPr>
        <w:t>examine</w:t>
      </w:r>
      <w:r>
        <w:rPr>
          <w:rFonts w:ascii="Times New Roman" w:hAnsi="Times New Roman" w:cs="Times New Roman"/>
          <w:sz w:val="24"/>
        </w:rPr>
        <w:t xml:space="preserve"> whether</w:t>
      </w:r>
      <w:r w:rsidR="00AB440B">
        <w:rPr>
          <w:rFonts w:ascii="Times New Roman" w:hAnsi="Times New Roman" w:cs="Times New Roman"/>
          <w:sz w:val="24"/>
        </w:rPr>
        <w:t>, as predicted by agency theories,</w:t>
      </w:r>
      <w:r>
        <w:rPr>
          <w:rFonts w:ascii="Times New Roman" w:hAnsi="Times New Roman" w:cs="Times New Roman"/>
          <w:sz w:val="24"/>
        </w:rPr>
        <w:t xml:space="preserve"> </w:t>
      </w:r>
      <w:r w:rsidR="004F2CD2">
        <w:rPr>
          <w:rFonts w:ascii="Times New Roman" w:hAnsi="Times New Roman" w:cs="Times New Roman"/>
          <w:sz w:val="24"/>
        </w:rPr>
        <w:t xml:space="preserve">the presence of </w:t>
      </w:r>
      <w:r>
        <w:rPr>
          <w:rFonts w:ascii="Times New Roman" w:hAnsi="Times New Roman" w:cs="Times New Roman"/>
          <w:sz w:val="24"/>
        </w:rPr>
        <w:t>SPAC-</w:t>
      </w:r>
      <w:r w:rsidR="00A933D8">
        <w:rPr>
          <w:rFonts w:ascii="Times New Roman" w:hAnsi="Times New Roman" w:cs="Times New Roman"/>
          <w:sz w:val="24"/>
        </w:rPr>
        <w:t>s</w:t>
      </w:r>
      <w:r>
        <w:rPr>
          <w:rFonts w:ascii="Times New Roman" w:hAnsi="Times New Roman" w:cs="Times New Roman"/>
          <w:sz w:val="24"/>
        </w:rPr>
        <w:t>ponsors</w:t>
      </w:r>
      <w:r w:rsidR="004F2CD2">
        <w:rPr>
          <w:rFonts w:ascii="Times New Roman" w:hAnsi="Times New Roman" w:cs="Times New Roman"/>
          <w:sz w:val="24"/>
        </w:rPr>
        <w:t xml:space="preserve"> on the board of the merged company</w:t>
      </w:r>
      <w:r w:rsidR="00164603">
        <w:rPr>
          <w:rFonts w:ascii="Times New Roman" w:hAnsi="Times New Roman" w:cs="Times New Roman"/>
          <w:sz w:val="24"/>
        </w:rPr>
        <w:t xml:space="preserve">, </w:t>
      </w:r>
      <w:r w:rsidR="00E62B01">
        <w:rPr>
          <w:rFonts w:ascii="Times New Roman" w:hAnsi="Times New Roman" w:cs="Times New Roman"/>
          <w:sz w:val="24"/>
        </w:rPr>
        <w:t>the participation of PIPE</w:t>
      </w:r>
      <w:r w:rsidR="00EC5AF3">
        <w:rPr>
          <w:rFonts w:ascii="Times New Roman" w:hAnsi="Times New Roman" w:cs="Times New Roman"/>
          <w:sz w:val="24"/>
        </w:rPr>
        <w:t xml:space="preserve"> investors</w:t>
      </w:r>
      <w:r w:rsidR="004E58F9">
        <w:rPr>
          <w:rFonts w:ascii="Times New Roman" w:hAnsi="Times New Roman" w:cs="Times New Roman"/>
          <w:sz w:val="24"/>
        </w:rPr>
        <w:t>,</w:t>
      </w:r>
      <w:r w:rsidR="00E62B01">
        <w:rPr>
          <w:rFonts w:ascii="Times New Roman" w:hAnsi="Times New Roman" w:cs="Times New Roman"/>
          <w:sz w:val="24"/>
        </w:rPr>
        <w:t xml:space="preserve"> </w:t>
      </w:r>
      <w:r w:rsidR="0065638C">
        <w:rPr>
          <w:rFonts w:ascii="Times New Roman" w:hAnsi="Times New Roman" w:cs="Times New Roman"/>
          <w:sz w:val="24"/>
        </w:rPr>
        <w:t xml:space="preserve">the time elapsed between a SPAC launch and </w:t>
      </w:r>
      <w:r w:rsidR="00A933D8">
        <w:rPr>
          <w:rFonts w:ascii="Times New Roman" w:hAnsi="Times New Roman" w:cs="Times New Roman"/>
          <w:sz w:val="24"/>
        </w:rPr>
        <w:t xml:space="preserve">its </w:t>
      </w:r>
      <w:r w:rsidR="0065638C">
        <w:rPr>
          <w:rFonts w:ascii="Times New Roman" w:hAnsi="Times New Roman" w:cs="Times New Roman"/>
          <w:sz w:val="24"/>
        </w:rPr>
        <w:t xml:space="preserve">merger with </w:t>
      </w:r>
      <w:r w:rsidR="00A933D8">
        <w:rPr>
          <w:rFonts w:ascii="Times New Roman" w:hAnsi="Times New Roman" w:cs="Times New Roman"/>
          <w:sz w:val="24"/>
        </w:rPr>
        <w:t xml:space="preserve">a </w:t>
      </w:r>
      <w:r w:rsidR="0065638C">
        <w:rPr>
          <w:rFonts w:ascii="Times New Roman" w:hAnsi="Times New Roman" w:cs="Times New Roman"/>
          <w:sz w:val="24"/>
        </w:rPr>
        <w:t>target</w:t>
      </w:r>
      <w:r w:rsidR="00164603">
        <w:rPr>
          <w:rFonts w:ascii="Times New Roman" w:hAnsi="Times New Roman" w:cs="Times New Roman"/>
          <w:sz w:val="24"/>
        </w:rPr>
        <w:t xml:space="preserve"> </w:t>
      </w:r>
      <w:r w:rsidR="004F2CD2">
        <w:rPr>
          <w:rFonts w:ascii="Times New Roman" w:hAnsi="Times New Roman" w:cs="Times New Roman"/>
          <w:sz w:val="24"/>
        </w:rPr>
        <w:t xml:space="preserve">affects the SPAC-IPO’s </w:t>
      </w:r>
      <w:r w:rsidR="0098597D">
        <w:rPr>
          <w:rFonts w:ascii="Times New Roman" w:hAnsi="Times New Roman" w:cs="Times New Roman"/>
          <w:sz w:val="24"/>
        </w:rPr>
        <w:t>auditor</w:t>
      </w:r>
      <w:r w:rsidR="004F2CD2">
        <w:rPr>
          <w:rFonts w:ascii="Times New Roman" w:hAnsi="Times New Roman" w:cs="Times New Roman"/>
          <w:sz w:val="24"/>
        </w:rPr>
        <w:t xml:space="preserve"> demand, </w:t>
      </w:r>
      <w:r w:rsidR="0065638C">
        <w:rPr>
          <w:rFonts w:ascii="Times New Roman" w:hAnsi="Times New Roman" w:cs="Times New Roman"/>
          <w:sz w:val="24"/>
        </w:rPr>
        <w:t>an</w:t>
      </w:r>
      <w:r w:rsidR="004F2CD2">
        <w:rPr>
          <w:rFonts w:ascii="Times New Roman" w:hAnsi="Times New Roman" w:cs="Times New Roman"/>
          <w:sz w:val="24"/>
        </w:rPr>
        <w:t>d</w:t>
      </w:r>
      <w:r w:rsidR="0065638C">
        <w:rPr>
          <w:rFonts w:ascii="Times New Roman" w:hAnsi="Times New Roman" w:cs="Times New Roman"/>
          <w:sz w:val="24"/>
        </w:rPr>
        <w:t xml:space="preserve"> d</w:t>
      </w:r>
      <w:r w:rsidR="004F2CD2">
        <w:rPr>
          <w:rFonts w:ascii="Times New Roman" w:hAnsi="Times New Roman" w:cs="Times New Roman"/>
          <w:sz w:val="24"/>
        </w:rPr>
        <w:t xml:space="preserve">isclosure and reporting quality. </w:t>
      </w:r>
      <w:r w:rsidR="008B3816">
        <w:rPr>
          <w:rFonts w:ascii="Times New Roman" w:hAnsi="Times New Roman" w:cs="Times New Roman"/>
          <w:sz w:val="24"/>
        </w:rPr>
        <w:t>Second, w</w:t>
      </w:r>
      <w:r w:rsidR="00FE4CD4">
        <w:rPr>
          <w:rFonts w:ascii="Times New Roman" w:hAnsi="Times New Roman" w:cs="Times New Roman"/>
          <w:sz w:val="24"/>
        </w:rPr>
        <w:t>e also replicate our results using entropy balancing.</w:t>
      </w:r>
      <w:r w:rsidR="0065638C">
        <w:rPr>
          <w:rFonts w:ascii="Times New Roman" w:hAnsi="Times New Roman" w:cs="Times New Roman"/>
          <w:sz w:val="24"/>
        </w:rPr>
        <w:t xml:space="preserve"> We find mostly consistent results</w:t>
      </w:r>
      <w:r w:rsidR="00175AE0">
        <w:rPr>
          <w:rFonts w:ascii="Times New Roman" w:hAnsi="Times New Roman" w:cs="Times New Roman"/>
          <w:sz w:val="24"/>
        </w:rPr>
        <w:t xml:space="preserve"> from these added tests</w:t>
      </w:r>
      <w:r w:rsidR="0065638C">
        <w:rPr>
          <w:rFonts w:ascii="Times New Roman" w:hAnsi="Times New Roman" w:cs="Times New Roman"/>
          <w:sz w:val="24"/>
        </w:rPr>
        <w:t>.</w:t>
      </w:r>
    </w:p>
    <w:p w14:paraId="0B094A39" w14:textId="6F26B8A3" w:rsidR="006250D9" w:rsidRPr="00F76A49" w:rsidRDefault="00175AE0" w:rsidP="008F0839">
      <w:pPr>
        <w:pStyle w:val="ListParagraph"/>
        <w:spacing w:after="0" w:line="480" w:lineRule="auto"/>
        <w:ind w:left="0" w:firstLine="720"/>
        <w:jc w:val="both"/>
        <w:rPr>
          <w:sz w:val="24"/>
        </w:rPr>
      </w:pPr>
      <w:r>
        <w:rPr>
          <w:rFonts w:ascii="Times New Roman" w:hAnsi="Times New Roman" w:cs="Times New Roman"/>
          <w:sz w:val="24"/>
          <w:szCs w:val="24"/>
        </w:rPr>
        <w:t xml:space="preserve">Finally, as in prior studies, we find that SPAC-IPOs underperform following the deal closing date and this underperformance increases over time. More importantly, we demonstrate that </w:t>
      </w:r>
      <w:r w:rsidR="00284480">
        <w:rPr>
          <w:rFonts w:ascii="Times New Roman" w:hAnsi="Times New Roman" w:cs="Times New Roman"/>
          <w:sz w:val="24"/>
          <w:szCs w:val="24"/>
        </w:rPr>
        <w:t xml:space="preserve">our proxies for </w:t>
      </w:r>
      <w:r>
        <w:rPr>
          <w:rFonts w:ascii="Times New Roman" w:hAnsi="Times New Roman" w:cs="Times New Roman"/>
          <w:sz w:val="24"/>
          <w:szCs w:val="24"/>
        </w:rPr>
        <w:t>information risk explain the underperformance</w:t>
      </w:r>
      <w:r w:rsidR="00284480">
        <w:rPr>
          <w:rFonts w:ascii="Times New Roman" w:hAnsi="Times New Roman" w:cs="Times New Roman"/>
          <w:sz w:val="24"/>
          <w:szCs w:val="24"/>
        </w:rPr>
        <w:t xml:space="preserve"> of SPAC-IPOs</w:t>
      </w:r>
      <w:r w:rsidR="003D3292">
        <w:rPr>
          <w:rFonts w:ascii="Times New Roman" w:hAnsi="Times New Roman" w:cs="Times New Roman"/>
          <w:sz w:val="24"/>
          <w:szCs w:val="24"/>
        </w:rPr>
        <w:t>,</w:t>
      </w:r>
      <w:r>
        <w:rPr>
          <w:rFonts w:ascii="Times New Roman" w:hAnsi="Times New Roman" w:cs="Times New Roman"/>
          <w:sz w:val="24"/>
          <w:szCs w:val="24"/>
        </w:rPr>
        <w:t xml:space="preserve"> indicating that the higher information risk of SPAC-IPOs is priced by investors. </w:t>
      </w:r>
      <w:r w:rsidR="005B1EF9">
        <w:rPr>
          <w:rFonts w:ascii="Times New Roman" w:hAnsi="Times New Roman" w:cs="Times New Roman"/>
          <w:sz w:val="24"/>
          <w:szCs w:val="24"/>
        </w:rPr>
        <w:t xml:space="preserve">Our expectation is that the proposed SEC (2022) rules are </w:t>
      </w:r>
      <w:r w:rsidR="002A3285">
        <w:rPr>
          <w:rFonts w:ascii="Times New Roman" w:hAnsi="Times New Roman" w:cs="Times New Roman"/>
          <w:sz w:val="24"/>
          <w:szCs w:val="24"/>
        </w:rPr>
        <w:t xml:space="preserve">likely to </w:t>
      </w:r>
      <w:r w:rsidR="005B1EF9">
        <w:rPr>
          <w:rFonts w:ascii="Times New Roman" w:hAnsi="Times New Roman" w:cs="Times New Roman"/>
          <w:sz w:val="24"/>
          <w:szCs w:val="24"/>
        </w:rPr>
        <w:t xml:space="preserve">generate </w:t>
      </w:r>
      <w:r w:rsidR="002A3285">
        <w:rPr>
          <w:rFonts w:ascii="Times New Roman" w:hAnsi="Times New Roman" w:cs="Times New Roman"/>
          <w:sz w:val="24"/>
          <w:szCs w:val="24"/>
        </w:rPr>
        <w:t xml:space="preserve">more careful vetting of </w:t>
      </w:r>
      <w:r w:rsidR="005B1EF9">
        <w:rPr>
          <w:rFonts w:ascii="Times New Roman" w:hAnsi="Times New Roman" w:cs="Times New Roman"/>
          <w:sz w:val="24"/>
          <w:szCs w:val="24"/>
        </w:rPr>
        <w:t>the de-SPAC transactions</w:t>
      </w:r>
      <w:r w:rsidR="002A3285">
        <w:rPr>
          <w:rFonts w:ascii="Times New Roman" w:hAnsi="Times New Roman" w:cs="Times New Roman"/>
          <w:sz w:val="24"/>
          <w:szCs w:val="24"/>
        </w:rPr>
        <w:t xml:space="preserve">. </w:t>
      </w:r>
      <w:r w:rsidR="001E1EE1" w:rsidRPr="00F76A49">
        <w:rPr>
          <w:rFonts w:ascii="Times New Roman" w:hAnsi="Times New Roman" w:cs="Times New Roman"/>
          <w:sz w:val="24"/>
        </w:rPr>
        <w:br w:type="page"/>
      </w:r>
    </w:p>
    <w:p w14:paraId="68ECDB48" w14:textId="77777777" w:rsidR="00B711D3" w:rsidRPr="00B711D3" w:rsidRDefault="00B711D3" w:rsidP="00B711D3">
      <w:pPr>
        <w:spacing w:after="0" w:line="240" w:lineRule="auto"/>
        <w:jc w:val="both"/>
        <w:rPr>
          <w:rFonts w:ascii="Times New Roman" w:hAnsi="Times New Roman" w:cs="Times New Roman"/>
          <w:b/>
        </w:rPr>
      </w:pPr>
      <w:r w:rsidRPr="00B711D3">
        <w:rPr>
          <w:rFonts w:ascii="Times New Roman" w:hAnsi="Times New Roman" w:cs="Times New Roman"/>
          <w:b/>
        </w:rPr>
        <w:lastRenderedPageBreak/>
        <w:t>References</w:t>
      </w:r>
    </w:p>
    <w:p w14:paraId="61A54952" w14:textId="77777777" w:rsidR="00B711D3" w:rsidRPr="00B711D3" w:rsidRDefault="00B711D3" w:rsidP="00B711D3">
      <w:pPr>
        <w:spacing w:after="0" w:line="240" w:lineRule="auto"/>
        <w:jc w:val="both"/>
        <w:rPr>
          <w:rFonts w:ascii="Times New Roman" w:hAnsi="Times New Roman" w:cs="Times New Roman"/>
          <w:b/>
        </w:rPr>
      </w:pPr>
    </w:p>
    <w:p w14:paraId="1CFACBC6" w14:textId="77777777" w:rsidR="00B711D3" w:rsidRPr="009C1A94" w:rsidRDefault="00B711D3" w:rsidP="009C1A94">
      <w:pPr>
        <w:autoSpaceDE w:val="0"/>
        <w:autoSpaceDN w:val="0"/>
        <w:adjustRightInd w:val="0"/>
        <w:spacing w:after="0" w:line="240" w:lineRule="auto"/>
        <w:ind w:left="720" w:hanging="720"/>
        <w:jc w:val="both"/>
        <w:rPr>
          <w:rFonts w:ascii="Times New Roman" w:hAnsi="Times New Roman" w:cs="Times New Roman"/>
        </w:rPr>
      </w:pPr>
      <w:r w:rsidRPr="009C1A94">
        <w:rPr>
          <w:rFonts w:ascii="Times New Roman" w:hAnsi="Times New Roman" w:cs="Times New Roman"/>
        </w:rPr>
        <w:t xml:space="preserve">Abbott, L. J., Gunny, K., Pollard, T., 2017. The impact of litigation risk on auditor pricing behavior: Evidence from reverse mergers. </w:t>
      </w:r>
      <w:r w:rsidRPr="009C1A94">
        <w:rPr>
          <w:rFonts w:ascii="Times New Roman" w:hAnsi="Times New Roman" w:cs="Times New Roman"/>
          <w:i/>
        </w:rPr>
        <w:t>Contemporary Accounting Research</w:t>
      </w:r>
      <w:r w:rsidRPr="009C1A94">
        <w:rPr>
          <w:rFonts w:ascii="Times New Roman" w:hAnsi="Times New Roman" w:cs="Times New Roman"/>
        </w:rPr>
        <w:t xml:space="preserve"> 34(2): 1103-1127.</w:t>
      </w:r>
    </w:p>
    <w:p w14:paraId="5C681D81" w14:textId="1EB67ED8" w:rsidR="00B711D3" w:rsidRDefault="00B711D3" w:rsidP="009C1A94">
      <w:pPr>
        <w:autoSpaceDE w:val="0"/>
        <w:autoSpaceDN w:val="0"/>
        <w:adjustRightInd w:val="0"/>
        <w:spacing w:after="0" w:line="240" w:lineRule="auto"/>
        <w:ind w:left="720" w:hanging="720"/>
        <w:jc w:val="both"/>
        <w:rPr>
          <w:rFonts w:ascii="Times New Roman" w:hAnsi="Times New Roman" w:cs="Times New Roman"/>
        </w:rPr>
      </w:pPr>
    </w:p>
    <w:p w14:paraId="5A2CF790" w14:textId="5A7994F3" w:rsidR="003F64CB" w:rsidRDefault="007B5E2B" w:rsidP="009C1A94">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Americans for Financial Reform (</w:t>
      </w:r>
      <w:r w:rsidR="003F64CB">
        <w:rPr>
          <w:rFonts w:ascii="Times New Roman" w:hAnsi="Times New Roman" w:cs="Times New Roman"/>
        </w:rPr>
        <w:t>AFR</w:t>
      </w:r>
      <w:r>
        <w:rPr>
          <w:rFonts w:ascii="Times New Roman" w:hAnsi="Times New Roman" w:cs="Times New Roman"/>
        </w:rPr>
        <w:t>)</w:t>
      </w:r>
      <w:r w:rsidR="003F64CB">
        <w:rPr>
          <w:rFonts w:ascii="Times New Roman" w:hAnsi="Times New Roman" w:cs="Times New Roman"/>
        </w:rPr>
        <w:t>, 2021. Letter from Americans for Financial Reform</w:t>
      </w:r>
      <w:r w:rsidR="00C52202">
        <w:rPr>
          <w:rFonts w:ascii="Times New Roman" w:hAnsi="Times New Roman" w:cs="Times New Roman"/>
        </w:rPr>
        <w:t xml:space="preserve"> (AFR)</w:t>
      </w:r>
      <w:r w:rsidR="003F64CB">
        <w:rPr>
          <w:rFonts w:ascii="Times New Roman" w:hAnsi="Times New Roman" w:cs="Times New Roman"/>
        </w:rPr>
        <w:t xml:space="preserve"> to the House Financial Services Committee dated February 16, 2021. </w:t>
      </w:r>
      <w:hyperlink r:id="rId15" w:history="1">
        <w:r w:rsidRPr="00F50B90">
          <w:rPr>
            <w:rStyle w:val="Hyperlink"/>
            <w:rFonts w:ascii="Times New Roman" w:hAnsi="Times New Roman" w:cs="Times New Roman"/>
          </w:rPr>
          <w:t>https://ourfinancialsecurity.org/wp-content/uploads/2021/02/AFR-Letter-on-SPACs-to-HFSC-FINAL.pdf</w:t>
        </w:r>
      </w:hyperlink>
    </w:p>
    <w:p w14:paraId="5FF52D2E" w14:textId="77777777" w:rsidR="003F64CB" w:rsidRDefault="003F64CB" w:rsidP="009C1A94">
      <w:pPr>
        <w:autoSpaceDE w:val="0"/>
        <w:autoSpaceDN w:val="0"/>
        <w:adjustRightInd w:val="0"/>
        <w:spacing w:after="0" w:line="240" w:lineRule="auto"/>
        <w:ind w:left="720" w:hanging="720"/>
        <w:jc w:val="both"/>
        <w:rPr>
          <w:rFonts w:ascii="Times New Roman" w:hAnsi="Times New Roman" w:cs="Times New Roman"/>
        </w:rPr>
      </w:pPr>
    </w:p>
    <w:p w14:paraId="2140CF02" w14:textId="006C90A1" w:rsidR="00B711D3" w:rsidRPr="009C1A94" w:rsidRDefault="00B711D3" w:rsidP="009C1A94">
      <w:pPr>
        <w:autoSpaceDE w:val="0"/>
        <w:autoSpaceDN w:val="0"/>
        <w:adjustRightInd w:val="0"/>
        <w:spacing w:after="0" w:line="240" w:lineRule="auto"/>
        <w:ind w:left="720" w:hanging="720"/>
        <w:jc w:val="both"/>
        <w:rPr>
          <w:rFonts w:ascii="Times New Roman" w:hAnsi="Times New Roman" w:cs="Times New Roman"/>
        </w:rPr>
      </w:pPr>
      <w:r w:rsidRPr="009C1A94">
        <w:rPr>
          <w:rFonts w:ascii="Times New Roman" w:hAnsi="Times New Roman" w:cs="Times New Roman"/>
        </w:rPr>
        <w:t xml:space="preserve">Armstrong, C., Foster, G., Taylor, D., </w:t>
      </w:r>
      <w:r w:rsidR="00003479" w:rsidRPr="009C1A94">
        <w:rPr>
          <w:rFonts w:ascii="Times New Roman" w:hAnsi="Times New Roman" w:cs="Times New Roman"/>
        </w:rPr>
        <w:t>2016</w:t>
      </w:r>
      <w:r w:rsidRPr="009C1A94">
        <w:rPr>
          <w:rFonts w:ascii="Times New Roman" w:hAnsi="Times New Roman" w:cs="Times New Roman"/>
        </w:rPr>
        <w:t xml:space="preserve">. Abnormal accruals in newly public companies: Opportunistic misreporting or economic activity? </w:t>
      </w:r>
      <w:r w:rsidRPr="009C1A94">
        <w:rPr>
          <w:rFonts w:ascii="Times New Roman" w:hAnsi="Times New Roman" w:cs="Times New Roman"/>
          <w:i/>
        </w:rPr>
        <w:t>Management Science</w:t>
      </w:r>
      <w:r w:rsidRPr="009C1A94">
        <w:rPr>
          <w:rFonts w:ascii="Times New Roman" w:hAnsi="Times New Roman" w:cs="Times New Roman"/>
        </w:rPr>
        <w:t xml:space="preserve"> 62(5): 1316-1338.</w:t>
      </w:r>
    </w:p>
    <w:p w14:paraId="4E523DD7" w14:textId="77777777" w:rsidR="00B711D3" w:rsidRPr="009C1A94" w:rsidRDefault="00B711D3" w:rsidP="009C1A94">
      <w:pPr>
        <w:autoSpaceDE w:val="0"/>
        <w:autoSpaceDN w:val="0"/>
        <w:adjustRightInd w:val="0"/>
        <w:spacing w:after="0" w:line="240" w:lineRule="auto"/>
        <w:ind w:left="720" w:hanging="720"/>
        <w:jc w:val="both"/>
        <w:rPr>
          <w:rFonts w:ascii="Times New Roman" w:hAnsi="Times New Roman" w:cs="Times New Roman"/>
        </w:rPr>
      </w:pPr>
    </w:p>
    <w:p w14:paraId="09F9758C" w14:textId="76191C27" w:rsidR="00311A1E" w:rsidRDefault="00311A1E" w:rsidP="009C1A94">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Bazerman, M. H., and Patel, P., 2021, SPACs: What you need to know</w:t>
      </w:r>
      <w:r w:rsidR="00A85C64">
        <w:rPr>
          <w:rFonts w:ascii="Times New Roman" w:hAnsi="Times New Roman" w:cs="Times New Roman"/>
        </w:rPr>
        <w:t>.</w:t>
      </w:r>
      <w:r>
        <w:rPr>
          <w:rFonts w:ascii="Times New Roman" w:hAnsi="Times New Roman" w:cs="Times New Roman"/>
        </w:rPr>
        <w:t xml:space="preserve"> </w:t>
      </w:r>
      <w:r w:rsidRPr="00A978F3">
        <w:rPr>
          <w:rFonts w:ascii="Times New Roman" w:hAnsi="Times New Roman" w:cs="Times New Roman"/>
          <w:i/>
        </w:rPr>
        <w:t>Harvard Business Review</w:t>
      </w:r>
      <w:r>
        <w:rPr>
          <w:rFonts w:ascii="Times New Roman" w:hAnsi="Times New Roman" w:cs="Times New Roman"/>
        </w:rPr>
        <w:t>, May-June.</w:t>
      </w:r>
    </w:p>
    <w:p w14:paraId="1009B24F" w14:textId="666BC620" w:rsidR="00456573" w:rsidRDefault="00311A1E" w:rsidP="009C1A94">
      <w:pPr>
        <w:autoSpaceDE w:val="0"/>
        <w:autoSpaceDN w:val="0"/>
        <w:adjustRightInd w:val="0"/>
        <w:spacing w:after="0" w:line="240" w:lineRule="auto"/>
        <w:ind w:left="720" w:hanging="720"/>
        <w:jc w:val="both"/>
        <w:rPr>
          <w:rFonts w:ascii="Times New Roman" w:hAnsi="Times New Roman" w:cs="Times New Roman"/>
          <w:u w:val="single"/>
        </w:rPr>
      </w:pPr>
      <w:r>
        <w:rPr>
          <w:rFonts w:ascii="Times New Roman" w:hAnsi="Times New Roman" w:cs="Times New Roman"/>
        </w:rPr>
        <w:t xml:space="preserve">  </w:t>
      </w:r>
    </w:p>
    <w:p w14:paraId="73AE8925" w14:textId="77777777" w:rsidR="00764D77" w:rsidRDefault="00456573" w:rsidP="009C1A94">
      <w:pPr>
        <w:spacing w:after="0"/>
        <w:ind w:left="720" w:hanging="720"/>
        <w:jc w:val="both"/>
        <w:rPr>
          <w:rFonts w:ascii="Times New Roman" w:hAnsi="Times New Roman" w:cs="Times New Roman"/>
          <w:i/>
          <w:u w:val="single"/>
        </w:rPr>
      </w:pPr>
      <w:r w:rsidRPr="00EA6EAA">
        <w:rPr>
          <w:rFonts w:ascii="Times New Roman" w:hAnsi="Times New Roman" w:cs="Times New Roman"/>
        </w:rPr>
        <w:t xml:space="preserve">Blankespoor, E., Hendricks, B.E., Miller, G.S. and Stockbridge Jr, D.R., 2022. A hard look at SPAC projections. </w:t>
      </w:r>
      <w:r w:rsidR="008A71A7" w:rsidRPr="00EA6EAA">
        <w:rPr>
          <w:rFonts w:ascii="Times New Roman" w:hAnsi="Times New Roman" w:cs="Times New Roman"/>
        </w:rPr>
        <w:t xml:space="preserve">Forthcoming at </w:t>
      </w:r>
      <w:r w:rsidRPr="00EA6EAA">
        <w:rPr>
          <w:rFonts w:ascii="Times New Roman" w:hAnsi="Times New Roman" w:cs="Times New Roman"/>
          <w:i/>
        </w:rPr>
        <w:t>Management Science</w:t>
      </w:r>
      <w:r w:rsidR="008A71A7" w:rsidRPr="00EA6EAA">
        <w:rPr>
          <w:rFonts w:ascii="Times New Roman" w:hAnsi="Times New Roman" w:cs="Times New Roman"/>
          <w:i/>
        </w:rPr>
        <w:t>.</w:t>
      </w:r>
    </w:p>
    <w:p w14:paraId="62190AC4" w14:textId="77777777" w:rsidR="00764D77" w:rsidRDefault="00764D77" w:rsidP="009C1A94">
      <w:pPr>
        <w:spacing w:after="0"/>
        <w:ind w:left="720" w:hanging="720"/>
        <w:jc w:val="both"/>
        <w:rPr>
          <w:rFonts w:ascii="Times New Roman" w:hAnsi="Times New Roman" w:cs="Times New Roman"/>
        </w:rPr>
      </w:pPr>
    </w:p>
    <w:p w14:paraId="27B1D58B" w14:textId="31E610A3" w:rsidR="00686E22" w:rsidRPr="009C1A94" w:rsidRDefault="00686E22" w:rsidP="009C1A94">
      <w:pPr>
        <w:spacing w:after="0"/>
        <w:ind w:left="720" w:hanging="720"/>
        <w:jc w:val="both"/>
        <w:rPr>
          <w:rFonts w:ascii="Times New Roman" w:hAnsi="Times New Roman" w:cs="Times New Roman"/>
        </w:rPr>
      </w:pPr>
      <w:r w:rsidRPr="009C1A94">
        <w:rPr>
          <w:rFonts w:ascii="Times New Roman" w:hAnsi="Times New Roman" w:cs="Times New Roman"/>
        </w:rPr>
        <w:t>Bushee, B. J., Leuz, C., 2005. Economic consequences of SEC disclosure regulation: Evidence from the OTC bulletin board. </w:t>
      </w:r>
      <w:r w:rsidRPr="009C1A94">
        <w:rPr>
          <w:rFonts w:ascii="Times New Roman" w:hAnsi="Times New Roman" w:cs="Times New Roman"/>
          <w:i/>
        </w:rPr>
        <w:t>Journal of Accounting and Economics</w:t>
      </w:r>
      <w:r w:rsidRPr="009C1A94">
        <w:rPr>
          <w:rFonts w:ascii="Times New Roman" w:hAnsi="Times New Roman" w:cs="Times New Roman"/>
        </w:rPr>
        <w:t> 39(2): 233-264.</w:t>
      </w:r>
    </w:p>
    <w:p w14:paraId="6AFADE41"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352D57C1" w14:textId="0ADCEBB0"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Chapman, K., Miller, G. S., White, H. D., 2019. Investor relations and information assimilation. </w:t>
      </w:r>
      <w:r w:rsidRPr="009C1A94">
        <w:rPr>
          <w:rFonts w:ascii="Times New Roman" w:hAnsi="Times New Roman" w:cs="Times New Roman"/>
          <w:i/>
        </w:rPr>
        <w:t>The Accounting Review</w:t>
      </w:r>
      <w:r w:rsidRPr="009C1A94">
        <w:rPr>
          <w:rFonts w:ascii="Times New Roman" w:hAnsi="Times New Roman" w:cs="Times New Roman"/>
        </w:rPr>
        <w:t xml:space="preserve"> 94(2): 105-131.</w:t>
      </w:r>
    </w:p>
    <w:p w14:paraId="278C4F92"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4CD56051"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Choi, J. H., Kim, J. B., Liu, X., Simunic, D.A., 2008. Audit pricing, legal liability regimes, and Big 4 premiums: Theory and cross‐country evidence. </w:t>
      </w:r>
      <w:r w:rsidRPr="009C1A94">
        <w:rPr>
          <w:rFonts w:ascii="Times New Roman" w:hAnsi="Times New Roman" w:cs="Times New Roman"/>
          <w:i/>
          <w:iCs/>
        </w:rPr>
        <w:t>Contemporary Accounting Research</w:t>
      </w:r>
      <w:r w:rsidRPr="009C1A94">
        <w:rPr>
          <w:rFonts w:ascii="Times New Roman" w:hAnsi="Times New Roman" w:cs="Times New Roman"/>
        </w:rPr>
        <w:t>, 25(1), pp.55-99.</w:t>
      </w:r>
    </w:p>
    <w:p w14:paraId="30DCD9D2"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722AB742" w14:textId="77777777" w:rsidR="00B711D3" w:rsidRPr="009C1A94" w:rsidRDefault="00B711D3" w:rsidP="009C1A94">
      <w:pPr>
        <w:tabs>
          <w:tab w:val="left" w:pos="0"/>
          <w:tab w:val="left" w:pos="360"/>
        </w:tabs>
        <w:spacing w:after="0" w:line="240" w:lineRule="auto"/>
        <w:ind w:left="660" w:hangingChars="300" w:hanging="660"/>
        <w:jc w:val="both"/>
        <w:rPr>
          <w:rFonts w:ascii="Times New Roman" w:hAnsi="Times New Roman" w:cs="Times New Roman"/>
        </w:rPr>
      </w:pPr>
      <w:r w:rsidRPr="009C1A94">
        <w:rPr>
          <w:rFonts w:ascii="Times New Roman" w:hAnsi="Times New Roman" w:cs="Times New Roman"/>
        </w:rPr>
        <w:t xml:space="preserve">Collins, D. W., Kothari, S. P., 1989. An analysis of intertemporal and cross-sectional determinants of earnings response coefficients. </w:t>
      </w:r>
      <w:r w:rsidRPr="009C1A94">
        <w:rPr>
          <w:rFonts w:ascii="Times New Roman" w:hAnsi="Times New Roman" w:cs="Times New Roman"/>
          <w:i/>
        </w:rPr>
        <w:t>Journal of Accounting and Economics</w:t>
      </w:r>
      <w:r w:rsidRPr="009C1A94">
        <w:rPr>
          <w:rFonts w:ascii="Times New Roman" w:hAnsi="Times New Roman" w:cs="Times New Roman"/>
        </w:rPr>
        <w:t xml:space="preserve"> 11(2-3): 143-181.</w:t>
      </w:r>
    </w:p>
    <w:p w14:paraId="4B98E16F"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430D4AC6" w14:textId="77777777" w:rsidR="00B711D3" w:rsidRPr="009C1A94" w:rsidRDefault="00B711D3" w:rsidP="009C1A94">
      <w:pPr>
        <w:spacing w:after="0" w:line="240" w:lineRule="auto"/>
        <w:ind w:left="720" w:hanging="720"/>
        <w:jc w:val="both"/>
        <w:rPr>
          <w:rFonts w:ascii="Times New Roman" w:hAnsi="Times New Roman" w:cs="Times New Roman"/>
          <w:shd w:val="clear" w:color="auto" w:fill="FFFFFF"/>
        </w:rPr>
      </w:pPr>
      <w:r w:rsidRPr="009C1A94">
        <w:rPr>
          <w:rFonts w:ascii="Times New Roman" w:hAnsi="Times New Roman" w:cs="Times New Roman"/>
          <w:shd w:val="clear" w:color="auto" w:fill="FFFFFF"/>
        </w:rPr>
        <w:t>DeFond, M., Zhang, J., 2014. A review of archival auditing research. </w:t>
      </w:r>
      <w:r w:rsidRPr="009C1A94">
        <w:rPr>
          <w:rFonts w:ascii="Times New Roman" w:hAnsi="Times New Roman" w:cs="Times New Roman"/>
          <w:i/>
          <w:iCs/>
          <w:shd w:val="clear" w:color="auto" w:fill="FFFFFF"/>
        </w:rPr>
        <w:t>Journal of Accounting and Economics</w:t>
      </w:r>
      <w:r w:rsidRPr="009C1A94">
        <w:rPr>
          <w:rFonts w:ascii="Times New Roman" w:hAnsi="Times New Roman" w:cs="Times New Roman"/>
          <w:shd w:val="clear" w:color="auto" w:fill="FFFFFF"/>
        </w:rPr>
        <w:t xml:space="preserve"> 58 (2–3): 275–326.</w:t>
      </w:r>
    </w:p>
    <w:p w14:paraId="6FFA5389"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7163A527" w14:textId="77777777" w:rsidR="00B711D3" w:rsidRPr="009C1A94" w:rsidRDefault="00B711D3" w:rsidP="009C1A94">
      <w:pPr>
        <w:pStyle w:val="Heading1"/>
        <w:spacing w:before="0" w:beforeAutospacing="0" w:after="0" w:afterAutospacing="0"/>
        <w:ind w:left="720" w:hanging="720"/>
        <w:jc w:val="both"/>
        <w:rPr>
          <w:b w:val="0"/>
          <w:sz w:val="22"/>
          <w:szCs w:val="22"/>
          <w:u w:val="single"/>
        </w:rPr>
      </w:pPr>
      <w:r w:rsidRPr="009C1A94">
        <w:rPr>
          <w:b w:val="0"/>
          <w:sz w:val="22"/>
          <w:szCs w:val="22"/>
        </w:rPr>
        <w:t xml:space="preserve">Deloitte, 2020, A primer on SPACs: Risks and trends amid a shifting IPO landscape, </w:t>
      </w:r>
      <w:hyperlink r:id="rId16" w:history="1">
        <w:r w:rsidRPr="009C1A94">
          <w:rPr>
            <w:rStyle w:val="Hyperlink"/>
            <w:b w:val="0"/>
            <w:sz w:val="22"/>
            <w:szCs w:val="22"/>
          </w:rPr>
          <w:t>https://dart.deloitte.com/USDART/home/publications/deloitte/financial-reporting-alerts/2020/spac-transactions</w:t>
        </w:r>
      </w:hyperlink>
    </w:p>
    <w:p w14:paraId="16C3C913" w14:textId="77777777" w:rsidR="00B711D3" w:rsidRPr="009C1A94" w:rsidRDefault="00B711D3" w:rsidP="009C1A94">
      <w:pPr>
        <w:pStyle w:val="Heading1"/>
        <w:spacing w:before="0" w:beforeAutospacing="0" w:after="0" w:afterAutospacing="0"/>
        <w:jc w:val="both"/>
        <w:rPr>
          <w:b w:val="0"/>
          <w:sz w:val="22"/>
          <w:szCs w:val="22"/>
        </w:rPr>
      </w:pPr>
    </w:p>
    <w:p w14:paraId="700593C6"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Dimitrova, L., 2017. Perverse incentives of special purpose acquisition companies, the poor man’s private equity funds, </w:t>
      </w:r>
      <w:r w:rsidRPr="009C1A94">
        <w:rPr>
          <w:rFonts w:ascii="Times New Roman" w:hAnsi="Times New Roman" w:cs="Times New Roman"/>
          <w:i/>
        </w:rPr>
        <w:t>Journal of Accounting and Economics</w:t>
      </w:r>
      <w:r w:rsidRPr="009C1A94">
        <w:rPr>
          <w:rFonts w:ascii="Times New Roman" w:hAnsi="Times New Roman" w:cs="Times New Roman"/>
        </w:rPr>
        <w:t xml:space="preserve"> 63, 99-120.</w:t>
      </w:r>
    </w:p>
    <w:p w14:paraId="210303C6"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0BB48BB0"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Doyle, J. T., Magilke, M. J., 2013. Decision usefulness and accelerated filing deadlines, </w:t>
      </w:r>
      <w:r w:rsidRPr="009C1A94">
        <w:rPr>
          <w:rFonts w:ascii="Times New Roman" w:hAnsi="Times New Roman" w:cs="Times New Roman"/>
          <w:i/>
        </w:rPr>
        <w:t>Journal of Accounting Research</w:t>
      </w:r>
      <w:r w:rsidRPr="009C1A94">
        <w:rPr>
          <w:rFonts w:ascii="Times New Roman" w:hAnsi="Times New Roman" w:cs="Times New Roman"/>
        </w:rPr>
        <w:t xml:space="preserve"> 51, 249-281.</w:t>
      </w:r>
    </w:p>
    <w:p w14:paraId="285FA0BA"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5FB44444"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Francis, J., LaFond, R., Olsson, P. M., Schipper, K., 2004. Costs of equity and earnings attributes. </w:t>
      </w:r>
      <w:r w:rsidRPr="009C1A94">
        <w:rPr>
          <w:rFonts w:ascii="Times New Roman" w:hAnsi="Times New Roman" w:cs="Times New Roman"/>
          <w:i/>
        </w:rPr>
        <w:t>The Accounting Review</w:t>
      </w:r>
      <w:r w:rsidRPr="009C1A94">
        <w:rPr>
          <w:rFonts w:ascii="Times New Roman" w:hAnsi="Times New Roman" w:cs="Times New Roman"/>
        </w:rPr>
        <w:t xml:space="preserve"> 79(4): 967-1010.</w:t>
      </w:r>
    </w:p>
    <w:p w14:paraId="21ABD22D"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57AACA49"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Francis, J. R., Wang, W., 2021. Common auditors and private bank loans. </w:t>
      </w:r>
      <w:r w:rsidRPr="009C1A94">
        <w:rPr>
          <w:rFonts w:ascii="Times New Roman" w:hAnsi="Times New Roman" w:cs="Times New Roman"/>
          <w:i/>
        </w:rPr>
        <w:t>Contemporary Accounting Research</w:t>
      </w:r>
      <w:r w:rsidRPr="009C1A94">
        <w:rPr>
          <w:rFonts w:ascii="Times New Roman" w:hAnsi="Times New Roman" w:cs="Times New Roman"/>
        </w:rPr>
        <w:t xml:space="preserve"> 38(1): 793-832.</w:t>
      </w:r>
    </w:p>
    <w:p w14:paraId="4E1F265D"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1C0FA171"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Gahng, M., Ritter, J. R., Zhang, D., 2021. SPACs. Working paper, University of Florida, FL.</w:t>
      </w:r>
    </w:p>
    <w:p w14:paraId="1EB135DC"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0F6BE92E" w14:textId="5CEC8A3C"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Ghosh, A., Siriviriyakul, S., 2018. Quasi rents to audit firms from longer tenure. </w:t>
      </w:r>
      <w:r w:rsidRPr="009C1A94">
        <w:rPr>
          <w:rFonts w:ascii="Times New Roman" w:hAnsi="Times New Roman" w:cs="Times New Roman"/>
          <w:i/>
          <w:iCs/>
        </w:rPr>
        <w:t>Accounting Horizons</w:t>
      </w:r>
      <w:r w:rsidRPr="009C1A94">
        <w:rPr>
          <w:rFonts w:ascii="Times New Roman" w:hAnsi="Times New Roman" w:cs="Times New Roman"/>
        </w:rPr>
        <w:t xml:space="preserve"> 32(2)</w:t>
      </w:r>
      <w:r w:rsidR="00042B95">
        <w:rPr>
          <w:rFonts w:ascii="Times New Roman" w:hAnsi="Times New Roman" w:cs="Times New Roman"/>
        </w:rPr>
        <w:t>:</w:t>
      </w:r>
      <w:r w:rsidRPr="009C1A94">
        <w:rPr>
          <w:rFonts w:ascii="Times New Roman" w:hAnsi="Times New Roman" w:cs="Times New Roman"/>
        </w:rPr>
        <w:t xml:space="preserve"> 81-102.</w:t>
      </w:r>
    </w:p>
    <w:p w14:paraId="39DD3C4A"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0111CB44" w14:textId="6E4F0C68" w:rsidR="006C1558" w:rsidRDefault="006C1558">
      <w:pPr>
        <w:autoSpaceDE w:val="0"/>
        <w:autoSpaceDN w:val="0"/>
        <w:adjustRightInd w:val="0"/>
        <w:spacing w:after="0" w:line="240" w:lineRule="auto"/>
        <w:ind w:left="720" w:hanging="720"/>
        <w:jc w:val="both"/>
      </w:pPr>
      <w:r>
        <w:rPr>
          <w:rFonts w:ascii="Times New Roman" w:hAnsi="Times New Roman" w:cs="Times New Roman"/>
        </w:rPr>
        <w:t>Investor Advisory Committee</w:t>
      </w:r>
      <w:r w:rsidR="007B5E2B">
        <w:rPr>
          <w:rFonts w:ascii="Times New Roman" w:hAnsi="Times New Roman" w:cs="Times New Roman"/>
        </w:rPr>
        <w:t xml:space="preserve"> (IAC)</w:t>
      </w:r>
      <w:r>
        <w:rPr>
          <w:rFonts w:ascii="Times New Roman" w:hAnsi="Times New Roman" w:cs="Times New Roman"/>
        </w:rPr>
        <w:t xml:space="preserve">, 2021. Recommendations of the Investor Advisory Committee regarding Special Purpose Acquisitions Companies. </w:t>
      </w:r>
      <w:hyperlink r:id="rId17" w:history="1">
        <w:r w:rsidRPr="00BE1676">
          <w:rPr>
            <w:rStyle w:val="Hyperlink"/>
            <w:rFonts w:ascii="Times New Roman" w:hAnsi="Times New Roman" w:cs="Times New Roman"/>
          </w:rPr>
          <w:t>h</w:t>
        </w:r>
        <w:r w:rsidRPr="00065B49">
          <w:rPr>
            <w:rStyle w:val="Hyperlink"/>
            <w:rFonts w:ascii="Times New Roman" w:hAnsi="Times New Roman" w:cs="Times New Roman"/>
            <w:sz w:val="20"/>
            <w:szCs w:val="20"/>
          </w:rPr>
          <w:t>ttps://www.sec.gov/spotlight/investor-advisory-committee-2012/20210909-spac-recommendation.pdf</w:t>
        </w:r>
      </w:hyperlink>
      <w:r>
        <w:rPr>
          <w:sz w:val="20"/>
          <w:szCs w:val="20"/>
        </w:rPr>
        <w:t xml:space="preserve">  </w:t>
      </w:r>
      <w:r>
        <w:t xml:space="preserve"> </w:t>
      </w:r>
    </w:p>
    <w:p w14:paraId="699BF26E" w14:textId="77777777" w:rsidR="00BA4EBE" w:rsidRDefault="00BA4EBE">
      <w:pPr>
        <w:autoSpaceDE w:val="0"/>
        <w:autoSpaceDN w:val="0"/>
        <w:adjustRightInd w:val="0"/>
        <w:spacing w:after="0" w:line="240" w:lineRule="auto"/>
        <w:ind w:left="720" w:hanging="720"/>
        <w:jc w:val="both"/>
        <w:rPr>
          <w:rFonts w:ascii="Times New Roman" w:hAnsi="Times New Roman" w:cs="Times New Roman"/>
        </w:rPr>
      </w:pPr>
    </w:p>
    <w:p w14:paraId="57FEADAE" w14:textId="38B7DFCF" w:rsidR="00955A2A" w:rsidRPr="00955A2A" w:rsidRDefault="00955A2A" w:rsidP="00955A2A">
      <w:pPr>
        <w:autoSpaceDE w:val="0"/>
        <w:autoSpaceDN w:val="0"/>
        <w:adjustRightInd w:val="0"/>
        <w:spacing w:after="0" w:line="240" w:lineRule="auto"/>
        <w:ind w:left="720" w:hanging="720"/>
        <w:jc w:val="both"/>
        <w:rPr>
          <w:rFonts w:ascii="Times New Roman" w:hAnsi="Times New Roman" w:cs="Times New Roman"/>
        </w:rPr>
      </w:pPr>
      <w:r w:rsidRPr="00955A2A">
        <w:rPr>
          <w:rFonts w:ascii="Times New Roman" w:hAnsi="Times New Roman" w:cs="Times New Roman"/>
        </w:rPr>
        <w:t>Jiang, C. X., J. Kim, and R. A. Wood, 2011. A comparison of volatility and bid–ask spread for NASDAQ and NYSE after decimalization</w:t>
      </w:r>
      <w:r w:rsidR="00A704D7">
        <w:rPr>
          <w:rFonts w:ascii="Times New Roman" w:hAnsi="Times New Roman" w:cs="Times New Roman"/>
        </w:rPr>
        <w:t>.</w:t>
      </w:r>
      <w:r w:rsidRPr="00955A2A">
        <w:rPr>
          <w:rFonts w:ascii="Times New Roman" w:hAnsi="Times New Roman" w:cs="Times New Roman"/>
        </w:rPr>
        <w:t xml:space="preserve"> </w:t>
      </w:r>
      <w:r w:rsidRPr="00AB4DE2">
        <w:rPr>
          <w:rFonts w:ascii="Times New Roman" w:hAnsi="Times New Roman" w:cs="Times New Roman"/>
          <w:i/>
        </w:rPr>
        <w:t>Applied Economics</w:t>
      </w:r>
      <w:r w:rsidRPr="00955A2A">
        <w:rPr>
          <w:rFonts w:ascii="Times New Roman" w:hAnsi="Times New Roman" w:cs="Times New Roman"/>
        </w:rPr>
        <w:t xml:space="preserve"> 43: 1227–1239.  </w:t>
      </w:r>
    </w:p>
    <w:p w14:paraId="6AFFE7DF" w14:textId="77777777" w:rsidR="00955A2A" w:rsidRDefault="00955A2A" w:rsidP="00955A2A">
      <w:pPr>
        <w:autoSpaceDE w:val="0"/>
        <w:autoSpaceDN w:val="0"/>
        <w:adjustRightInd w:val="0"/>
        <w:spacing w:after="0" w:line="240" w:lineRule="auto"/>
        <w:rPr>
          <w:rFonts w:ascii="Times New Roman" w:hAnsi="Times New Roman" w:cs="Times New Roman"/>
        </w:rPr>
      </w:pPr>
    </w:p>
    <w:p w14:paraId="500A5A54" w14:textId="2BDD64D4" w:rsidR="00B711D3" w:rsidRDefault="00B27C15" w:rsidP="00B16089">
      <w:pPr>
        <w:pStyle w:val="Heading1"/>
        <w:tabs>
          <w:tab w:val="left" w:pos="720"/>
        </w:tabs>
        <w:spacing w:before="0" w:beforeAutospacing="0" w:after="0" w:afterAutospacing="0"/>
        <w:ind w:left="720" w:hanging="720"/>
        <w:jc w:val="both"/>
        <w:rPr>
          <w:b w:val="0"/>
          <w:sz w:val="22"/>
          <w:szCs w:val="22"/>
        </w:rPr>
      </w:pPr>
      <w:r w:rsidRPr="00B27C15">
        <w:rPr>
          <w:b w:val="0"/>
          <w:sz w:val="22"/>
          <w:szCs w:val="22"/>
        </w:rPr>
        <w:t xml:space="preserve">Kim, J., Park, S., Peterson, K. and Wilson, R.J., 2022. Not Ready for Primetime: Financial Reporting Quality after SPAC Mergers. Forthcoming at </w:t>
      </w:r>
      <w:r w:rsidRPr="00B16089">
        <w:rPr>
          <w:b w:val="0"/>
          <w:i/>
          <w:sz w:val="22"/>
          <w:szCs w:val="22"/>
        </w:rPr>
        <w:t>Management Science</w:t>
      </w:r>
      <w:r w:rsidRPr="00B27C15">
        <w:rPr>
          <w:b w:val="0"/>
          <w:sz w:val="22"/>
          <w:szCs w:val="22"/>
        </w:rPr>
        <w:t>.</w:t>
      </w:r>
    </w:p>
    <w:p w14:paraId="6771D960" w14:textId="77777777" w:rsidR="00B27C15" w:rsidRPr="009C1A94" w:rsidRDefault="00B27C15" w:rsidP="00B16089">
      <w:pPr>
        <w:pStyle w:val="Heading1"/>
        <w:tabs>
          <w:tab w:val="left" w:pos="720"/>
        </w:tabs>
        <w:spacing w:before="0" w:beforeAutospacing="0" w:after="0" w:afterAutospacing="0"/>
        <w:ind w:left="720" w:hanging="720"/>
        <w:jc w:val="both"/>
        <w:rPr>
          <w:b w:val="0"/>
          <w:sz w:val="22"/>
          <w:szCs w:val="22"/>
        </w:rPr>
      </w:pPr>
    </w:p>
    <w:p w14:paraId="5D865147" w14:textId="28BFC238" w:rsidR="00B711D3" w:rsidRDefault="00B711D3" w:rsidP="009C1A94">
      <w:pPr>
        <w:pStyle w:val="Heading1"/>
        <w:spacing w:before="0" w:beforeAutospacing="0" w:after="0" w:afterAutospacing="0"/>
        <w:ind w:left="720" w:hanging="720"/>
        <w:jc w:val="both"/>
        <w:rPr>
          <w:b w:val="0"/>
          <w:sz w:val="22"/>
          <w:szCs w:val="22"/>
        </w:rPr>
      </w:pPr>
      <w:r w:rsidRPr="009C1A94">
        <w:rPr>
          <w:b w:val="0"/>
          <w:sz w:val="22"/>
          <w:szCs w:val="22"/>
        </w:rPr>
        <w:t xml:space="preserve">Kormendi, R., Lipe, R., 1987. Earnings innovations, earnings persistence, and stock returns. </w:t>
      </w:r>
      <w:r w:rsidRPr="009C1A94">
        <w:rPr>
          <w:b w:val="0"/>
          <w:i/>
          <w:sz w:val="22"/>
          <w:szCs w:val="22"/>
        </w:rPr>
        <w:t>The Journal of Business</w:t>
      </w:r>
      <w:r w:rsidRPr="009C1A94">
        <w:rPr>
          <w:b w:val="0"/>
          <w:sz w:val="22"/>
          <w:szCs w:val="22"/>
        </w:rPr>
        <w:t xml:space="preserve"> 60(3): 323-345.</w:t>
      </w:r>
    </w:p>
    <w:p w14:paraId="5F8AB08A" w14:textId="3CBDCBD6" w:rsidR="007600BF" w:rsidRDefault="007600BF" w:rsidP="009C1A94">
      <w:pPr>
        <w:pStyle w:val="Heading1"/>
        <w:spacing w:before="0" w:beforeAutospacing="0" w:after="0" w:afterAutospacing="0"/>
        <w:ind w:left="720" w:hanging="720"/>
        <w:jc w:val="both"/>
        <w:rPr>
          <w:b w:val="0"/>
          <w:sz w:val="22"/>
          <w:szCs w:val="22"/>
        </w:rPr>
      </w:pPr>
    </w:p>
    <w:p w14:paraId="5841B089" w14:textId="2121181F" w:rsidR="007600BF" w:rsidRDefault="007600BF" w:rsidP="009C1A94">
      <w:pPr>
        <w:pStyle w:val="Heading1"/>
        <w:spacing w:before="0" w:beforeAutospacing="0" w:after="0" w:afterAutospacing="0"/>
        <w:ind w:left="720" w:hanging="720"/>
        <w:jc w:val="both"/>
        <w:rPr>
          <w:b w:val="0"/>
          <w:sz w:val="22"/>
          <w:szCs w:val="22"/>
        </w:rPr>
      </w:pPr>
      <w:r w:rsidRPr="007600BF">
        <w:rPr>
          <w:b w:val="0"/>
          <w:sz w:val="22"/>
          <w:szCs w:val="22"/>
        </w:rPr>
        <w:t xml:space="preserve">Kravet, T. and Shevlin, T., 2010. Accounting restatements and information risk. </w:t>
      </w:r>
      <w:r w:rsidRPr="00B16089">
        <w:rPr>
          <w:b w:val="0"/>
          <w:i/>
          <w:sz w:val="22"/>
          <w:szCs w:val="22"/>
        </w:rPr>
        <w:t>Review of Accounting Studies</w:t>
      </w:r>
      <w:r w:rsidRPr="007600BF">
        <w:rPr>
          <w:b w:val="0"/>
          <w:sz w:val="22"/>
          <w:szCs w:val="22"/>
        </w:rPr>
        <w:t>, 15(2), pp.264-294.</w:t>
      </w:r>
    </w:p>
    <w:p w14:paraId="0DA7232C" w14:textId="73150A60" w:rsidR="007600BF" w:rsidRDefault="007600BF" w:rsidP="009C1A94">
      <w:pPr>
        <w:pStyle w:val="Heading1"/>
        <w:spacing w:before="0" w:beforeAutospacing="0" w:after="0" w:afterAutospacing="0"/>
        <w:ind w:left="720" w:hanging="720"/>
        <w:jc w:val="both"/>
        <w:rPr>
          <w:b w:val="0"/>
          <w:sz w:val="22"/>
          <w:szCs w:val="22"/>
        </w:rPr>
      </w:pPr>
    </w:p>
    <w:p w14:paraId="093C0083" w14:textId="607AA27F" w:rsidR="007600BF" w:rsidRPr="009C1A94" w:rsidRDefault="007600BF" w:rsidP="009C1A94">
      <w:pPr>
        <w:pStyle w:val="Heading1"/>
        <w:spacing w:before="0" w:beforeAutospacing="0" w:after="0" w:afterAutospacing="0"/>
        <w:ind w:left="720" w:hanging="720"/>
        <w:jc w:val="both"/>
        <w:rPr>
          <w:b w:val="0"/>
          <w:sz w:val="22"/>
          <w:szCs w:val="22"/>
        </w:rPr>
      </w:pPr>
      <w:r w:rsidRPr="007600BF">
        <w:rPr>
          <w:b w:val="0"/>
          <w:sz w:val="22"/>
          <w:szCs w:val="22"/>
        </w:rPr>
        <w:t>Lambert, R., Leuz, C. and Verrecchia, R.E., 2007. Accounting information, disclosure, and t</w:t>
      </w:r>
      <w:r>
        <w:rPr>
          <w:b w:val="0"/>
          <w:sz w:val="22"/>
          <w:szCs w:val="22"/>
        </w:rPr>
        <w:t xml:space="preserve">he cost of capital. </w:t>
      </w:r>
      <w:r w:rsidRPr="00B16089">
        <w:rPr>
          <w:b w:val="0"/>
          <w:i/>
          <w:sz w:val="22"/>
          <w:szCs w:val="22"/>
        </w:rPr>
        <w:t>Journal of Accounting Research</w:t>
      </w:r>
      <w:r w:rsidRPr="007600BF">
        <w:rPr>
          <w:b w:val="0"/>
          <w:sz w:val="22"/>
          <w:szCs w:val="22"/>
        </w:rPr>
        <w:t>, 45(2), pp.385-420.</w:t>
      </w:r>
    </w:p>
    <w:p w14:paraId="04E8F8CC" w14:textId="77777777" w:rsidR="00B711D3" w:rsidRPr="009C1A94" w:rsidRDefault="00B711D3" w:rsidP="009C1A94">
      <w:pPr>
        <w:pStyle w:val="Heading1"/>
        <w:spacing w:before="0" w:beforeAutospacing="0" w:after="0" w:afterAutospacing="0"/>
        <w:ind w:left="720" w:hanging="720"/>
        <w:jc w:val="both"/>
        <w:rPr>
          <w:b w:val="0"/>
          <w:sz w:val="22"/>
          <w:szCs w:val="22"/>
        </w:rPr>
      </w:pPr>
    </w:p>
    <w:p w14:paraId="789D6214" w14:textId="7F90577E" w:rsidR="00B711D3" w:rsidRPr="009C1A94" w:rsidRDefault="00B711D3" w:rsidP="009C1A94">
      <w:pPr>
        <w:pStyle w:val="Heading1"/>
        <w:spacing w:before="0" w:beforeAutospacing="0" w:after="0" w:afterAutospacing="0"/>
        <w:ind w:left="720" w:hanging="720"/>
        <w:jc w:val="both"/>
        <w:rPr>
          <w:b w:val="0"/>
          <w:sz w:val="22"/>
          <w:szCs w:val="22"/>
        </w:rPr>
      </w:pPr>
      <w:r w:rsidRPr="009C1A94">
        <w:rPr>
          <w:b w:val="0"/>
          <w:sz w:val="22"/>
          <w:szCs w:val="22"/>
        </w:rPr>
        <w:t>Lawrence, A., Minutti-Meza, M., Zhang, P.,</w:t>
      </w:r>
      <w:r w:rsidR="008A5B72" w:rsidRPr="009C1A94">
        <w:rPr>
          <w:b w:val="0"/>
          <w:sz w:val="22"/>
          <w:szCs w:val="22"/>
        </w:rPr>
        <w:t xml:space="preserve"> 2011.</w:t>
      </w:r>
      <w:r w:rsidRPr="009C1A94">
        <w:rPr>
          <w:b w:val="0"/>
          <w:sz w:val="22"/>
          <w:szCs w:val="22"/>
        </w:rPr>
        <w:t xml:space="preserve"> Can Big 4 versus non-Big 4 differences in audit-quality proxies be attributed to client characteristics? </w:t>
      </w:r>
      <w:r w:rsidRPr="009C1A94">
        <w:rPr>
          <w:b w:val="0"/>
          <w:i/>
          <w:sz w:val="22"/>
          <w:szCs w:val="22"/>
        </w:rPr>
        <w:t>The Accounting Review</w:t>
      </w:r>
      <w:r w:rsidRPr="009C1A94">
        <w:rPr>
          <w:b w:val="0"/>
          <w:sz w:val="22"/>
          <w:szCs w:val="22"/>
        </w:rPr>
        <w:t xml:space="preserve"> 86(1): 259-286.</w:t>
      </w:r>
    </w:p>
    <w:p w14:paraId="48C88D67" w14:textId="77777777" w:rsidR="00B711D3" w:rsidRPr="009C1A94" w:rsidRDefault="00B711D3" w:rsidP="009C1A94">
      <w:pPr>
        <w:pStyle w:val="Heading1"/>
        <w:spacing w:before="0" w:beforeAutospacing="0" w:after="0" w:afterAutospacing="0"/>
        <w:jc w:val="both"/>
        <w:rPr>
          <w:b w:val="0"/>
          <w:sz w:val="22"/>
          <w:szCs w:val="22"/>
        </w:rPr>
      </w:pPr>
    </w:p>
    <w:p w14:paraId="50E5973C" w14:textId="77777777" w:rsidR="00B711D3" w:rsidRPr="009C1A94" w:rsidRDefault="00B711D3" w:rsidP="009C1A94">
      <w:pPr>
        <w:pStyle w:val="Heading1"/>
        <w:spacing w:before="0" w:beforeAutospacing="0" w:after="0" w:afterAutospacing="0"/>
        <w:jc w:val="both"/>
        <w:rPr>
          <w:b w:val="0"/>
          <w:sz w:val="22"/>
          <w:szCs w:val="22"/>
        </w:rPr>
      </w:pPr>
      <w:r w:rsidRPr="009C1A94">
        <w:rPr>
          <w:b w:val="0"/>
          <w:sz w:val="22"/>
          <w:szCs w:val="22"/>
        </w:rPr>
        <w:t>Lewellen, S., 2009. SPACs as an asset class. Working paper, Pennsylvania State University, PA.</w:t>
      </w:r>
    </w:p>
    <w:p w14:paraId="12E7CB71"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10FB9F8A" w14:textId="2259A5D7" w:rsidR="005C1686" w:rsidRPr="005C1686" w:rsidRDefault="005C1686" w:rsidP="005C1686">
      <w:pPr>
        <w:pStyle w:val="BodyText"/>
        <w:kinsoku w:val="0"/>
        <w:overflowPunct w:val="0"/>
        <w:ind w:left="720" w:hanging="720"/>
        <w:jc w:val="both"/>
        <w:rPr>
          <w:rFonts w:ascii="Times New Roman" w:hAnsi="Times New Roman" w:cs="Times New Roman"/>
          <w:b w:val="0"/>
          <w:w w:val="95"/>
          <w:sz w:val="22"/>
          <w:szCs w:val="22"/>
        </w:rPr>
      </w:pPr>
      <w:r w:rsidRPr="005C1686">
        <w:rPr>
          <w:rFonts w:ascii="Times New Roman" w:hAnsi="Times New Roman" w:cs="Times New Roman"/>
          <w:b w:val="0"/>
          <w:sz w:val="22"/>
          <w:szCs w:val="22"/>
        </w:rPr>
        <w:t>Li, F, Wong,</w:t>
      </w:r>
      <w:r w:rsidR="00A704D7">
        <w:rPr>
          <w:rFonts w:ascii="Times New Roman" w:hAnsi="Times New Roman" w:cs="Times New Roman"/>
          <w:b w:val="0"/>
          <w:sz w:val="22"/>
          <w:szCs w:val="22"/>
        </w:rPr>
        <w:t xml:space="preserve"> </w:t>
      </w:r>
      <w:r w:rsidR="00A704D7" w:rsidRPr="005C1686">
        <w:rPr>
          <w:rFonts w:ascii="Times New Roman" w:hAnsi="Times New Roman" w:cs="Times New Roman"/>
          <w:b w:val="0"/>
          <w:sz w:val="22"/>
          <w:szCs w:val="22"/>
        </w:rPr>
        <w:t>F. M. H.</w:t>
      </w:r>
      <w:r w:rsidR="00A704D7">
        <w:rPr>
          <w:rFonts w:ascii="Times New Roman" w:hAnsi="Times New Roman" w:cs="Times New Roman"/>
          <w:b w:val="0"/>
          <w:sz w:val="22"/>
          <w:szCs w:val="22"/>
        </w:rPr>
        <w:t>,</w:t>
      </w:r>
      <w:r w:rsidRPr="005C1686">
        <w:rPr>
          <w:rFonts w:ascii="Times New Roman" w:hAnsi="Times New Roman" w:cs="Times New Roman"/>
          <w:b w:val="0"/>
          <w:sz w:val="22"/>
          <w:szCs w:val="22"/>
        </w:rPr>
        <w:t xml:space="preserve"> 2005.</w:t>
      </w:r>
      <w:r w:rsidRPr="005C1686">
        <w:rPr>
          <w:rFonts w:ascii="Times New Roman" w:hAnsi="Times New Roman" w:cs="Times New Roman"/>
          <w:b w:val="0"/>
          <w:w w:val="95"/>
          <w:sz w:val="22"/>
          <w:szCs w:val="22"/>
        </w:rPr>
        <w:t xml:space="preserve"> Employee </w:t>
      </w:r>
      <w:r w:rsidR="00A704D7">
        <w:rPr>
          <w:rFonts w:ascii="Times New Roman" w:hAnsi="Times New Roman" w:cs="Times New Roman"/>
          <w:b w:val="0"/>
          <w:w w:val="95"/>
          <w:sz w:val="22"/>
          <w:szCs w:val="22"/>
        </w:rPr>
        <w:t>s</w:t>
      </w:r>
      <w:r w:rsidR="00A704D7" w:rsidRPr="005C1686">
        <w:rPr>
          <w:rFonts w:ascii="Times New Roman" w:hAnsi="Times New Roman" w:cs="Times New Roman"/>
          <w:b w:val="0"/>
          <w:w w:val="95"/>
          <w:sz w:val="22"/>
          <w:szCs w:val="22"/>
        </w:rPr>
        <w:t xml:space="preserve">tock </w:t>
      </w:r>
      <w:r w:rsidR="00A704D7">
        <w:rPr>
          <w:rFonts w:ascii="Times New Roman" w:hAnsi="Times New Roman" w:cs="Times New Roman"/>
          <w:b w:val="0"/>
          <w:w w:val="95"/>
          <w:sz w:val="22"/>
          <w:szCs w:val="22"/>
        </w:rPr>
        <w:t>o</w:t>
      </w:r>
      <w:r w:rsidR="00A704D7" w:rsidRPr="005C1686">
        <w:rPr>
          <w:rFonts w:ascii="Times New Roman" w:hAnsi="Times New Roman" w:cs="Times New Roman"/>
          <w:b w:val="0"/>
          <w:w w:val="95"/>
          <w:sz w:val="22"/>
          <w:szCs w:val="22"/>
        </w:rPr>
        <w:t>ptions</w:t>
      </w:r>
      <w:r w:rsidRPr="005C1686">
        <w:rPr>
          <w:rFonts w:ascii="Times New Roman" w:hAnsi="Times New Roman" w:cs="Times New Roman"/>
          <w:b w:val="0"/>
          <w:w w:val="95"/>
          <w:sz w:val="22"/>
          <w:szCs w:val="22"/>
        </w:rPr>
        <w:t xml:space="preserve">, </w:t>
      </w:r>
      <w:r w:rsidR="00A704D7">
        <w:rPr>
          <w:rFonts w:ascii="Times New Roman" w:hAnsi="Times New Roman" w:cs="Times New Roman"/>
          <w:b w:val="0"/>
          <w:w w:val="95"/>
          <w:sz w:val="22"/>
          <w:szCs w:val="22"/>
        </w:rPr>
        <w:t>e</w:t>
      </w:r>
      <w:r w:rsidR="00A704D7" w:rsidRPr="005C1686">
        <w:rPr>
          <w:rFonts w:ascii="Times New Roman" w:hAnsi="Times New Roman" w:cs="Times New Roman"/>
          <w:b w:val="0"/>
          <w:w w:val="95"/>
          <w:sz w:val="22"/>
          <w:szCs w:val="22"/>
        </w:rPr>
        <w:t>quity</w:t>
      </w:r>
      <w:r w:rsidR="00A704D7">
        <w:rPr>
          <w:rFonts w:ascii="Times New Roman" w:hAnsi="Times New Roman" w:cs="Times New Roman"/>
          <w:b w:val="0"/>
          <w:w w:val="95"/>
          <w:sz w:val="22"/>
          <w:szCs w:val="22"/>
        </w:rPr>
        <w:t xml:space="preserve"> v</w:t>
      </w:r>
      <w:r w:rsidR="00A704D7" w:rsidRPr="005C1686">
        <w:rPr>
          <w:rFonts w:ascii="Times New Roman" w:hAnsi="Times New Roman" w:cs="Times New Roman"/>
          <w:b w:val="0"/>
          <w:w w:val="95"/>
          <w:sz w:val="22"/>
          <w:szCs w:val="22"/>
        </w:rPr>
        <w:t>aluation</w:t>
      </w:r>
      <w:r w:rsidRPr="005C1686">
        <w:rPr>
          <w:rFonts w:ascii="Times New Roman" w:hAnsi="Times New Roman" w:cs="Times New Roman"/>
          <w:b w:val="0"/>
          <w:w w:val="95"/>
          <w:sz w:val="22"/>
          <w:szCs w:val="22"/>
        </w:rPr>
        <w:t>,</w:t>
      </w:r>
      <w:r w:rsidRPr="005C1686">
        <w:rPr>
          <w:rFonts w:ascii="Times New Roman" w:hAnsi="Times New Roman" w:cs="Times New Roman"/>
          <w:b w:val="0"/>
          <w:spacing w:val="-1"/>
          <w:w w:val="95"/>
          <w:sz w:val="22"/>
          <w:szCs w:val="22"/>
        </w:rPr>
        <w:t xml:space="preserve"> </w:t>
      </w:r>
      <w:r w:rsidRPr="005C1686">
        <w:rPr>
          <w:rFonts w:ascii="Times New Roman" w:hAnsi="Times New Roman" w:cs="Times New Roman"/>
          <w:b w:val="0"/>
          <w:w w:val="95"/>
          <w:sz w:val="22"/>
          <w:szCs w:val="22"/>
        </w:rPr>
        <w:t>and</w:t>
      </w:r>
      <w:r w:rsidRPr="005C1686">
        <w:rPr>
          <w:rFonts w:ascii="Times New Roman" w:hAnsi="Times New Roman" w:cs="Times New Roman"/>
          <w:b w:val="0"/>
          <w:spacing w:val="-1"/>
          <w:w w:val="95"/>
          <w:sz w:val="22"/>
          <w:szCs w:val="22"/>
        </w:rPr>
        <w:t xml:space="preserve"> </w:t>
      </w:r>
      <w:r w:rsidRPr="005C1686">
        <w:rPr>
          <w:rFonts w:ascii="Times New Roman" w:hAnsi="Times New Roman" w:cs="Times New Roman"/>
          <w:b w:val="0"/>
          <w:w w:val="95"/>
          <w:sz w:val="22"/>
          <w:szCs w:val="22"/>
        </w:rPr>
        <w:t>the</w:t>
      </w:r>
      <w:r w:rsidRPr="005C1686">
        <w:rPr>
          <w:rFonts w:ascii="Times New Roman" w:hAnsi="Times New Roman" w:cs="Times New Roman"/>
          <w:b w:val="0"/>
          <w:spacing w:val="-1"/>
          <w:w w:val="95"/>
          <w:sz w:val="22"/>
          <w:szCs w:val="22"/>
        </w:rPr>
        <w:t xml:space="preserve"> </w:t>
      </w:r>
      <w:r w:rsidR="00A704D7">
        <w:rPr>
          <w:rFonts w:ascii="Times New Roman" w:hAnsi="Times New Roman" w:cs="Times New Roman"/>
          <w:b w:val="0"/>
          <w:w w:val="95"/>
          <w:sz w:val="22"/>
          <w:szCs w:val="22"/>
        </w:rPr>
        <w:t>v</w:t>
      </w:r>
      <w:r w:rsidR="00A704D7" w:rsidRPr="005C1686">
        <w:rPr>
          <w:rFonts w:ascii="Times New Roman" w:hAnsi="Times New Roman" w:cs="Times New Roman"/>
          <w:b w:val="0"/>
          <w:w w:val="95"/>
          <w:sz w:val="22"/>
          <w:szCs w:val="22"/>
        </w:rPr>
        <w:t>aluation</w:t>
      </w:r>
      <w:r w:rsidR="00A704D7" w:rsidRPr="005C1686">
        <w:rPr>
          <w:rFonts w:ascii="Times New Roman" w:hAnsi="Times New Roman" w:cs="Times New Roman"/>
          <w:b w:val="0"/>
          <w:spacing w:val="-12"/>
          <w:w w:val="95"/>
          <w:sz w:val="22"/>
          <w:szCs w:val="22"/>
        </w:rPr>
        <w:t xml:space="preserve"> </w:t>
      </w:r>
      <w:r w:rsidRPr="005C1686">
        <w:rPr>
          <w:rFonts w:ascii="Times New Roman" w:hAnsi="Times New Roman" w:cs="Times New Roman"/>
          <w:b w:val="0"/>
          <w:w w:val="95"/>
          <w:sz w:val="22"/>
          <w:szCs w:val="22"/>
        </w:rPr>
        <w:t>of</w:t>
      </w:r>
      <w:r w:rsidRPr="005C1686">
        <w:rPr>
          <w:rFonts w:ascii="Times New Roman" w:hAnsi="Times New Roman" w:cs="Times New Roman"/>
          <w:b w:val="0"/>
          <w:spacing w:val="-1"/>
          <w:w w:val="95"/>
          <w:sz w:val="22"/>
          <w:szCs w:val="22"/>
        </w:rPr>
        <w:t xml:space="preserve"> </w:t>
      </w:r>
      <w:r w:rsidR="00A704D7">
        <w:rPr>
          <w:rFonts w:ascii="Times New Roman" w:hAnsi="Times New Roman" w:cs="Times New Roman"/>
          <w:b w:val="0"/>
          <w:w w:val="95"/>
          <w:sz w:val="22"/>
          <w:szCs w:val="22"/>
        </w:rPr>
        <w:t>o</w:t>
      </w:r>
      <w:r w:rsidR="00A704D7" w:rsidRPr="005C1686">
        <w:rPr>
          <w:rFonts w:ascii="Times New Roman" w:hAnsi="Times New Roman" w:cs="Times New Roman"/>
          <w:b w:val="0"/>
          <w:w w:val="95"/>
          <w:sz w:val="22"/>
          <w:szCs w:val="22"/>
        </w:rPr>
        <w:t>ption</w:t>
      </w:r>
      <w:r w:rsidR="00A704D7" w:rsidRPr="005C1686">
        <w:rPr>
          <w:rFonts w:ascii="Times New Roman" w:hAnsi="Times New Roman" w:cs="Times New Roman"/>
          <w:b w:val="0"/>
          <w:spacing w:val="-1"/>
          <w:w w:val="95"/>
          <w:sz w:val="22"/>
          <w:szCs w:val="22"/>
        </w:rPr>
        <w:t xml:space="preserve"> </w:t>
      </w:r>
      <w:r w:rsidR="00A704D7">
        <w:rPr>
          <w:rFonts w:ascii="Times New Roman" w:hAnsi="Times New Roman" w:cs="Times New Roman"/>
          <w:b w:val="0"/>
          <w:w w:val="95"/>
          <w:sz w:val="22"/>
          <w:szCs w:val="22"/>
        </w:rPr>
        <w:t>g</w:t>
      </w:r>
      <w:r w:rsidR="00A704D7" w:rsidRPr="005C1686">
        <w:rPr>
          <w:rFonts w:ascii="Times New Roman" w:hAnsi="Times New Roman" w:cs="Times New Roman"/>
          <w:b w:val="0"/>
          <w:w w:val="95"/>
          <w:sz w:val="22"/>
          <w:szCs w:val="22"/>
        </w:rPr>
        <w:t>rants</w:t>
      </w:r>
      <w:r w:rsidR="00A704D7" w:rsidRPr="005C1686">
        <w:rPr>
          <w:rFonts w:ascii="Times New Roman" w:hAnsi="Times New Roman" w:cs="Times New Roman"/>
          <w:b w:val="0"/>
          <w:spacing w:val="-1"/>
          <w:w w:val="95"/>
          <w:sz w:val="22"/>
          <w:szCs w:val="22"/>
        </w:rPr>
        <w:t xml:space="preserve"> </w:t>
      </w:r>
      <w:r w:rsidR="00A704D7">
        <w:rPr>
          <w:rFonts w:ascii="Times New Roman" w:hAnsi="Times New Roman" w:cs="Times New Roman"/>
          <w:b w:val="0"/>
          <w:w w:val="95"/>
          <w:sz w:val="22"/>
          <w:szCs w:val="22"/>
        </w:rPr>
        <w:t>u</w:t>
      </w:r>
      <w:r w:rsidR="00A704D7" w:rsidRPr="005C1686">
        <w:rPr>
          <w:rFonts w:ascii="Times New Roman" w:hAnsi="Times New Roman" w:cs="Times New Roman"/>
          <w:b w:val="0"/>
          <w:w w:val="95"/>
          <w:sz w:val="22"/>
          <w:szCs w:val="22"/>
        </w:rPr>
        <w:t>sing</w:t>
      </w:r>
      <w:r w:rsidR="00A704D7">
        <w:rPr>
          <w:rFonts w:ascii="Times New Roman" w:hAnsi="Times New Roman" w:cs="Times New Roman"/>
          <w:b w:val="0"/>
          <w:w w:val="95"/>
          <w:sz w:val="22"/>
          <w:szCs w:val="22"/>
        </w:rPr>
        <w:t xml:space="preserve"> </w:t>
      </w:r>
      <w:r w:rsidRPr="005C1686">
        <w:rPr>
          <w:rFonts w:ascii="Times New Roman" w:hAnsi="Times New Roman" w:cs="Times New Roman"/>
          <w:b w:val="0"/>
          <w:w w:val="95"/>
          <w:sz w:val="22"/>
          <w:szCs w:val="22"/>
        </w:rPr>
        <w:t xml:space="preserve">a </w:t>
      </w:r>
      <w:r w:rsidR="00A704D7">
        <w:rPr>
          <w:rFonts w:ascii="Times New Roman" w:hAnsi="Times New Roman" w:cs="Times New Roman"/>
          <w:b w:val="0"/>
          <w:w w:val="95"/>
          <w:sz w:val="22"/>
          <w:szCs w:val="22"/>
        </w:rPr>
        <w:t>w</w:t>
      </w:r>
      <w:r w:rsidR="00A704D7" w:rsidRPr="005C1686">
        <w:rPr>
          <w:rFonts w:ascii="Times New Roman" w:hAnsi="Times New Roman" w:cs="Times New Roman"/>
          <w:b w:val="0"/>
          <w:w w:val="95"/>
          <w:sz w:val="22"/>
          <w:szCs w:val="22"/>
        </w:rPr>
        <w:t>arrant</w:t>
      </w:r>
      <w:r w:rsidRPr="005C1686">
        <w:rPr>
          <w:rFonts w:ascii="Times New Roman" w:hAnsi="Times New Roman" w:cs="Times New Roman"/>
          <w:b w:val="0"/>
          <w:w w:val="95"/>
          <w:sz w:val="22"/>
          <w:szCs w:val="22"/>
        </w:rPr>
        <w:t>-</w:t>
      </w:r>
      <w:r w:rsidR="00A704D7">
        <w:rPr>
          <w:rFonts w:ascii="Times New Roman" w:hAnsi="Times New Roman" w:cs="Times New Roman"/>
          <w:b w:val="0"/>
          <w:w w:val="95"/>
          <w:sz w:val="22"/>
          <w:szCs w:val="22"/>
        </w:rPr>
        <w:t>p</w:t>
      </w:r>
      <w:r w:rsidR="00A704D7" w:rsidRPr="005C1686">
        <w:rPr>
          <w:rFonts w:ascii="Times New Roman" w:hAnsi="Times New Roman" w:cs="Times New Roman"/>
          <w:b w:val="0"/>
          <w:w w:val="95"/>
          <w:sz w:val="22"/>
          <w:szCs w:val="22"/>
        </w:rPr>
        <w:t xml:space="preserve">ricing </w:t>
      </w:r>
      <w:r w:rsidR="00A704D7">
        <w:rPr>
          <w:rFonts w:ascii="Times New Roman" w:hAnsi="Times New Roman" w:cs="Times New Roman"/>
          <w:b w:val="0"/>
          <w:w w:val="95"/>
          <w:sz w:val="22"/>
          <w:szCs w:val="22"/>
        </w:rPr>
        <w:t>m</w:t>
      </w:r>
      <w:r w:rsidR="00A704D7" w:rsidRPr="005C1686">
        <w:rPr>
          <w:rFonts w:ascii="Times New Roman" w:hAnsi="Times New Roman" w:cs="Times New Roman"/>
          <w:b w:val="0"/>
          <w:w w:val="95"/>
          <w:sz w:val="22"/>
          <w:szCs w:val="22"/>
        </w:rPr>
        <w:t>odel</w:t>
      </w:r>
      <w:r w:rsidR="00A704D7">
        <w:rPr>
          <w:rFonts w:ascii="Times New Roman" w:hAnsi="Times New Roman" w:cs="Times New Roman"/>
          <w:b w:val="0"/>
          <w:bCs w:val="0"/>
          <w:w w:val="95"/>
          <w:sz w:val="22"/>
          <w:szCs w:val="22"/>
        </w:rPr>
        <w:t>.</w:t>
      </w:r>
      <w:r w:rsidRPr="005C1686">
        <w:rPr>
          <w:rFonts w:ascii="Times New Roman" w:hAnsi="Times New Roman" w:cs="Times New Roman"/>
          <w:b w:val="0"/>
          <w:bCs w:val="0"/>
          <w:w w:val="95"/>
          <w:sz w:val="22"/>
          <w:szCs w:val="22"/>
        </w:rPr>
        <w:t xml:space="preserve"> </w:t>
      </w:r>
      <w:r w:rsidRPr="005C1686">
        <w:rPr>
          <w:rFonts w:ascii="Times New Roman" w:hAnsi="Times New Roman" w:cs="Times New Roman"/>
          <w:b w:val="0"/>
          <w:bCs w:val="0"/>
          <w:i/>
          <w:w w:val="95"/>
          <w:sz w:val="22"/>
          <w:szCs w:val="22"/>
        </w:rPr>
        <w:t>Journal of Accounting Research</w:t>
      </w:r>
      <w:r w:rsidRPr="005C1686">
        <w:rPr>
          <w:rFonts w:ascii="Times New Roman" w:hAnsi="Times New Roman" w:cs="Times New Roman"/>
          <w:b w:val="0"/>
          <w:bCs w:val="0"/>
          <w:w w:val="95"/>
          <w:sz w:val="22"/>
          <w:szCs w:val="22"/>
        </w:rPr>
        <w:t xml:space="preserve"> 43</w:t>
      </w:r>
      <w:r w:rsidR="00F03637">
        <w:rPr>
          <w:rFonts w:ascii="Times New Roman" w:hAnsi="Times New Roman" w:cs="Times New Roman"/>
          <w:b w:val="0"/>
          <w:bCs w:val="0"/>
          <w:w w:val="95"/>
          <w:sz w:val="22"/>
          <w:szCs w:val="22"/>
        </w:rPr>
        <w:t>(1)</w:t>
      </w:r>
      <w:r w:rsidRPr="005C1686">
        <w:rPr>
          <w:rFonts w:ascii="Times New Roman" w:hAnsi="Times New Roman" w:cs="Times New Roman"/>
          <w:b w:val="0"/>
          <w:bCs w:val="0"/>
          <w:w w:val="95"/>
          <w:sz w:val="22"/>
          <w:szCs w:val="22"/>
        </w:rPr>
        <w:t xml:space="preserve">: 97-131. </w:t>
      </w:r>
    </w:p>
    <w:p w14:paraId="6200E1A3" w14:textId="348F8A55" w:rsidR="005C1686" w:rsidRDefault="005C1686" w:rsidP="009C1A94">
      <w:pPr>
        <w:spacing w:after="0" w:line="240" w:lineRule="auto"/>
        <w:ind w:left="720" w:hanging="720"/>
        <w:jc w:val="both"/>
        <w:rPr>
          <w:rFonts w:ascii="Times New Roman" w:hAnsi="Times New Roman" w:cs="Times New Roman"/>
        </w:rPr>
      </w:pPr>
      <w:r>
        <w:rPr>
          <w:rFonts w:ascii="Times New Roman" w:hAnsi="Times New Roman" w:cs="Times New Roman"/>
        </w:rPr>
        <w:t xml:space="preserve"> </w:t>
      </w:r>
    </w:p>
    <w:p w14:paraId="0147FBDF" w14:textId="655BD078" w:rsidR="004622A6" w:rsidRDefault="004622A6" w:rsidP="009C1A94">
      <w:pPr>
        <w:spacing w:after="0" w:line="240" w:lineRule="auto"/>
        <w:ind w:left="720" w:hanging="720"/>
        <w:jc w:val="both"/>
        <w:rPr>
          <w:rFonts w:ascii="Times New Roman" w:hAnsi="Times New Roman" w:cs="Times New Roman"/>
        </w:rPr>
      </w:pPr>
    </w:p>
    <w:p w14:paraId="0E597446" w14:textId="5238FD7F" w:rsidR="00BF0E18" w:rsidRDefault="00BF0E18" w:rsidP="009C1A94">
      <w:pPr>
        <w:spacing w:after="0" w:line="240" w:lineRule="auto"/>
        <w:ind w:left="720" w:hanging="720"/>
        <w:jc w:val="both"/>
        <w:rPr>
          <w:rFonts w:ascii="Times New Roman" w:hAnsi="Times New Roman" w:cs="Times New Roman"/>
        </w:rPr>
      </w:pPr>
      <w:r w:rsidRPr="00BF0E18">
        <w:rPr>
          <w:rFonts w:ascii="Times New Roman" w:hAnsi="Times New Roman" w:cs="Times New Roman"/>
        </w:rPr>
        <w:t xml:space="preserve">Louwers, T.J., Sinason, D.H., Strawser, J.R., Thibodeau, J.C. and Blay, A.D., 2018. </w:t>
      </w:r>
      <w:r w:rsidRPr="004577A7">
        <w:rPr>
          <w:rFonts w:ascii="Times New Roman" w:hAnsi="Times New Roman" w:cs="Times New Roman"/>
          <w:i/>
        </w:rPr>
        <w:t>Auditing &amp; assurance services</w:t>
      </w:r>
      <w:r w:rsidRPr="00BF0E18">
        <w:rPr>
          <w:rFonts w:ascii="Times New Roman" w:hAnsi="Times New Roman" w:cs="Times New Roman"/>
        </w:rPr>
        <w:t>. McGraw-Hill Education.</w:t>
      </w:r>
    </w:p>
    <w:p w14:paraId="6F61CCFF" w14:textId="77777777" w:rsidR="00BF0E18" w:rsidRDefault="00BF0E18" w:rsidP="009C1A94">
      <w:pPr>
        <w:spacing w:after="0" w:line="240" w:lineRule="auto"/>
        <w:ind w:left="720" w:hanging="720"/>
        <w:jc w:val="both"/>
        <w:rPr>
          <w:rFonts w:ascii="Times New Roman" w:hAnsi="Times New Roman" w:cs="Times New Roman"/>
        </w:rPr>
      </w:pPr>
    </w:p>
    <w:p w14:paraId="1D62C1F3" w14:textId="7F086CEF" w:rsidR="00356DBD" w:rsidRDefault="00356DBD" w:rsidP="009C1A94">
      <w:pPr>
        <w:spacing w:after="0" w:line="240" w:lineRule="auto"/>
        <w:ind w:left="720" w:hanging="720"/>
        <w:jc w:val="both"/>
        <w:rPr>
          <w:rFonts w:ascii="Times New Roman" w:hAnsi="Times New Roman" w:cs="Times New Roman"/>
        </w:rPr>
      </w:pPr>
      <w:r w:rsidRPr="00356DBD">
        <w:rPr>
          <w:rFonts w:ascii="Times New Roman" w:hAnsi="Times New Roman" w:cs="Times New Roman"/>
        </w:rPr>
        <w:t xml:space="preserve">Macey, J., O’Hara, M. and Pompilio, D., 2008. Down and out in the stock market: the law and economics of the delisting process. </w:t>
      </w:r>
      <w:r w:rsidRPr="00B16089">
        <w:rPr>
          <w:rFonts w:ascii="Times New Roman" w:hAnsi="Times New Roman" w:cs="Times New Roman"/>
          <w:i/>
        </w:rPr>
        <w:t>The Journal of Law and Economics</w:t>
      </w:r>
      <w:r w:rsidRPr="00356DBD">
        <w:rPr>
          <w:rFonts w:ascii="Times New Roman" w:hAnsi="Times New Roman" w:cs="Times New Roman"/>
        </w:rPr>
        <w:t>, 51(4), pp.683-713.</w:t>
      </w:r>
    </w:p>
    <w:p w14:paraId="42F79C8F" w14:textId="77777777" w:rsidR="00356DBD" w:rsidRPr="009C1A94" w:rsidRDefault="00356DBD" w:rsidP="009C1A94">
      <w:pPr>
        <w:spacing w:after="0" w:line="240" w:lineRule="auto"/>
        <w:ind w:left="720" w:hanging="720"/>
        <w:jc w:val="both"/>
        <w:rPr>
          <w:rFonts w:ascii="Times New Roman" w:hAnsi="Times New Roman" w:cs="Times New Roman"/>
        </w:rPr>
      </w:pPr>
    </w:p>
    <w:p w14:paraId="5C47C3E6" w14:textId="77777777" w:rsidR="00B711D3" w:rsidRPr="009C1A94" w:rsidRDefault="00B711D3" w:rsidP="009C1A94">
      <w:pPr>
        <w:spacing w:after="0" w:line="240" w:lineRule="auto"/>
        <w:ind w:left="720" w:hanging="720"/>
        <w:jc w:val="both"/>
        <w:rPr>
          <w:rFonts w:ascii="Times New Roman" w:hAnsi="Times New Roman" w:cs="Times New Roman"/>
        </w:rPr>
      </w:pPr>
      <w:r w:rsidRPr="009C1A94">
        <w:rPr>
          <w:rFonts w:ascii="Times New Roman" w:hAnsi="Times New Roman" w:cs="Times New Roman"/>
        </w:rPr>
        <w:t xml:space="preserve">McMullin, J., Schonberger, B., 2020. Entropy-balanced accruals. </w:t>
      </w:r>
      <w:r w:rsidRPr="009C1A94">
        <w:rPr>
          <w:rFonts w:ascii="Times New Roman" w:hAnsi="Times New Roman" w:cs="Times New Roman"/>
          <w:i/>
        </w:rPr>
        <w:t>Review of Accounting Studies</w:t>
      </w:r>
      <w:r w:rsidRPr="009C1A94">
        <w:rPr>
          <w:rFonts w:ascii="Times New Roman" w:hAnsi="Times New Roman" w:cs="Times New Roman"/>
        </w:rPr>
        <w:t xml:space="preserve"> 25: 84-119. </w:t>
      </w:r>
    </w:p>
    <w:p w14:paraId="1C1B5D4B" w14:textId="77777777" w:rsidR="00B711D3" w:rsidRPr="009C1A94" w:rsidRDefault="00B711D3" w:rsidP="009C1A94">
      <w:pPr>
        <w:spacing w:after="0" w:line="240" w:lineRule="auto"/>
        <w:jc w:val="both"/>
        <w:rPr>
          <w:rFonts w:ascii="Times New Roman" w:hAnsi="Times New Roman" w:cs="Times New Roman"/>
        </w:rPr>
      </w:pPr>
    </w:p>
    <w:p w14:paraId="60D6B753" w14:textId="643BECD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Palmrose, Z. V., 1986. Audit fees and auditor size: Further evidence. </w:t>
      </w:r>
      <w:r w:rsidRPr="009C1A94">
        <w:rPr>
          <w:rFonts w:ascii="Times New Roman" w:hAnsi="Times New Roman" w:cs="Times New Roman"/>
          <w:i/>
          <w:iCs/>
        </w:rPr>
        <w:t>Journal of Accounting Research</w:t>
      </w:r>
      <w:r w:rsidR="00897632">
        <w:rPr>
          <w:rFonts w:ascii="Times New Roman" w:hAnsi="Times New Roman" w:cs="Times New Roman"/>
        </w:rPr>
        <w:t xml:space="preserve"> 24(1): </w:t>
      </w:r>
      <w:r w:rsidRPr="009C1A94">
        <w:rPr>
          <w:rFonts w:ascii="Times New Roman" w:hAnsi="Times New Roman" w:cs="Times New Roman"/>
        </w:rPr>
        <w:t>97-110.</w:t>
      </w:r>
    </w:p>
    <w:p w14:paraId="51685DB9"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p>
    <w:p w14:paraId="2BE071ED" w14:textId="77777777" w:rsidR="00B711D3" w:rsidRPr="009C1A94" w:rsidRDefault="00B711D3" w:rsidP="009C1A94">
      <w:pPr>
        <w:tabs>
          <w:tab w:val="left" w:pos="0"/>
          <w:tab w:val="left" w:pos="360"/>
        </w:tabs>
        <w:spacing w:after="0" w:line="240" w:lineRule="auto"/>
        <w:ind w:left="440" w:hangingChars="200" w:hanging="440"/>
        <w:jc w:val="both"/>
        <w:rPr>
          <w:rFonts w:ascii="Times New Roman" w:hAnsi="Times New Roman" w:cs="Times New Roman"/>
        </w:rPr>
      </w:pPr>
      <w:r w:rsidRPr="009C1A94">
        <w:rPr>
          <w:rFonts w:ascii="Times New Roman" w:hAnsi="Times New Roman" w:cs="Times New Roman"/>
        </w:rPr>
        <w:t xml:space="preserve">Penman, S. H., Zhang, X. J., 2002. Accounting conservatism, the quality of earnings, and stock returns. </w:t>
      </w:r>
      <w:r w:rsidRPr="009C1A94">
        <w:rPr>
          <w:rFonts w:ascii="Times New Roman" w:hAnsi="Times New Roman" w:cs="Times New Roman"/>
          <w:i/>
        </w:rPr>
        <w:t>The Accounting Review</w:t>
      </w:r>
      <w:r w:rsidRPr="009C1A94">
        <w:rPr>
          <w:rFonts w:ascii="Times New Roman" w:hAnsi="Times New Roman" w:cs="Times New Roman"/>
        </w:rPr>
        <w:t xml:space="preserve"> 77(2): 237-264.</w:t>
      </w:r>
    </w:p>
    <w:p w14:paraId="5C7F6444" w14:textId="77777777" w:rsidR="00B711D3" w:rsidRPr="009C1A94" w:rsidRDefault="00B711D3" w:rsidP="009C1A94">
      <w:pPr>
        <w:pStyle w:val="Heading1"/>
        <w:spacing w:before="0" w:beforeAutospacing="0" w:after="0" w:afterAutospacing="0"/>
        <w:jc w:val="both"/>
        <w:rPr>
          <w:b w:val="0"/>
          <w:sz w:val="22"/>
          <w:szCs w:val="22"/>
        </w:rPr>
      </w:pPr>
    </w:p>
    <w:p w14:paraId="1E36765F" w14:textId="6FE91D7F" w:rsidR="00B711D3" w:rsidRDefault="00B711D3" w:rsidP="009C1A94">
      <w:pPr>
        <w:pStyle w:val="Heading1"/>
        <w:spacing w:before="0" w:beforeAutospacing="0" w:after="0" w:afterAutospacing="0"/>
        <w:ind w:left="720" w:hanging="720"/>
        <w:jc w:val="both"/>
        <w:rPr>
          <w:b w:val="0"/>
          <w:sz w:val="22"/>
          <w:szCs w:val="22"/>
        </w:rPr>
      </w:pPr>
      <w:r w:rsidRPr="009C1A94">
        <w:rPr>
          <w:b w:val="0"/>
          <w:sz w:val="22"/>
          <w:szCs w:val="22"/>
        </w:rPr>
        <w:t>PwC, 2021. Domestic SPAC mergers-financial reporting and accounting considerations, No.2021-01 as of Jan 25, 2021.</w:t>
      </w:r>
    </w:p>
    <w:p w14:paraId="5D1D7949" w14:textId="77777777" w:rsidR="00002D97" w:rsidRDefault="00002D97" w:rsidP="009C1A94">
      <w:pPr>
        <w:pStyle w:val="Heading1"/>
        <w:spacing w:before="0" w:beforeAutospacing="0" w:after="0" w:afterAutospacing="0"/>
        <w:ind w:left="720" w:hanging="720"/>
        <w:jc w:val="both"/>
        <w:rPr>
          <w:b w:val="0"/>
          <w:sz w:val="22"/>
          <w:szCs w:val="22"/>
        </w:rPr>
      </w:pPr>
    </w:p>
    <w:p w14:paraId="2F951AC9" w14:textId="36490171" w:rsidR="00961639" w:rsidRDefault="00002D97" w:rsidP="009C1A94">
      <w:pPr>
        <w:pStyle w:val="Heading1"/>
        <w:spacing w:before="0" w:beforeAutospacing="0" w:after="0" w:afterAutospacing="0"/>
        <w:ind w:left="720" w:hanging="720"/>
        <w:jc w:val="both"/>
        <w:rPr>
          <w:b w:val="0"/>
          <w:sz w:val="22"/>
          <w:szCs w:val="22"/>
        </w:rPr>
      </w:pPr>
      <w:r w:rsidRPr="00002D97">
        <w:rPr>
          <w:b w:val="0"/>
          <w:sz w:val="22"/>
          <w:szCs w:val="22"/>
        </w:rPr>
        <w:t xml:space="preserve">Riedl, E.J. and Serafeim, G., 2011. Information risk and fair values: An examination of equity betas. </w:t>
      </w:r>
      <w:r w:rsidRPr="00002D97">
        <w:rPr>
          <w:b w:val="0"/>
          <w:i/>
          <w:sz w:val="22"/>
          <w:szCs w:val="22"/>
        </w:rPr>
        <w:t xml:space="preserve">Journal of </w:t>
      </w:r>
      <w:r>
        <w:rPr>
          <w:b w:val="0"/>
          <w:i/>
          <w:sz w:val="22"/>
          <w:szCs w:val="22"/>
        </w:rPr>
        <w:t>A</w:t>
      </w:r>
      <w:r w:rsidRPr="00002D97">
        <w:rPr>
          <w:b w:val="0"/>
          <w:i/>
          <w:sz w:val="22"/>
          <w:szCs w:val="22"/>
        </w:rPr>
        <w:t xml:space="preserve">ccounting </w:t>
      </w:r>
      <w:r>
        <w:rPr>
          <w:b w:val="0"/>
          <w:i/>
          <w:sz w:val="22"/>
          <w:szCs w:val="22"/>
        </w:rPr>
        <w:t>R</w:t>
      </w:r>
      <w:r w:rsidRPr="00B16089">
        <w:rPr>
          <w:b w:val="0"/>
          <w:i/>
          <w:sz w:val="22"/>
          <w:szCs w:val="22"/>
        </w:rPr>
        <w:t>esearch</w:t>
      </w:r>
      <w:r w:rsidRPr="00002D97">
        <w:rPr>
          <w:b w:val="0"/>
          <w:sz w:val="22"/>
          <w:szCs w:val="22"/>
        </w:rPr>
        <w:t>, 49(4), pp.1083-1122.</w:t>
      </w:r>
    </w:p>
    <w:p w14:paraId="37E7469F" w14:textId="77777777" w:rsidR="00002D97" w:rsidRDefault="00002D97" w:rsidP="009C1A94">
      <w:pPr>
        <w:pStyle w:val="Heading1"/>
        <w:spacing w:before="0" w:beforeAutospacing="0" w:after="0" w:afterAutospacing="0"/>
        <w:ind w:left="720" w:hanging="720"/>
        <w:jc w:val="both"/>
        <w:rPr>
          <w:b w:val="0"/>
          <w:sz w:val="22"/>
          <w:szCs w:val="22"/>
        </w:rPr>
      </w:pPr>
    </w:p>
    <w:p w14:paraId="61F70ADB" w14:textId="28A9406A" w:rsidR="00961639" w:rsidRDefault="00961639" w:rsidP="009C1A94">
      <w:pPr>
        <w:pStyle w:val="Heading1"/>
        <w:spacing w:before="0" w:beforeAutospacing="0" w:after="0" w:afterAutospacing="0"/>
        <w:ind w:left="720" w:hanging="720"/>
        <w:jc w:val="both"/>
        <w:rPr>
          <w:b w:val="0"/>
          <w:sz w:val="22"/>
          <w:szCs w:val="22"/>
        </w:rPr>
      </w:pPr>
      <w:r>
        <w:rPr>
          <w:b w:val="0"/>
          <w:sz w:val="22"/>
          <w:szCs w:val="22"/>
        </w:rPr>
        <w:t xml:space="preserve">Ritter, J. R., 2022. Special Purpose Acquisition Company (SPAC) IPOs through 2021. Available at: </w:t>
      </w:r>
      <w:hyperlink r:id="rId18" w:history="1">
        <w:r w:rsidRPr="00F44BF2">
          <w:rPr>
            <w:rStyle w:val="Hyperlink"/>
            <w:b w:val="0"/>
            <w:sz w:val="22"/>
            <w:szCs w:val="22"/>
          </w:rPr>
          <w:t>https://site.warrington.ufl.edu/ritter/files/IPOs-SPACs.pdf</w:t>
        </w:r>
      </w:hyperlink>
    </w:p>
    <w:p w14:paraId="2A67E30B" w14:textId="77777777" w:rsidR="00B711D3" w:rsidRPr="009C1A94" w:rsidRDefault="00B711D3" w:rsidP="009C1A94">
      <w:pPr>
        <w:pStyle w:val="Heading1"/>
        <w:spacing w:before="0" w:beforeAutospacing="0" w:after="0" w:afterAutospacing="0"/>
        <w:ind w:left="720" w:hanging="720"/>
        <w:jc w:val="both"/>
        <w:rPr>
          <w:b w:val="0"/>
          <w:sz w:val="22"/>
          <w:szCs w:val="22"/>
        </w:rPr>
      </w:pPr>
    </w:p>
    <w:p w14:paraId="324A2B87" w14:textId="41456C65" w:rsidR="000839EA" w:rsidRDefault="000839EA" w:rsidP="009C1A94">
      <w:pPr>
        <w:pStyle w:val="Heading1"/>
        <w:spacing w:before="0" w:beforeAutospacing="0" w:after="0" w:afterAutospacing="0"/>
        <w:ind w:left="720" w:hanging="720"/>
        <w:jc w:val="both"/>
        <w:rPr>
          <w:b w:val="0"/>
          <w:sz w:val="22"/>
          <w:szCs w:val="22"/>
        </w:rPr>
      </w:pPr>
      <w:r>
        <w:rPr>
          <w:b w:val="0"/>
          <w:sz w:val="22"/>
          <w:szCs w:val="22"/>
        </w:rPr>
        <w:t>Rodrigues, U., 202</w:t>
      </w:r>
      <w:r w:rsidR="003F64CB">
        <w:rPr>
          <w:b w:val="0"/>
          <w:sz w:val="22"/>
          <w:szCs w:val="22"/>
        </w:rPr>
        <w:t xml:space="preserve">1. Testimony before the Investor Protection, Entrepreneurship, and Capital Markets Subcommittee of the U.S. House Committee on Financial Services on May 24, 2021. </w:t>
      </w:r>
      <w:hyperlink r:id="rId19" w:history="1">
        <w:r w:rsidR="00CA6E4F" w:rsidRPr="00F50B90">
          <w:rPr>
            <w:rStyle w:val="Hyperlink"/>
            <w:b w:val="0"/>
            <w:sz w:val="22"/>
            <w:szCs w:val="22"/>
          </w:rPr>
          <w:t>https://www.congress.gov/117/meeting/house/112698/witnesses/HHRG-117-BA16-Wstate-RodriguesU-20210524.pdf</w:t>
        </w:r>
      </w:hyperlink>
    </w:p>
    <w:p w14:paraId="4363B96E" w14:textId="77777777" w:rsidR="000839EA" w:rsidRDefault="000839EA" w:rsidP="009C1A94">
      <w:pPr>
        <w:pStyle w:val="Heading1"/>
        <w:spacing w:before="0" w:beforeAutospacing="0" w:after="0" w:afterAutospacing="0"/>
        <w:ind w:left="720" w:hanging="720"/>
        <w:jc w:val="both"/>
        <w:rPr>
          <w:b w:val="0"/>
          <w:sz w:val="22"/>
          <w:szCs w:val="22"/>
        </w:rPr>
      </w:pPr>
    </w:p>
    <w:p w14:paraId="6E7DF03D" w14:textId="51B46667" w:rsidR="00B711D3" w:rsidRDefault="00B711D3" w:rsidP="009C1A94">
      <w:pPr>
        <w:pStyle w:val="Heading1"/>
        <w:spacing w:before="0" w:beforeAutospacing="0" w:after="0" w:afterAutospacing="0"/>
        <w:ind w:left="720" w:hanging="720"/>
        <w:jc w:val="both"/>
        <w:rPr>
          <w:b w:val="0"/>
          <w:sz w:val="22"/>
          <w:szCs w:val="22"/>
        </w:rPr>
      </w:pPr>
      <w:r w:rsidRPr="009C1A94">
        <w:rPr>
          <w:b w:val="0"/>
          <w:sz w:val="22"/>
          <w:szCs w:val="22"/>
        </w:rPr>
        <w:t>Rodrigues, U., Stegemoller, M., 2021. SPACs: Insider IPOs. Working Paper, University of Georgia</w:t>
      </w:r>
      <w:r w:rsidR="001A5D80">
        <w:rPr>
          <w:b w:val="0"/>
          <w:sz w:val="22"/>
          <w:szCs w:val="22"/>
        </w:rPr>
        <w:t>, GA</w:t>
      </w:r>
      <w:r w:rsidRPr="009C1A94">
        <w:rPr>
          <w:b w:val="0"/>
          <w:sz w:val="22"/>
          <w:szCs w:val="22"/>
        </w:rPr>
        <w:t>.</w:t>
      </w:r>
    </w:p>
    <w:p w14:paraId="2CD22056" w14:textId="77777777" w:rsidR="004703BE" w:rsidRPr="009C1A94" w:rsidRDefault="004703BE" w:rsidP="009C1A94">
      <w:pPr>
        <w:pStyle w:val="Heading1"/>
        <w:spacing w:before="0" w:beforeAutospacing="0" w:after="0" w:afterAutospacing="0"/>
        <w:ind w:left="720" w:hanging="720"/>
        <w:jc w:val="both"/>
        <w:rPr>
          <w:b w:val="0"/>
          <w:sz w:val="22"/>
          <w:szCs w:val="22"/>
        </w:rPr>
      </w:pPr>
    </w:p>
    <w:p w14:paraId="70764CCB" w14:textId="3B07CDFB" w:rsidR="00B711D3" w:rsidRDefault="004703BE" w:rsidP="009C1A94">
      <w:pPr>
        <w:pStyle w:val="Heading1"/>
        <w:spacing w:before="0" w:beforeAutospacing="0" w:after="0" w:afterAutospacing="0"/>
        <w:ind w:left="720" w:hanging="720"/>
        <w:jc w:val="both"/>
        <w:rPr>
          <w:b w:val="0"/>
          <w:sz w:val="22"/>
          <w:szCs w:val="22"/>
        </w:rPr>
      </w:pPr>
      <w:r w:rsidRPr="004703BE">
        <w:rPr>
          <w:b w:val="0"/>
          <w:sz w:val="22"/>
          <w:szCs w:val="22"/>
        </w:rPr>
        <w:t xml:space="preserve">Sanger, G.C. and Peterson, J.D., 1990. An empirical analysis of common stock delistings. </w:t>
      </w:r>
      <w:r w:rsidRPr="00B16089">
        <w:rPr>
          <w:b w:val="0"/>
          <w:i/>
          <w:sz w:val="22"/>
          <w:szCs w:val="22"/>
        </w:rPr>
        <w:t>Journal of Financial and Quantitative Analysis</w:t>
      </w:r>
      <w:r w:rsidRPr="004703BE">
        <w:rPr>
          <w:b w:val="0"/>
          <w:sz w:val="22"/>
          <w:szCs w:val="22"/>
        </w:rPr>
        <w:t>, 25(2), pp.261-272.</w:t>
      </w:r>
    </w:p>
    <w:p w14:paraId="3575E529" w14:textId="77777777" w:rsidR="00C30FC1" w:rsidRPr="009C1A94" w:rsidRDefault="00C30FC1" w:rsidP="009C1A94">
      <w:pPr>
        <w:pStyle w:val="Heading1"/>
        <w:spacing w:before="0" w:beforeAutospacing="0" w:after="0" w:afterAutospacing="0"/>
        <w:ind w:left="720" w:hanging="720"/>
        <w:jc w:val="both"/>
        <w:rPr>
          <w:b w:val="0"/>
          <w:sz w:val="22"/>
          <w:szCs w:val="22"/>
        </w:rPr>
      </w:pPr>
    </w:p>
    <w:p w14:paraId="582C2CBC" w14:textId="77777777" w:rsidR="00AD78D2" w:rsidRDefault="00AD78D2" w:rsidP="009C1A94">
      <w:pPr>
        <w:spacing w:after="0" w:line="240" w:lineRule="auto"/>
        <w:ind w:left="720" w:hanging="720"/>
        <w:jc w:val="both"/>
        <w:rPr>
          <w:rStyle w:val="Hyperlink"/>
          <w:rFonts w:ascii="Times New Roman" w:hAnsi="Times New Roman" w:cs="Times New Roman"/>
        </w:rPr>
      </w:pPr>
      <w:r>
        <w:rPr>
          <w:rStyle w:val="Hyperlink"/>
          <w:rFonts w:ascii="Times New Roman" w:hAnsi="Times New Roman" w:cs="Times New Roman"/>
        </w:rPr>
        <w:t>Securities and Exchange Commission (SEC)., 2022. Proposed Rule Release No. 33-11048, Special Purpose Acquisition Companies, shell companies, and projections.</w:t>
      </w:r>
    </w:p>
    <w:p w14:paraId="0FD024D6" w14:textId="330A5C63" w:rsidR="00AD78D2" w:rsidRDefault="0048295D" w:rsidP="00065B49">
      <w:pPr>
        <w:spacing w:after="0" w:line="240" w:lineRule="auto"/>
        <w:ind w:left="720"/>
        <w:jc w:val="both"/>
        <w:rPr>
          <w:rStyle w:val="Hyperlink"/>
          <w:rFonts w:ascii="Times New Roman" w:hAnsi="Times New Roman" w:cs="Times New Roman"/>
        </w:rPr>
      </w:pPr>
      <w:hyperlink r:id="rId20" w:history="1">
        <w:r w:rsidR="00AD78D2" w:rsidRPr="00F50B90">
          <w:rPr>
            <w:rStyle w:val="Hyperlink"/>
            <w:rFonts w:ascii="Times New Roman" w:hAnsi="Times New Roman" w:cs="Times New Roman"/>
          </w:rPr>
          <w:t>https://www.sec.gov/rules/proposed/2022/33-11048.pdf</w:t>
        </w:r>
      </w:hyperlink>
    </w:p>
    <w:p w14:paraId="69CCDF24" w14:textId="77777777" w:rsidR="00AD78D2" w:rsidRPr="009C1A94" w:rsidRDefault="00AD78D2" w:rsidP="009C1A94">
      <w:pPr>
        <w:spacing w:after="0" w:line="240" w:lineRule="auto"/>
        <w:ind w:left="720" w:hanging="720"/>
        <w:jc w:val="both"/>
        <w:rPr>
          <w:rStyle w:val="Hyperlink"/>
          <w:rFonts w:ascii="Times New Roman" w:hAnsi="Times New Roman" w:cs="Times New Roman"/>
        </w:rPr>
      </w:pPr>
    </w:p>
    <w:p w14:paraId="5547F491" w14:textId="77777777" w:rsidR="00B711D3" w:rsidRPr="009C1A94" w:rsidRDefault="00B711D3" w:rsidP="009C1A94">
      <w:pPr>
        <w:pStyle w:val="Heading1"/>
        <w:spacing w:before="0" w:beforeAutospacing="0" w:after="0" w:afterAutospacing="0"/>
        <w:ind w:left="720" w:hanging="720"/>
        <w:jc w:val="both"/>
        <w:rPr>
          <w:b w:val="0"/>
          <w:sz w:val="22"/>
          <w:szCs w:val="22"/>
        </w:rPr>
      </w:pPr>
      <w:r w:rsidRPr="009C1A94">
        <w:rPr>
          <w:b w:val="0"/>
          <w:sz w:val="22"/>
          <w:szCs w:val="22"/>
        </w:rPr>
        <w:t xml:space="preserve">Sloan, R. G., 1996. Do stock prices fully reflect information in accruals and cash flows about future earnings? </w:t>
      </w:r>
      <w:r w:rsidRPr="009C1A94">
        <w:rPr>
          <w:b w:val="0"/>
          <w:i/>
          <w:sz w:val="22"/>
          <w:szCs w:val="22"/>
        </w:rPr>
        <w:t>The Accounting Review</w:t>
      </w:r>
      <w:r w:rsidRPr="009C1A94">
        <w:rPr>
          <w:b w:val="0"/>
          <w:sz w:val="22"/>
          <w:szCs w:val="22"/>
        </w:rPr>
        <w:t xml:space="preserve"> 71(3): 289-315.</w:t>
      </w:r>
    </w:p>
    <w:p w14:paraId="447E42C8" w14:textId="77777777" w:rsidR="00B711D3" w:rsidRPr="009C1A94" w:rsidRDefault="00B711D3" w:rsidP="009C1A94">
      <w:pPr>
        <w:pStyle w:val="Heading1"/>
        <w:spacing w:before="0" w:beforeAutospacing="0" w:after="0" w:afterAutospacing="0"/>
        <w:ind w:left="720" w:hanging="720"/>
        <w:jc w:val="both"/>
        <w:rPr>
          <w:b w:val="0"/>
          <w:sz w:val="22"/>
          <w:szCs w:val="22"/>
        </w:rPr>
      </w:pPr>
    </w:p>
    <w:p w14:paraId="516E61F5" w14:textId="77777777" w:rsidR="00B711D3" w:rsidRPr="009C1A94" w:rsidRDefault="00B711D3" w:rsidP="009C1A94">
      <w:pPr>
        <w:autoSpaceDE w:val="0"/>
        <w:autoSpaceDN w:val="0"/>
        <w:adjustRightInd w:val="0"/>
        <w:spacing w:after="0"/>
        <w:ind w:left="720" w:hanging="720"/>
        <w:jc w:val="both"/>
        <w:rPr>
          <w:rFonts w:ascii="Times New Roman" w:hAnsi="Times New Roman" w:cs="Times New Roman"/>
        </w:rPr>
      </w:pPr>
      <w:r w:rsidRPr="009C1A94">
        <w:rPr>
          <w:rFonts w:ascii="Times New Roman" w:hAnsi="Times New Roman" w:cs="Times New Roman"/>
        </w:rPr>
        <w:t xml:space="preserve">Teoh, S. H., Welch, I., Wong, T. J., 1998. Earnings management and the long-run market performance of the Initial Public Offerings. </w:t>
      </w:r>
      <w:r w:rsidRPr="009C1A94">
        <w:rPr>
          <w:rFonts w:ascii="Times New Roman" w:hAnsi="Times New Roman" w:cs="Times New Roman"/>
          <w:i/>
        </w:rPr>
        <w:t>The Journal of Finance</w:t>
      </w:r>
      <w:r w:rsidRPr="009C1A94">
        <w:rPr>
          <w:rFonts w:ascii="Times New Roman" w:hAnsi="Times New Roman" w:cs="Times New Roman"/>
        </w:rPr>
        <w:t xml:space="preserve"> 53(6): 1935-1974.</w:t>
      </w:r>
    </w:p>
    <w:p w14:paraId="12B0D005" w14:textId="77777777" w:rsidR="00B711D3" w:rsidRPr="009C1A94" w:rsidRDefault="00B711D3" w:rsidP="009C1A94">
      <w:pPr>
        <w:pStyle w:val="Heading1"/>
        <w:spacing w:before="0" w:beforeAutospacing="0" w:after="0" w:afterAutospacing="0"/>
        <w:ind w:left="720" w:hanging="720"/>
        <w:jc w:val="both"/>
        <w:rPr>
          <w:b w:val="0"/>
          <w:sz w:val="22"/>
          <w:szCs w:val="22"/>
        </w:rPr>
      </w:pPr>
    </w:p>
    <w:p w14:paraId="339BEA65" w14:textId="606A0052" w:rsidR="00B711D3" w:rsidRPr="009C1A94" w:rsidRDefault="00B711D3" w:rsidP="00311A1E">
      <w:pPr>
        <w:pStyle w:val="Heading1"/>
        <w:spacing w:before="0" w:beforeAutospacing="0" w:after="0" w:afterAutospacing="0"/>
        <w:ind w:left="720" w:hanging="720"/>
        <w:jc w:val="both"/>
        <w:rPr>
          <w:b w:val="0"/>
        </w:rPr>
      </w:pPr>
      <w:r w:rsidRPr="009C1A94">
        <w:rPr>
          <w:b w:val="0"/>
          <w:sz w:val="22"/>
          <w:szCs w:val="22"/>
        </w:rPr>
        <w:t xml:space="preserve">Willenborg, M., 1999. Empirical analysis of the economic demand for auditing in the Initial Public Offerings market. </w:t>
      </w:r>
      <w:r w:rsidRPr="009C1A94">
        <w:rPr>
          <w:b w:val="0"/>
          <w:i/>
          <w:sz w:val="22"/>
          <w:szCs w:val="22"/>
        </w:rPr>
        <w:t>Journal of Accounting Research</w:t>
      </w:r>
      <w:r w:rsidRPr="009C1A94">
        <w:rPr>
          <w:b w:val="0"/>
          <w:sz w:val="22"/>
          <w:szCs w:val="22"/>
        </w:rPr>
        <w:t xml:space="preserve"> 37(1): 225-238.</w:t>
      </w:r>
      <w:r w:rsidRPr="009C1A94">
        <w:rPr>
          <w:b w:val="0"/>
        </w:rPr>
        <w:br w:type="page"/>
      </w:r>
    </w:p>
    <w:p w14:paraId="2A34B15D" w14:textId="2CE8249F" w:rsidR="000D76B9" w:rsidRPr="00886CA1" w:rsidRDefault="000D76B9" w:rsidP="000D76B9">
      <w:pPr>
        <w:spacing w:after="0" w:line="240" w:lineRule="auto"/>
        <w:rPr>
          <w:rFonts w:ascii="Times New Roman" w:hAnsi="Times New Roman" w:cs="Times New Roman"/>
          <w:b/>
          <w:sz w:val="24"/>
          <w:szCs w:val="24"/>
        </w:rPr>
      </w:pPr>
      <w:r w:rsidRPr="00886CA1">
        <w:rPr>
          <w:rFonts w:ascii="Times New Roman" w:hAnsi="Times New Roman" w:cs="Times New Roman"/>
          <w:b/>
          <w:sz w:val="24"/>
          <w:szCs w:val="24"/>
        </w:rPr>
        <w:lastRenderedPageBreak/>
        <w:t>Appendix A</w:t>
      </w:r>
    </w:p>
    <w:p w14:paraId="60D1ACB2" w14:textId="77777777" w:rsidR="00531E5A" w:rsidRPr="00886CA1" w:rsidRDefault="00531E5A" w:rsidP="000D76B9">
      <w:pPr>
        <w:spacing w:after="0" w:line="240" w:lineRule="auto"/>
        <w:rPr>
          <w:rFonts w:ascii="Times New Roman" w:hAnsi="Times New Roman" w:cs="Times New Roman"/>
          <w:b/>
          <w:sz w:val="24"/>
          <w:szCs w:val="24"/>
        </w:rPr>
      </w:pPr>
    </w:p>
    <w:p w14:paraId="4284FE59" w14:textId="77777777" w:rsidR="000D76B9" w:rsidRPr="00886CA1" w:rsidRDefault="000D76B9" w:rsidP="000D76B9">
      <w:pPr>
        <w:spacing w:after="0" w:line="240" w:lineRule="auto"/>
        <w:rPr>
          <w:rFonts w:ascii="Times New Roman" w:hAnsi="Times New Roman" w:cs="Times New Roman"/>
          <w:sz w:val="24"/>
          <w:szCs w:val="24"/>
        </w:rPr>
      </w:pPr>
      <w:r w:rsidRPr="00886CA1">
        <w:rPr>
          <w:rFonts w:ascii="Times New Roman" w:hAnsi="Times New Roman" w:cs="Times New Roman"/>
          <w:sz w:val="24"/>
          <w:szCs w:val="24"/>
        </w:rPr>
        <w:t>Variable Definitions.</w:t>
      </w:r>
    </w:p>
    <w:tbl>
      <w:tblPr>
        <w:tblStyle w:val="TableGrid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91"/>
        <w:gridCol w:w="6359"/>
      </w:tblGrid>
      <w:tr w:rsidR="000D76B9" w:rsidRPr="00886CA1" w14:paraId="42496BED" w14:textId="77777777" w:rsidTr="009068C4">
        <w:tc>
          <w:tcPr>
            <w:tcW w:w="9540" w:type="dxa"/>
            <w:gridSpan w:val="3"/>
            <w:tcBorders>
              <w:bottom w:val="single" w:sz="12" w:space="0" w:color="auto"/>
            </w:tcBorders>
          </w:tcPr>
          <w:p w14:paraId="06CEB946" w14:textId="77777777" w:rsidR="00531E5A" w:rsidRPr="00886CA1" w:rsidRDefault="00531E5A" w:rsidP="000D76B9">
            <w:pPr>
              <w:rPr>
                <w:i/>
              </w:rPr>
            </w:pPr>
          </w:p>
          <w:p w14:paraId="031E73B4" w14:textId="42F331EA" w:rsidR="000D76B9" w:rsidRPr="00886CA1" w:rsidRDefault="000D76B9" w:rsidP="000D76B9">
            <w:r w:rsidRPr="00886CA1">
              <w:rPr>
                <w:i/>
              </w:rPr>
              <w:t>Experimental Variables</w:t>
            </w:r>
          </w:p>
        </w:tc>
      </w:tr>
      <w:tr w:rsidR="000D76B9" w:rsidRPr="00886CA1" w14:paraId="06820844" w14:textId="77777777" w:rsidTr="009068C4">
        <w:tc>
          <w:tcPr>
            <w:tcW w:w="2790" w:type="dxa"/>
            <w:tcBorders>
              <w:top w:val="single" w:sz="12" w:space="0" w:color="auto"/>
            </w:tcBorders>
          </w:tcPr>
          <w:p w14:paraId="15BE2B09" w14:textId="42C27248" w:rsidR="000D76B9" w:rsidRPr="00886CA1" w:rsidRDefault="005D7D96" w:rsidP="000D76B9">
            <w:pPr>
              <w:rPr>
                <w:i/>
              </w:rPr>
            </w:pPr>
            <w:r w:rsidRPr="00886CA1">
              <w:rPr>
                <w:i/>
              </w:rPr>
              <w:t>FIRSTYEAR</w:t>
            </w:r>
          </w:p>
        </w:tc>
        <w:tc>
          <w:tcPr>
            <w:tcW w:w="391" w:type="dxa"/>
            <w:tcBorders>
              <w:top w:val="single" w:sz="12" w:space="0" w:color="auto"/>
            </w:tcBorders>
          </w:tcPr>
          <w:p w14:paraId="3B85AAC6" w14:textId="77777777" w:rsidR="000D76B9" w:rsidRPr="00886CA1" w:rsidRDefault="000D76B9" w:rsidP="000D76B9">
            <w:r w:rsidRPr="00886CA1">
              <w:t>=</w:t>
            </w:r>
          </w:p>
        </w:tc>
        <w:tc>
          <w:tcPr>
            <w:tcW w:w="6359" w:type="dxa"/>
            <w:tcBorders>
              <w:top w:val="single" w:sz="12" w:space="0" w:color="auto"/>
            </w:tcBorders>
          </w:tcPr>
          <w:p w14:paraId="11F531BE" w14:textId="3B26B219" w:rsidR="000D76B9" w:rsidRPr="00886CA1" w:rsidRDefault="005D7D96">
            <w:r w:rsidRPr="00886CA1">
              <w:t>an indicator variable equal to one if the target merges with the SPAC within one year of its formation, and zero otherwise.</w:t>
            </w:r>
          </w:p>
        </w:tc>
      </w:tr>
      <w:tr w:rsidR="00EC5AF3" w:rsidRPr="00886CA1" w14:paraId="5BADE402" w14:textId="77777777" w:rsidTr="009068C4">
        <w:tc>
          <w:tcPr>
            <w:tcW w:w="2790" w:type="dxa"/>
            <w:shd w:val="clear" w:color="auto" w:fill="auto"/>
          </w:tcPr>
          <w:p w14:paraId="06AC52D2" w14:textId="5B2F22F8" w:rsidR="00EC5AF3" w:rsidRPr="00886CA1" w:rsidRDefault="00EC5AF3" w:rsidP="00EC5AF3">
            <w:pPr>
              <w:rPr>
                <w:i/>
              </w:rPr>
            </w:pPr>
            <w:r w:rsidRPr="00886CA1">
              <w:rPr>
                <w:i/>
              </w:rPr>
              <w:t>PIPE</w:t>
            </w:r>
          </w:p>
        </w:tc>
        <w:tc>
          <w:tcPr>
            <w:tcW w:w="391" w:type="dxa"/>
            <w:shd w:val="clear" w:color="auto" w:fill="auto"/>
          </w:tcPr>
          <w:p w14:paraId="1BF1ED60" w14:textId="3A5D7277" w:rsidR="00EC5AF3" w:rsidRPr="00886CA1" w:rsidRDefault="00EC5AF3" w:rsidP="00EC5AF3">
            <w:r w:rsidRPr="00886CA1">
              <w:t>=</w:t>
            </w:r>
          </w:p>
        </w:tc>
        <w:tc>
          <w:tcPr>
            <w:tcW w:w="6359" w:type="dxa"/>
            <w:shd w:val="clear" w:color="auto" w:fill="auto"/>
          </w:tcPr>
          <w:p w14:paraId="2B2C405C" w14:textId="2DFD0810" w:rsidR="00EC5AF3" w:rsidRPr="00886CA1" w:rsidRDefault="00EC5AF3" w:rsidP="00EC5AF3">
            <w:r w:rsidRPr="00886CA1">
              <w:t>an indicator variable equal to one if a PIPE investment is made at the time of merger with the target, and zero otherwise.</w:t>
            </w:r>
          </w:p>
        </w:tc>
      </w:tr>
      <w:tr w:rsidR="005D7D96" w:rsidRPr="00886CA1" w14:paraId="4135CA9B" w14:textId="77777777" w:rsidTr="009068C4">
        <w:tc>
          <w:tcPr>
            <w:tcW w:w="2790" w:type="dxa"/>
            <w:shd w:val="clear" w:color="auto" w:fill="auto"/>
          </w:tcPr>
          <w:p w14:paraId="0DBE02A4" w14:textId="05BDACA0" w:rsidR="005D7D96" w:rsidRPr="00886CA1" w:rsidRDefault="005D7D96" w:rsidP="005D7D96">
            <w:pPr>
              <w:rPr>
                <w:i/>
              </w:rPr>
            </w:pPr>
            <w:r w:rsidRPr="00886CA1">
              <w:rPr>
                <w:i/>
              </w:rPr>
              <w:t>SPAC-IPO</w:t>
            </w:r>
          </w:p>
        </w:tc>
        <w:tc>
          <w:tcPr>
            <w:tcW w:w="391" w:type="dxa"/>
            <w:shd w:val="clear" w:color="auto" w:fill="auto"/>
          </w:tcPr>
          <w:p w14:paraId="4D780D91" w14:textId="589437E9" w:rsidR="005D7D96" w:rsidRPr="00886CA1" w:rsidRDefault="005D7D96" w:rsidP="005D7D96">
            <w:r w:rsidRPr="00886CA1">
              <w:t>=</w:t>
            </w:r>
          </w:p>
        </w:tc>
        <w:tc>
          <w:tcPr>
            <w:tcW w:w="6359" w:type="dxa"/>
            <w:shd w:val="clear" w:color="auto" w:fill="auto"/>
          </w:tcPr>
          <w:p w14:paraId="11AD522A" w14:textId="4931D1EA" w:rsidR="005D7D96" w:rsidRPr="00886CA1" w:rsidRDefault="005D7D96" w:rsidP="005D7D96">
            <w:r w:rsidRPr="00886CA1">
              <w:t>an indicator variable equal to one for firms that go public via a SPAC-IPO, and zero for non-SPAC-IPO matched-pairs.</w:t>
            </w:r>
          </w:p>
        </w:tc>
      </w:tr>
      <w:tr w:rsidR="005D7D96" w:rsidRPr="00886CA1" w14:paraId="45993BE4" w14:textId="77777777" w:rsidTr="009068C4">
        <w:tc>
          <w:tcPr>
            <w:tcW w:w="2790" w:type="dxa"/>
            <w:shd w:val="clear" w:color="auto" w:fill="auto"/>
          </w:tcPr>
          <w:p w14:paraId="4583BBB2" w14:textId="77777777" w:rsidR="005D7D96" w:rsidRPr="00886CA1" w:rsidRDefault="005D7D96" w:rsidP="005D7D96">
            <w:pPr>
              <w:rPr>
                <w:i/>
              </w:rPr>
            </w:pPr>
            <w:r w:rsidRPr="00886CA1">
              <w:rPr>
                <w:i/>
              </w:rPr>
              <w:t>SPONSOR_BOARD%</w:t>
            </w:r>
          </w:p>
        </w:tc>
        <w:tc>
          <w:tcPr>
            <w:tcW w:w="391" w:type="dxa"/>
            <w:shd w:val="clear" w:color="auto" w:fill="auto"/>
          </w:tcPr>
          <w:p w14:paraId="69C46ED5" w14:textId="77777777" w:rsidR="005D7D96" w:rsidRPr="00886CA1" w:rsidRDefault="005D7D96" w:rsidP="005D7D96">
            <w:r w:rsidRPr="00886CA1">
              <w:t>=</w:t>
            </w:r>
          </w:p>
        </w:tc>
        <w:tc>
          <w:tcPr>
            <w:tcW w:w="6359" w:type="dxa"/>
            <w:shd w:val="clear" w:color="auto" w:fill="auto"/>
          </w:tcPr>
          <w:p w14:paraId="2FDCD30C" w14:textId="77777777" w:rsidR="005D7D96" w:rsidRPr="00886CA1" w:rsidRDefault="005D7D96" w:rsidP="005D7D96">
            <w:r w:rsidRPr="00886CA1">
              <w:t>the percentage of the SPAC-IPO firm’s board members that are SPAC sponsors.</w:t>
            </w:r>
          </w:p>
        </w:tc>
      </w:tr>
      <w:tr w:rsidR="005D7D96" w:rsidRPr="00886CA1" w14:paraId="3FB4442D" w14:textId="77777777" w:rsidTr="009068C4">
        <w:tc>
          <w:tcPr>
            <w:tcW w:w="9540" w:type="dxa"/>
            <w:gridSpan w:val="3"/>
            <w:tcBorders>
              <w:bottom w:val="single" w:sz="12" w:space="0" w:color="auto"/>
            </w:tcBorders>
          </w:tcPr>
          <w:p w14:paraId="229B6D13" w14:textId="77777777" w:rsidR="005D7D96" w:rsidRPr="00886CA1" w:rsidRDefault="005D7D96" w:rsidP="005D7D96">
            <w:r w:rsidRPr="00886CA1">
              <w:rPr>
                <w:i/>
              </w:rPr>
              <w:t>Other Variables</w:t>
            </w:r>
          </w:p>
        </w:tc>
      </w:tr>
      <w:tr w:rsidR="005D7D96" w:rsidRPr="00886CA1" w14:paraId="364AAA0D" w14:textId="77777777" w:rsidTr="009068C4">
        <w:tc>
          <w:tcPr>
            <w:tcW w:w="2790" w:type="dxa"/>
            <w:tcBorders>
              <w:top w:val="single" w:sz="12" w:space="0" w:color="auto"/>
            </w:tcBorders>
          </w:tcPr>
          <w:p w14:paraId="01A836C3" w14:textId="77777777" w:rsidR="005D7D96" w:rsidRPr="00886CA1" w:rsidRDefault="005D7D96" w:rsidP="005D7D96">
            <w:pPr>
              <w:rPr>
                <w:i/>
              </w:rPr>
            </w:pPr>
            <w:r w:rsidRPr="00886CA1">
              <w:rPr>
                <w:i/>
              </w:rPr>
              <w:t>ACC</w:t>
            </w:r>
          </w:p>
        </w:tc>
        <w:tc>
          <w:tcPr>
            <w:tcW w:w="391" w:type="dxa"/>
            <w:tcBorders>
              <w:top w:val="single" w:sz="12" w:space="0" w:color="auto"/>
            </w:tcBorders>
          </w:tcPr>
          <w:p w14:paraId="2D498419" w14:textId="77777777" w:rsidR="005D7D96" w:rsidRPr="00886CA1" w:rsidRDefault="005D7D96" w:rsidP="005D7D96">
            <w:r w:rsidRPr="00886CA1">
              <w:t>=</w:t>
            </w:r>
          </w:p>
        </w:tc>
        <w:tc>
          <w:tcPr>
            <w:tcW w:w="6359" w:type="dxa"/>
            <w:tcBorders>
              <w:top w:val="single" w:sz="12" w:space="0" w:color="auto"/>
            </w:tcBorders>
          </w:tcPr>
          <w:p w14:paraId="785D81D4" w14:textId="77777777" w:rsidR="005D7D96" w:rsidRPr="00886CA1" w:rsidRDefault="005D7D96" w:rsidP="005D7D96">
            <w:r w:rsidRPr="00886CA1">
              <w:t>income before extraordinary items less cash flows from operations scaled by the end of the year total assets for year t.</w:t>
            </w:r>
          </w:p>
        </w:tc>
      </w:tr>
      <w:tr w:rsidR="005D7D96" w:rsidRPr="00886CA1" w14:paraId="13D55895" w14:textId="77777777" w:rsidTr="009068C4">
        <w:tc>
          <w:tcPr>
            <w:tcW w:w="2790" w:type="dxa"/>
          </w:tcPr>
          <w:p w14:paraId="696A7289" w14:textId="77777777" w:rsidR="005D7D96" w:rsidRPr="00886CA1" w:rsidRDefault="005D7D96" w:rsidP="005D7D96">
            <w:pPr>
              <w:rPr>
                <w:i/>
              </w:rPr>
            </w:pPr>
            <w:r w:rsidRPr="00886CA1">
              <w:rPr>
                <w:i/>
              </w:rPr>
              <w:t>ASSETS</w:t>
            </w:r>
          </w:p>
        </w:tc>
        <w:tc>
          <w:tcPr>
            <w:tcW w:w="391" w:type="dxa"/>
          </w:tcPr>
          <w:p w14:paraId="33B8EC5A" w14:textId="77777777" w:rsidR="005D7D96" w:rsidRPr="00886CA1" w:rsidRDefault="005D7D96" w:rsidP="005D7D96">
            <w:r w:rsidRPr="00886CA1">
              <w:t>=</w:t>
            </w:r>
          </w:p>
        </w:tc>
        <w:tc>
          <w:tcPr>
            <w:tcW w:w="6359" w:type="dxa"/>
          </w:tcPr>
          <w:p w14:paraId="585018D4" w14:textId="77777777" w:rsidR="005D7D96" w:rsidRPr="00886CA1" w:rsidRDefault="005D7D96" w:rsidP="005D7D96">
            <w:r w:rsidRPr="00886CA1">
              <w:t>the natural logarithm of total assets.</w:t>
            </w:r>
          </w:p>
        </w:tc>
      </w:tr>
      <w:tr w:rsidR="005D7D96" w:rsidRPr="00886CA1" w14:paraId="10C5ADFB" w14:textId="77777777" w:rsidTr="009068C4">
        <w:tc>
          <w:tcPr>
            <w:tcW w:w="2790" w:type="dxa"/>
          </w:tcPr>
          <w:p w14:paraId="7AB3FE41" w14:textId="77777777" w:rsidR="005D7D96" w:rsidRPr="00886CA1" w:rsidRDefault="005D7D96" w:rsidP="005D7D96">
            <w:pPr>
              <w:rPr>
                <w:i/>
              </w:rPr>
            </w:pPr>
            <w:r w:rsidRPr="00886CA1">
              <w:rPr>
                <w:i/>
              </w:rPr>
              <w:t>ASSETTURNOVER</w:t>
            </w:r>
          </w:p>
        </w:tc>
        <w:tc>
          <w:tcPr>
            <w:tcW w:w="391" w:type="dxa"/>
          </w:tcPr>
          <w:p w14:paraId="662DF14E" w14:textId="77777777" w:rsidR="005D7D96" w:rsidRPr="00886CA1" w:rsidRDefault="005D7D96" w:rsidP="005D7D96">
            <w:r w:rsidRPr="00886CA1">
              <w:t>=</w:t>
            </w:r>
          </w:p>
        </w:tc>
        <w:tc>
          <w:tcPr>
            <w:tcW w:w="6359" w:type="dxa"/>
          </w:tcPr>
          <w:p w14:paraId="0B8F3A8B" w14:textId="77777777" w:rsidR="005D7D96" w:rsidRPr="00886CA1" w:rsidRDefault="005D7D96" w:rsidP="005D7D96">
            <w:r w:rsidRPr="00886CA1">
              <w:t>the ratio of total revenue to total assets.</w:t>
            </w:r>
          </w:p>
        </w:tc>
      </w:tr>
      <w:tr w:rsidR="005D7D96" w:rsidRPr="00886CA1" w14:paraId="4BAF5E0B" w14:textId="77777777" w:rsidTr="009068C4">
        <w:tc>
          <w:tcPr>
            <w:tcW w:w="2790" w:type="dxa"/>
          </w:tcPr>
          <w:p w14:paraId="6444248B" w14:textId="77777777" w:rsidR="005D7D96" w:rsidRPr="00886CA1" w:rsidRDefault="005D7D96" w:rsidP="005D7D96">
            <w:pPr>
              <w:rPr>
                <w:i/>
              </w:rPr>
            </w:pPr>
            <w:r w:rsidRPr="00886CA1">
              <w:rPr>
                <w:i/>
              </w:rPr>
              <w:t>CFO</w:t>
            </w:r>
          </w:p>
        </w:tc>
        <w:tc>
          <w:tcPr>
            <w:tcW w:w="391" w:type="dxa"/>
          </w:tcPr>
          <w:p w14:paraId="253ACACE" w14:textId="77777777" w:rsidR="005D7D96" w:rsidRPr="00886CA1" w:rsidRDefault="005D7D96" w:rsidP="005D7D96">
            <w:r w:rsidRPr="00886CA1">
              <w:t>=</w:t>
            </w:r>
          </w:p>
        </w:tc>
        <w:tc>
          <w:tcPr>
            <w:tcW w:w="6359" w:type="dxa"/>
          </w:tcPr>
          <w:p w14:paraId="5B83004D" w14:textId="77777777" w:rsidR="005D7D96" w:rsidRPr="00886CA1" w:rsidRDefault="005D7D96" w:rsidP="005D7D96">
            <w:r w:rsidRPr="00886CA1">
              <w:t>cash flows from operations scaled by the end of the year total assets for year t.</w:t>
            </w:r>
          </w:p>
        </w:tc>
      </w:tr>
      <w:tr w:rsidR="005D7D96" w:rsidRPr="00886CA1" w14:paraId="5F4CB419" w14:textId="77777777" w:rsidTr="009068C4">
        <w:tc>
          <w:tcPr>
            <w:tcW w:w="2790" w:type="dxa"/>
          </w:tcPr>
          <w:p w14:paraId="21B79E32" w14:textId="77777777" w:rsidR="005D7D96" w:rsidRPr="00886CA1" w:rsidRDefault="005D7D96" w:rsidP="005D7D96">
            <w:pPr>
              <w:rPr>
                <w:i/>
              </w:rPr>
            </w:pPr>
            <w:r w:rsidRPr="00886CA1">
              <w:rPr>
                <w:i/>
              </w:rPr>
              <w:t>CURRATIO</w:t>
            </w:r>
          </w:p>
        </w:tc>
        <w:tc>
          <w:tcPr>
            <w:tcW w:w="391" w:type="dxa"/>
          </w:tcPr>
          <w:p w14:paraId="1C3CA19C" w14:textId="77777777" w:rsidR="005D7D96" w:rsidRPr="00886CA1" w:rsidRDefault="005D7D96" w:rsidP="005D7D96">
            <w:r w:rsidRPr="00886CA1">
              <w:t>=</w:t>
            </w:r>
          </w:p>
        </w:tc>
        <w:tc>
          <w:tcPr>
            <w:tcW w:w="6359" w:type="dxa"/>
          </w:tcPr>
          <w:p w14:paraId="5D108F0C" w14:textId="77777777" w:rsidR="005D7D96" w:rsidRPr="00886CA1" w:rsidRDefault="005D7D96" w:rsidP="005D7D96">
            <w:r w:rsidRPr="00886CA1">
              <w:t>the ratio of current assets to current liabilities.</w:t>
            </w:r>
          </w:p>
        </w:tc>
      </w:tr>
      <w:tr w:rsidR="005D7D96" w:rsidRPr="00886CA1" w14:paraId="12EEEBCF" w14:textId="77777777" w:rsidTr="009068C4">
        <w:tc>
          <w:tcPr>
            <w:tcW w:w="2790" w:type="dxa"/>
          </w:tcPr>
          <w:p w14:paraId="1CA5FCC6" w14:textId="77777777" w:rsidR="005D7D96" w:rsidRPr="00886CA1" w:rsidRDefault="005D7D96" w:rsidP="005D7D96">
            <w:pPr>
              <w:rPr>
                <w:i/>
              </w:rPr>
            </w:pPr>
            <w:r w:rsidRPr="00886CA1">
              <w:rPr>
                <w:i/>
              </w:rPr>
              <w:t>DISCONTINUED</w:t>
            </w:r>
          </w:p>
        </w:tc>
        <w:tc>
          <w:tcPr>
            <w:tcW w:w="391" w:type="dxa"/>
          </w:tcPr>
          <w:p w14:paraId="26DEFBAB" w14:textId="77777777" w:rsidR="005D7D96" w:rsidRPr="00886CA1" w:rsidRDefault="005D7D96" w:rsidP="005D7D96">
            <w:r w:rsidRPr="00886CA1">
              <w:t>=</w:t>
            </w:r>
          </w:p>
        </w:tc>
        <w:tc>
          <w:tcPr>
            <w:tcW w:w="6359" w:type="dxa"/>
          </w:tcPr>
          <w:p w14:paraId="53698A63" w14:textId="77777777" w:rsidR="005D7D96" w:rsidRPr="00886CA1" w:rsidRDefault="005D7D96" w:rsidP="005D7D96">
            <w:r w:rsidRPr="00886CA1">
              <w:t>an indicator variable equal to one if a firm has discontinued operations, and zero otherwise.</w:t>
            </w:r>
          </w:p>
        </w:tc>
      </w:tr>
      <w:tr w:rsidR="005D7D96" w:rsidRPr="00886CA1" w14:paraId="187B66EC" w14:textId="77777777" w:rsidTr="009068C4">
        <w:tc>
          <w:tcPr>
            <w:tcW w:w="2790" w:type="dxa"/>
          </w:tcPr>
          <w:p w14:paraId="72D910A1" w14:textId="77777777" w:rsidR="005D7D96" w:rsidRPr="00886CA1" w:rsidRDefault="005D7D96" w:rsidP="005D7D96">
            <w:pPr>
              <w:rPr>
                <w:i/>
              </w:rPr>
            </w:pPr>
            <w:r w:rsidRPr="00886CA1">
              <w:rPr>
                <w:i/>
              </w:rPr>
              <w:t>EARN</w:t>
            </w:r>
          </w:p>
        </w:tc>
        <w:tc>
          <w:tcPr>
            <w:tcW w:w="391" w:type="dxa"/>
          </w:tcPr>
          <w:p w14:paraId="0C5FE5AE" w14:textId="77777777" w:rsidR="005D7D96" w:rsidRPr="00886CA1" w:rsidRDefault="005D7D96" w:rsidP="005D7D96">
            <w:r w:rsidRPr="00886CA1">
              <w:t>=</w:t>
            </w:r>
          </w:p>
        </w:tc>
        <w:tc>
          <w:tcPr>
            <w:tcW w:w="6359" w:type="dxa"/>
          </w:tcPr>
          <w:p w14:paraId="55FAFAFC" w14:textId="77777777" w:rsidR="005D7D96" w:rsidRPr="00886CA1" w:rsidRDefault="005D7D96" w:rsidP="005D7D96">
            <w:r w:rsidRPr="00886CA1">
              <w:t>income before extraordinary items scaled by the end of the year total assets for year t.</w:t>
            </w:r>
          </w:p>
        </w:tc>
      </w:tr>
      <w:tr w:rsidR="005D7D96" w:rsidRPr="00886CA1" w14:paraId="3FCC02D3" w14:textId="77777777" w:rsidTr="009068C4">
        <w:tc>
          <w:tcPr>
            <w:tcW w:w="2790" w:type="dxa"/>
          </w:tcPr>
          <w:p w14:paraId="51282940" w14:textId="77777777" w:rsidR="005D7D96" w:rsidRPr="00886CA1" w:rsidRDefault="005D7D96" w:rsidP="005D7D96">
            <w:pPr>
              <w:rPr>
                <w:i/>
              </w:rPr>
            </w:pPr>
            <w:r w:rsidRPr="00886CA1">
              <w:rPr>
                <w:i/>
              </w:rPr>
              <w:t>EGC</w:t>
            </w:r>
          </w:p>
        </w:tc>
        <w:tc>
          <w:tcPr>
            <w:tcW w:w="391" w:type="dxa"/>
          </w:tcPr>
          <w:p w14:paraId="0CC35AF6" w14:textId="77777777" w:rsidR="005D7D96" w:rsidRPr="00886CA1" w:rsidRDefault="005D7D96" w:rsidP="005D7D96">
            <w:r w:rsidRPr="00886CA1">
              <w:t>=</w:t>
            </w:r>
          </w:p>
        </w:tc>
        <w:tc>
          <w:tcPr>
            <w:tcW w:w="6359" w:type="dxa"/>
          </w:tcPr>
          <w:p w14:paraId="3D85599F" w14:textId="77777777" w:rsidR="005D7D96" w:rsidRPr="00886CA1" w:rsidRDefault="005D7D96" w:rsidP="005D7D96">
            <w:r w:rsidRPr="00886CA1">
              <w:t>an indicator variable equal to one if a firm qualifies as an emerging growth company, and zero otherwise.</w:t>
            </w:r>
          </w:p>
        </w:tc>
      </w:tr>
      <w:tr w:rsidR="005D7D96" w:rsidRPr="00886CA1" w14:paraId="6F10EA87" w14:textId="77777777" w:rsidTr="009068C4">
        <w:tc>
          <w:tcPr>
            <w:tcW w:w="2790" w:type="dxa"/>
          </w:tcPr>
          <w:p w14:paraId="10953F3B" w14:textId="77777777" w:rsidR="005D7D96" w:rsidRPr="00886CA1" w:rsidRDefault="005D7D96" w:rsidP="005D7D96">
            <w:pPr>
              <w:rPr>
                <w:i/>
              </w:rPr>
            </w:pPr>
            <w:r w:rsidRPr="00886CA1">
              <w:rPr>
                <w:i/>
              </w:rPr>
              <w:t>FOREIGNFIRM</w:t>
            </w:r>
          </w:p>
        </w:tc>
        <w:tc>
          <w:tcPr>
            <w:tcW w:w="391" w:type="dxa"/>
          </w:tcPr>
          <w:p w14:paraId="48A78776" w14:textId="77777777" w:rsidR="005D7D96" w:rsidRPr="00886CA1" w:rsidRDefault="005D7D96" w:rsidP="005D7D96">
            <w:r w:rsidRPr="00886CA1">
              <w:t>=</w:t>
            </w:r>
          </w:p>
        </w:tc>
        <w:tc>
          <w:tcPr>
            <w:tcW w:w="6359" w:type="dxa"/>
          </w:tcPr>
          <w:p w14:paraId="5E048937" w14:textId="77777777" w:rsidR="005D7D96" w:rsidRPr="00886CA1" w:rsidRDefault="005D7D96" w:rsidP="005D7D96">
            <w:r w:rsidRPr="00886CA1">
              <w:t>an indicator variable equal to one if the firm is incorporated outside of the U.S., and zero otherwise.</w:t>
            </w:r>
          </w:p>
        </w:tc>
      </w:tr>
      <w:tr w:rsidR="00886CA1" w:rsidRPr="00886CA1" w14:paraId="403B4E19" w14:textId="77777777" w:rsidTr="009068C4">
        <w:tc>
          <w:tcPr>
            <w:tcW w:w="2790" w:type="dxa"/>
          </w:tcPr>
          <w:p w14:paraId="4938E1FB" w14:textId="57F3BF83" w:rsidR="00886CA1" w:rsidRPr="00886CA1" w:rsidRDefault="00886CA1" w:rsidP="005D7D96">
            <w:pPr>
              <w:rPr>
                <w:i/>
              </w:rPr>
            </w:pPr>
            <w:r w:rsidRPr="00886CA1">
              <w:rPr>
                <w:i/>
              </w:rPr>
              <w:t>HIGHACCRUALS</w:t>
            </w:r>
          </w:p>
        </w:tc>
        <w:tc>
          <w:tcPr>
            <w:tcW w:w="391" w:type="dxa"/>
          </w:tcPr>
          <w:p w14:paraId="26423B41" w14:textId="5F3781F2" w:rsidR="00886CA1" w:rsidRPr="00886CA1" w:rsidRDefault="00886CA1" w:rsidP="005D7D96">
            <w:r w:rsidRPr="00886CA1">
              <w:t>=</w:t>
            </w:r>
          </w:p>
        </w:tc>
        <w:tc>
          <w:tcPr>
            <w:tcW w:w="6359" w:type="dxa"/>
          </w:tcPr>
          <w:p w14:paraId="55E7FF55" w14:textId="602CA267" w:rsidR="00886CA1" w:rsidRPr="00886CA1" w:rsidRDefault="00886CA1" w:rsidP="005D7D96">
            <w:r w:rsidRPr="00886CA1">
              <w:t>an indicator variable to one if accruals are above the median, and zero otherwise.</w:t>
            </w:r>
          </w:p>
        </w:tc>
      </w:tr>
      <w:tr w:rsidR="005D7D96" w:rsidRPr="00886CA1" w14:paraId="7474526E" w14:textId="77777777" w:rsidTr="009068C4">
        <w:tc>
          <w:tcPr>
            <w:tcW w:w="2790" w:type="dxa"/>
          </w:tcPr>
          <w:p w14:paraId="77023E4B" w14:textId="77777777" w:rsidR="005D7D96" w:rsidRPr="00886CA1" w:rsidRDefault="005D7D96" w:rsidP="005D7D96">
            <w:pPr>
              <w:rPr>
                <w:i/>
              </w:rPr>
            </w:pPr>
            <w:r w:rsidRPr="00886CA1">
              <w:rPr>
                <w:i/>
              </w:rPr>
              <w:t>LEVERAGE</w:t>
            </w:r>
          </w:p>
        </w:tc>
        <w:tc>
          <w:tcPr>
            <w:tcW w:w="391" w:type="dxa"/>
          </w:tcPr>
          <w:p w14:paraId="2C1CA9D3" w14:textId="77777777" w:rsidR="005D7D96" w:rsidRPr="00886CA1" w:rsidRDefault="005D7D96" w:rsidP="005D7D96">
            <w:r w:rsidRPr="00886CA1">
              <w:t>=</w:t>
            </w:r>
          </w:p>
        </w:tc>
        <w:tc>
          <w:tcPr>
            <w:tcW w:w="6359" w:type="dxa"/>
          </w:tcPr>
          <w:p w14:paraId="62ABD0C0" w14:textId="77777777" w:rsidR="005D7D96" w:rsidRPr="00886CA1" w:rsidRDefault="005D7D96" w:rsidP="005D7D96">
            <w:r w:rsidRPr="00886CA1">
              <w:t>the ratio of total debt to total assets.</w:t>
            </w:r>
          </w:p>
        </w:tc>
      </w:tr>
      <w:tr w:rsidR="00B97BAD" w:rsidRPr="00886CA1" w14:paraId="3BCB1AB2" w14:textId="77777777" w:rsidTr="009068C4">
        <w:tc>
          <w:tcPr>
            <w:tcW w:w="2790" w:type="dxa"/>
          </w:tcPr>
          <w:p w14:paraId="2893B64D" w14:textId="3BC08D4E" w:rsidR="00B97BAD" w:rsidRPr="00886CA1" w:rsidRDefault="00B97BAD" w:rsidP="005D7D96">
            <w:pPr>
              <w:rPr>
                <w:i/>
              </w:rPr>
            </w:pPr>
            <w:r w:rsidRPr="00886CA1">
              <w:rPr>
                <w:i/>
              </w:rPr>
              <w:t>LOSS</w:t>
            </w:r>
          </w:p>
        </w:tc>
        <w:tc>
          <w:tcPr>
            <w:tcW w:w="391" w:type="dxa"/>
          </w:tcPr>
          <w:p w14:paraId="45C571B4" w14:textId="76644226" w:rsidR="00B97BAD" w:rsidRPr="00886CA1" w:rsidRDefault="00B97BAD" w:rsidP="005D7D96">
            <w:r w:rsidRPr="00886CA1">
              <w:t>=</w:t>
            </w:r>
          </w:p>
        </w:tc>
        <w:tc>
          <w:tcPr>
            <w:tcW w:w="6359" w:type="dxa"/>
          </w:tcPr>
          <w:p w14:paraId="42A7D60A" w14:textId="2FC1F1A2" w:rsidR="00B97BAD" w:rsidRPr="00886CA1" w:rsidRDefault="00B97BAD" w:rsidP="00B97BAD">
            <w:r w:rsidRPr="00886CA1">
              <w:t>an indicator variable equal to one if income before extraordinary items is less than zero, and zero otherwise.</w:t>
            </w:r>
          </w:p>
        </w:tc>
      </w:tr>
      <w:tr w:rsidR="005D7D96" w:rsidRPr="00886CA1" w14:paraId="51228673" w14:textId="77777777" w:rsidTr="009068C4">
        <w:tc>
          <w:tcPr>
            <w:tcW w:w="2790" w:type="dxa"/>
          </w:tcPr>
          <w:p w14:paraId="2D8B2964" w14:textId="77777777" w:rsidR="005D7D96" w:rsidRPr="00886CA1" w:rsidRDefault="005D7D96" w:rsidP="005D7D96">
            <w:pPr>
              <w:rPr>
                <w:i/>
              </w:rPr>
            </w:pPr>
            <w:r w:rsidRPr="00886CA1">
              <w:rPr>
                <w:i/>
              </w:rPr>
              <w:t>MATERIALWEAKNESS</w:t>
            </w:r>
          </w:p>
        </w:tc>
        <w:tc>
          <w:tcPr>
            <w:tcW w:w="391" w:type="dxa"/>
          </w:tcPr>
          <w:p w14:paraId="4EBFBCAA" w14:textId="77777777" w:rsidR="005D7D96" w:rsidRPr="00886CA1" w:rsidRDefault="005D7D96" w:rsidP="005D7D96">
            <w:r w:rsidRPr="00886CA1">
              <w:t>=</w:t>
            </w:r>
          </w:p>
        </w:tc>
        <w:tc>
          <w:tcPr>
            <w:tcW w:w="6359" w:type="dxa"/>
          </w:tcPr>
          <w:p w14:paraId="2CB5AFB5" w14:textId="77777777" w:rsidR="005D7D96" w:rsidRPr="00886CA1" w:rsidRDefault="005D7D96" w:rsidP="005D7D96">
            <w:r w:rsidRPr="00886CA1">
              <w:t>an indicator variable equal to one if the management of a firm discloses material weaknesses in its disclosure controls and procedures, and zero otherwise.</w:t>
            </w:r>
          </w:p>
        </w:tc>
      </w:tr>
      <w:tr w:rsidR="00886CA1" w:rsidRPr="00886CA1" w14:paraId="023F76A7" w14:textId="77777777" w:rsidTr="009068C4">
        <w:tc>
          <w:tcPr>
            <w:tcW w:w="2790" w:type="dxa"/>
          </w:tcPr>
          <w:p w14:paraId="54FBD4FB" w14:textId="4E97B54C" w:rsidR="00886CA1" w:rsidRPr="00886CA1" w:rsidRDefault="00886CA1" w:rsidP="005D7D96">
            <w:pPr>
              <w:rPr>
                <w:i/>
              </w:rPr>
            </w:pPr>
            <w:r>
              <w:rPr>
                <w:i/>
              </w:rPr>
              <w:t>NONBIG4</w:t>
            </w:r>
          </w:p>
        </w:tc>
        <w:tc>
          <w:tcPr>
            <w:tcW w:w="391" w:type="dxa"/>
          </w:tcPr>
          <w:p w14:paraId="5C267DB8" w14:textId="4904BFEB" w:rsidR="00886CA1" w:rsidRPr="00886CA1" w:rsidRDefault="00886CA1" w:rsidP="005D7D96">
            <w:r>
              <w:t>=</w:t>
            </w:r>
          </w:p>
        </w:tc>
        <w:tc>
          <w:tcPr>
            <w:tcW w:w="6359" w:type="dxa"/>
          </w:tcPr>
          <w:p w14:paraId="4BB1E232" w14:textId="5BA6C91C" w:rsidR="00886CA1" w:rsidRPr="00886CA1" w:rsidRDefault="00886CA1" w:rsidP="005D7D96">
            <w:r w:rsidRPr="00886CA1">
              <w:t>an indicator variable equal to one if the auditor is</w:t>
            </w:r>
            <w:r>
              <w:t xml:space="preserve"> not</w:t>
            </w:r>
            <w:r w:rsidRPr="00886CA1">
              <w:t xml:space="preserve"> Deloitte, Ernst &amp; Young, KPMG, or PricewaterhouseCoopers, and zero otherwise.</w:t>
            </w:r>
          </w:p>
        </w:tc>
      </w:tr>
      <w:tr w:rsidR="005D7D96" w:rsidRPr="00886CA1" w14:paraId="43954289" w14:textId="77777777" w:rsidTr="009068C4">
        <w:tc>
          <w:tcPr>
            <w:tcW w:w="2790" w:type="dxa"/>
          </w:tcPr>
          <w:p w14:paraId="348CBF7F" w14:textId="77777777" w:rsidR="005D7D96" w:rsidRPr="00886CA1" w:rsidRDefault="005D7D96" w:rsidP="005D7D96">
            <w:pPr>
              <w:rPr>
                <w:i/>
              </w:rPr>
            </w:pPr>
            <w:r w:rsidRPr="00886CA1">
              <w:rPr>
                <w:i/>
              </w:rPr>
              <w:t>NONTIMELY</w:t>
            </w:r>
          </w:p>
        </w:tc>
        <w:tc>
          <w:tcPr>
            <w:tcW w:w="391" w:type="dxa"/>
          </w:tcPr>
          <w:p w14:paraId="169B3D30" w14:textId="77777777" w:rsidR="005D7D96" w:rsidRPr="00886CA1" w:rsidRDefault="005D7D96" w:rsidP="005D7D96">
            <w:r w:rsidRPr="00886CA1">
              <w:t>=</w:t>
            </w:r>
          </w:p>
        </w:tc>
        <w:tc>
          <w:tcPr>
            <w:tcW w:w="6359" w:type="dxa"/>
          </w:tcPr>
          <w:p w14:paraId="5C8709F1" w14:textId="77777777" w:rsidR="005D7D96" w:rsidRPr="00886CA1" w:rsidRDefault="005D7D96" w:rsidP="005D7D96">
            <w:r w:rsidRPr="00886CA1">
              <w:t>an indicator variable equal to one if a firm’s current period (the IPO year) financial statement is not filed on time, and zero otherwise.</w:t>
            </w:r>
          </w:p>
        </w:tc>
      </w:tr>
      <w:tr w:rsidR="00886CA1" w:rsidRPr="00886CA1" w14:paraId="6C5AABF9" w14:textId="77777777" w:rsidTr="009068C4">
        <w:tc>
          <w:tcPr>
            <w:tcW w:w="2790" w:type="dxa"/>
          </w:tcPr>
          <w:p w14:paraId="17DA7780" w14:textId="70A9AABB" w:rsidR="00886CA1" w:rsidRPr="00886CA1" w:rsidRDefault="00886CA1" w:rsidP="005D7D96">
            <w:pPr>
              <w:rPr>
                <w:i/>
              </w:rPr>
            </w:pPr>
            <w:r w:rsidRPr="00886CA1">
              <w:rPr>
                <w:i/>
              </w:rPr>
              <w:t>NONNYSE</w:t>
            </w:r>
          </w:p>
        </w:tc>
        <w:tc>
          <w:tcPr>
            <w:tcW w:w="391" w:type="dxa"/>
          </w:tcPr>
          <w:p w14:paraId="332719AE" w14:textId="089D02D0" w:rsidR="00886CA1" w:rsidRPr="00886CA1" w:rsidRDefault="00886CA1" w:rsidP="005D7D96">
            <w:r w:rsidRPr="00886CA1">
              <w:t>=</w:t>
            </w:r>
          </w:p>
        </w:tc>
        <w:tc>
          <w:tcPr>
            <w:tcW w:w="6359" w:type="dxa"/>
          </w:tcPr>
          <w:p w14:paraId="7E10FA2E" w14:textId="428A0D7F" w:rsidR="00886CA1" w:rsidRPr="00886CA1" w:rsidRDefault="00886CA1">
            <w:r w:rsidRPr="00886CA1">
              <w:t>an indicator variable equal to one if a firm list</w:t>
            </w:r>
            <w:r w:rsidR="00EC5AF3">
              <w:t>s</w:t>
            </w:r>
            <w:r w:rsidRPr="00886CA1">
              <w:t xml:space="preserve"> on </w:t>
            </w:r>
            <w:r w:rsidR="00EC5AF3">
              <w:t>NASDAQ or OTC</w:t>
            </w:r>
            <w:r w:rsidRPr="00886CA1">
              <w:t>, and zero otherwise.</w:t>
            </w:r>
          </w:p>
        </w:tc>
      </w:tr>
      <w:tr w:rsidR="001102C7" w:rsidRPr="00886CA1" w14:paraId="167BD499" w14:textId="77777777" w:rsidTr="009068C4">
        <w:tc>
          <w:tcPr>
            <w:tcW w:w="2790" w:type="dxa"/>
          </w:tcPr>
          <w:p w14:paraId="50264F65" w14:textId="77777777" w:rsidR="001102C7" w:rsidRPr="00886CA1" w:rsidRDefault="001102C7" w:rsidP="001102C7">
            <w:pPr>
              <w:rPr>
                <w:i/>
              </w:rPr>
            </w:pPr>
            <w:r w:rsidRPr="00886CA1">
              <w:rPr>
                <w:i/>
              </w:rPr>
              <w:lastRenderedPageBreak/>
              <w:t>PROCEEDS</w:t>
            </w:r>
          </w:p>
        </w:tc>
        <w:tc>
          <w:tcPr>
            <w:tcW w:w="391" w:type="dxa"/>
          </w:tcPr>
          <w:p w14:paraId="68C0B66C" w14:textId="77777777" w:rsidR="001102C7" w:rsidRPr="00886CA1" w:rsidRDefault="001102C7" w:rsidP="001102C7">
            <w:r w:rsidRPr="00886CA1">
              <w:t>=</w:t>
            </w:r>
          </w:p>
        </w:tc>
        <w:tc>
          <w:tcPr>
            <w:tcW w:w="6359" w:type="dxa"/>
          </w:tcPr>
          <w:p w14:paraId="44233A2E" w14:textId="77777777" w:rsidR="001102C7" w:rsidRPr="00886CA1" w:rsidRDefault="001102C7" w:rsidP="001102C7">
            <w:r w:rsidRPr="00886CA1">
              <w:t>the natural logarithm of proceeds from the SPAC or IPO transaction.</w:t>
            </w:r>
          </w:p>
        </w:tc>
      </w:tr>
      <w:tr w:rsidR="001102C7" w:rsidRPr="00886CA1" w14:paraId="425FBABD" w14:textId="77777777" w:rsidTr="009068C4">
        <w:tc>
          <w:tcPr>
            <w:tcW w:w="2790" w:type="dxa"/>
          </w:tcPr>
          <w:p w14:paraId="2797BBEA" w14:textId="77777777" w:rsidR="001102C7" w:rsidRPr="00886CA1" w:rsidRDefault="001102C7" w:rsidP="001102C7">
            <w:pPr>
              <w:rPr>
                <w:i/>
              </w:rPr>
            </w:pPr>
            <w:r w:rsidRPr="00886CA1">
              <w:rPr>
                <w:i/>
              </w:rPr>
              <w:t>RESTATE</w:t>
            </w:r>
          </w:p>
        </w:tc>
        <w:tc>
          <w:tcPr>
            <w:tcW w:w="391" w:type="dxa"/>
          </w:tcPr>
          <w:p w14:paraId="0310BAAE" w14:textId="77777777" w:rsidR="001102C7" w:rsidRPr="00886CA1" w:rsidRDefault="001102C7" w:rsidP="001102C7">
            <w:r w:rsidRPr="00886CA1">
              <w:t>=</w:t>
            </w:r>
          </w:p>
        </w:tc>
        <w:tc>
          <w:tcPr>
            <w:tcW w:w="6359" w:type="dxa"/>
          </w:tcPr>
          <w:p w14:paraId="33D6614E" w14:textId="77777777" w:rsidR="001102C7" w:rsidRPr="00886CA1" w:rsidRDefault="001102C7" w:rsidP="001102C7">
            <w:r w:rsidRPr="00886CA1">
              <w:t>an indicator variable equal to one for firms that subsequently restate their current period (the IPO year) financial statements, and zero otherwise.</w:t>
            </w:r>
          </w:p>
        </w:tc>
      </w:tr>
      <w:tr w:rsidR="00B97BAD" w:rsidRPr="00886CA1" w14:paraId="0CAB54F6" w14:textId="77777777" w:rsidTr="009068C4">
        <w:tc>
          <w:tcPr>
            <w:tcW w:w="2790" w:type="dxa"/>
          </w:tcPr>
          <w:p w14:paraId="4BCCA907" w14:textId="1C9ABBC4" w:rsidR="00B97BAD" w:rsidRPr="00886CA1" w:rsidRDefault="00B97BAD" w:rsidP="001102C7">
            <w:pPr>
              <w:rPr>
                <w:i/>
                <w:iCs/>
              </w:rPr>
            </w:pPr>
            <w:r w:rsidRPr="00886CA1">
              <w:rPr>
                <w:i/>
                <w:iCs/>
              </w:rPr>
              <w:t>RESTATE_ANNOUNCE</w:t>
            </w:r>
          </w:p>
        </w:tc>
        <w:tc>
          <w:tcPr>
            <w:tcW w:w="391" w:type="dxa"/>
          </w:tcPr>
          <w:p w14:paraId="057D44A5" w14:textId="5F69CEC1" w:rsidR="00B97BAD" w:rsidRPr="00886CA1" w:rsidRDefault="00B97BAD" w:rsidP="001102C7">
            <w:pPr>
              <w:rPr>
                <w:i/>
                <w:iCs/>
              </w:rPr>
            </w:pPr>
            <w:r w:rsidRPr="00886CA1">
              <w:rPr>
                <w:i/>
                <w:iCs/>
              </w:rPr>
              <w:t>=</w:t>
            </w:r>
          </w:p>
        </w:tc>
        <w:tc>
          <w:tcPr>
            <w:tcW w:w="6359" w:type="dxa"/>
          </w:tcPr>
          <w:p w14:paraId="31BF22EB" w14:textId="66386A3C" w:rsidR="00B97BAD" w:rsidRPr="00886CA1" w:rsidRDefault="00B97BAD" w:rsidP="001102C7">
            <w:pPr>
              <w:rPr>
                <w:iCs/>
              </w:rPr>
            </w:pPr>
            <w:r w:rsidRPr="00886CA1">
              <w:rPr>
                <w:iCs/>
              </w:rPr>
              <w:t>an indicator variable equal to one for firms that announce a restatement during the fiscal year, and zero otherwise.</w:t>
            </w:r>
          </w:p>
        </w:tc>
      </w:tr>
      <w:tr w:rsidR="00886CA1" w:rsidRPr="00886CA1" w14:paraId="65962814" w14:textId="77777777" w:rsidTr="009068C4">
        <w:tc>
          <w:tcPr>
            <w:tcW w:w="2790" w:type="dxa"/>
          </w:tcPr>
          <w:p w14:paraId="26CB9D45" w14:textId="26F29F0A" w:rsidR="00886CA1" w:rsidRPr="00886CA1" w:rsidRDefault="00886CA1" w:rsidP="001102C7">
            <w:pPr>
              <w:rPr>
                <w:i/>
                <w:iCs/>
              </w:rPr>
            </w:pPr>
            <w:r w:rsidRPr="00886CA1">
              <w:rPr>
                <w:i/>
                <w:iCs/>
              </w:rPr>
              <w:t>RISK</w:t>
            </w:r>
          </w:p>
        </w:tc>
        <w:tc>
          <w:tcPr>
            <w:tcW w:w="391" w:type="dxa"/>
          </w:tcPr>
          <w:p w14:paraId="6C5D2AD8" w14:textId="16EF86BD" w:rsidR="00886CA1" w:rsidRPr="00886CA1" w:rsidRDefault="00886CA1" w:rsidP="001102C7">
            <w:r w:rsidRPr="00886CA1">
              <w:t>=</w:t>
            </w:r>
          </w:p>
        </w:tc>
        <w:tc>
          <w:tcPr>
            <w:tcW w:w="6359" w:type="dxa"/>
          </w:tcPr>
          <w:p w14:paraId="4D4184F2" w14:textId="44EB8F43" w:rsidR="00886CA1" w:rsidRPr="00886CA1" w:rsidRDefault="00886CA1" w:rsidP="001102C7">
            <w:r w:rsidRPr="00886CA1">
              <w:t xml:space="preserve">the sum of the following six indicator variables: </w:t>
            </w:r>
            <w:r w:rsidRPr="00886CA1">
              <w:rPr>
                <w:i/>
              </w:rPr>
              <w:t>MATERIALWEAKNESS</w:t>
            </w:r>
            <w:r w:rsidRPr="00886CA1">
              <w:t xml:space="preserve">, </w:t>
            </w:r>
            <w:r w:rsidRPr="00886CA1">
              <w:rPr>
                <w:i/>
              </w:rPr>
              <w:t>RESTATE_ANNOUNCE</w:t>
            </w:r>
            <w:r w:rsidRPr="00886CA1">
              <w:t xml:space="preserve">, </w:t>
            </w:r>
            <w:r w:rsidRPr="00886CA1">
              <w:rPr>
                <w:i/>
              </w:rPr>
              <w:t>NONTIMELY</w:t>
            </w:r>
            <w:r w:rsidRPr="00886CA1">
              <w:t xml:space="preserve">, </w:t>
            </w:r>
            <w:r w:rsidRPr="00886CA1">
              <w:rPr>
                <w:i/>
              </w:rPr>
              <w:t>HIGHACCRUALS, NONBIG4,</w:t>
            </w:r>
            <w:r w:rsidRPr="00886CA1">
              <w:t xml:space="preserve"> and </w:t>
            </w:r>
            <w:r w:rsidRPr="00886CA1">
              <w:rPr>
                <w:i/>
              </w:rPr>
              <w:t>NONNYSE</w:t>
            </w:r>
            <w:r>
              <w:t>.</w:t>
            </w:r>
          </w:p>
        </w:tc>
      </w:tr>
      <w:tr w:rsidR="001102C7" w:rsidRPr="00886CA1" w14:paraId="36074C2D" w14:textId="77777777" w:rsidTr="009068C4">
        <w:tc>
          <w:tcPr>
            <w:tcW w:w="2790" w:type="dxa"/>
          </w:tcPr>
          <w:p w14:paraId="6D8BC77D" w14:textId="77777777" w:rsidR="001102C7" w:rsidRPr="00886CA1" w:rsidRDefault="001102C7" w:rsidP="001102C7">
            <w:pPr>
              <w:rPr>
                <w:i/>
              </w:rPr>
            </w:pPr>
            <w:r w:rsidRPr="00886CA1">
              <w:rPr>
                <w:i/>
                <w:iCs/>
              </w:rPr>
              <w:t>ROA</w:t>
            </w:r>
          </w:p>
        </w:tc>
        <w:tc>
          <w:tcPr>
            <w:tcW w:w="391" w:type="dxa"/>
          </w:tcPr>
          <w:p w14:paraId="2670F6A8" w14:textId="77777777" w:rsidR="001102C7" w:rsidRPr="00886CA1" w:rsidRDefault="001102C7" w:rsidP="001102C7">
            <w:r w:rsidRPr="00886CA1">
              <w:t>=</w:t>
            </w:r>
          </w:p>
        </w:tc>
        <w:tc>
          <w:tcPr>
            <w:tcW w:w="6359" w:type="dxa"/>
          </w:tcPr>
          <w:p w14:paraId="56B34267" w14:textId="77777777" w:rsidR="001102C7" w:rsidRPr="00886CA1" w:rsidRDefault="001102C7" w:rsidP="001102C7">
            <w:r w:rsidRPr="00886CA1">
              <w:t>the ratio of income before extraordinary items to total assets.</w:t>
            </w:r>
          </w:p>
        </w:tc>
      </w:tr>
      <w:tr w:rsidR="001102C7" w:rsidRPr="00886CA1" w14:paraId="7655E27D" w14:textId="77777777" w:rsidTr="009068C4">
        <w:tc>
          <w:tcPr>
            <w:tcW w:w="2790" w:type="dxa"/>
          </w:tcPr>
          <w:p w14:paraId="51021D42" w14:textId="77777777" w:rsidR="001102C7" w:rsidRPr="00886CA1" w:rsidRDefault="001102C7" w:rsidP="001102C7">
            <w:pPr>
              <w:rPr>
                <w:i/>
              </w:rPr>
            </w:pPr>
            <w:r w:rsidRPr="00886CA1">
              <w:rPr>
                <w:i/>
              </w:rPr>
              <w:t>SEGMENTS</w:t>
            </w:r>
          </w:p>
        </w:tc>
        <w:tc>
          <w:tcPr>
            <w:tcW w:w="391" w:type="dxa"/>
          </w:tcPr>
          <w:p w14:paraId="59294EAF" w14:textId="77777777" w:rsidR="001102C7" w:rsidRPr="00886CA1" w:rsidRDefault="001102C7" w:rsidP="001102C7">
            <w:r w:rsidRPr="00886CA1">
              <w:t>=</w:t>
            </w:r>
          </w:p>
        </w:tc>
        <w:tc>
          <w:tcPr>
            <w:tcW w:w="6359" w:type="dxa"/>
          </w:tcPr>
          <w:p w14:paraId="20BC6405" w14:textId="77777777" w:rsidR="001102C7" w:rsidRPr="00886CA1" w:rsidRDefault="001102C7" w:rsidP="001102C7">
            <w:r w:rsidRPr="00886CA1">
              <w:t>the natural logarithm of the number of operating segments.</w:t>
            </w:r>
          </w:p>
        </w:tc>
      </w:tr>
      <w:tr w:rsidR="001102C7" w:rsidRPr="00886CA1" w14:paraId="2AC2FCC4" w14:textId="77777777" w:rsidTr="009068C4">
        <w:tc>
          <w:tcPr>
            <w:tcW w:w="2790" w:type="dxa"/>
            <w:tcBorders>
              <w:bottom w:val="single" w:sz="12" w:space="0" w:color="auto"/>
            </w:tcBorders>
          </w:tcPr>
          <w:p w14:paraId="57DECAF9" w14:textId="77777777" w:rsidR="001102C7" w:rsidRPr="00886CA1" w:rsidRDefault="001102C7" w:rsidP="001102C7">
            <w:pPr>
              <w:rPr>
                <w:i/>
              </w:rPr>
            </w:pPr>
            <w:r w:rsidRPr="00886CA1">
              <w:rPr>
                <w:i/>
              </w:rPr>
              <w:t>Z-SCORE</w:t>
            </w:r>
          </w:p>
        </w:tc>
        <w:tc>
          <w:tcPr>
            <w:tcW w:w="391" w:type="dxa"/>
            <w:tcBorders>
              <w:bottom w:val="single" w:sz="12" w:space="0" w:color="auto"/>
            </w:tcBorders>
          </w:tcPr>
          <w:p w14:paraId="191D8C26" w14:textId="77777777" w:rsidR="001102C7" w:rsidRPr="00886CA1" w:rsidRDefault="001102C7" w:rsidP="001102C7">
            <w:r w:rsidRPr="00886CA1">
              <w:t>=</w:t>
            </w:r>
          </w:p>
        </w:tc>
        <w:tc>
          <w:tcPr>
            <w:tcW w:w="6359" w:type="dxa"/>
            <w:tcBorders>
              <w:bottom w:val="single" w:sz="12" w:space="0" w:color="auto"/>
            </w:tcBorders>
          </w:tcPr>
          <w:p w14:paraId="1D96518B" w14:textId="77777777" w:rsidR="001102C7" w:rsidRPr="00886CA1" w:rsidRDefault="001102C7" w:rsidP="001102C7">
            <w:r w:rsidRPr="00886CA1">
              <w:t>an indicator variable equal to one if a company’s Altman Z-Score is above 3.0 (firms not in financial distress), and zero otherwise.</w:t>
            </w:r>
          </w:p>
        </w:tc>
      </w:tr>
    </w:tbl>
    <w:p w14:paraId="1567B8AF" w14:textId="77777777" w:rsidR="000D76B9" w:rsidRPr="00886CA1" w:rsidRDefault="000D76B9" w:rsidP="000D76B9">
      <w:pPr>
        <w:spacing w:after="0" w:line="240" w:lineRule="auto"/>
        <w:rPr>
          <w:rFonts w:ascii="Times New Roman" w:hAnsi="Times New Roman" w:cs="Times New Roman"/>
          <w:bCs/>
          <w:sz w:val="24"/>
          <w:szCs w:val="24"/>
        </w:rPr>
        <w:sectPr w:rsidR="000D76B9" w:rsidRPr="00886CA1" w:rsidSect="000125E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2BFF4995" w14:textId="33CBF975" w:rsidR="000125E1" w:rsidRPr="00DE7C15" w:rsidRDefault="000125E1" w:rsidP="00DE7C15">
      <w:pPr>
        <w:spacing w:after="0" w:line="240" w:lineRule="auto"/>
        <w:jc w:val="center"/>
        <w:rPr>
          <w:rFonts w:ascii="Times New Roman" w:hAnsi="Times New Roman" w:cs="Times New Roman"/>
          <w:b/>
        </w:rPr>
      </w:pPr>
      <w:r w:rsidRPr="00DE7C15">
        <w:rPr>
          <w:rFonts w:ascii="Times New Roman" w:hAnsi="Times New Roman" w:cs="Times New Roman"/>
          <w:b/>
        </w:rPr>
        <w:lastRenderedPageBreak/>
        <w:t>Figure 1</w:t>
      </w:r>
    </w:p>
    <w:p w14:paraId="332DCA75" w14:textId="31BA37D2" w:rsidR="000125E1" w:rsidRPr="00DE7C15" w:rsidRDefault="00063F59" w:rsidP="00DE7C15">
      <w:pPr>
        <w:spacing w:after="0" w:line="240" w:lineRule="auto"/>
        <w:jc w:val="center"/>
        <w:rPr>
          <w:rFonts w:ascii="Times New Roman" w:hAnsi="Times New Roman" w:cs="Times New Roman"/>
          <w:b/>
        </w:rPr>
      </w:pPr>
      <w:r>
        <w:rPr>
          <w:rFonts w:ascii="Times New Roman" w:hAnsi="Times New Roman" w:cs="Times New Roman"/>
          <w:b/>
        </w:rPr>
        <w:t>Special Purpose Acquisition Company (</w:t>
      </w:r>
      <w:r w:rsidR="000125E1" w:rsidRPr="00DE7C15">
        <w:rPr>
          <w:rFonts w:ascii="Times New Roman" w:hAnsi="Times New Roman" w:cs="Times New Roman"/>
          <w:b/>
        </w:rPr>
        <w:t>SPAC</w:t>
      </w:r>
      <w:r>
        <w:rPr>
          <w:rFonts w:ascii="Times New Roman" w:hAnsi="Times New Roman" w:cs="Times New Roman"/>
          <w:b/>
        </w:rPr>
        <w:t>)</w:t>
      </w:r>
      <w:r w:rsidR="000125E1" w:rsidRPr="00DE7C15">
        <w:rPr>
          <w:rFonts w:ascii="Times New Roman" w:hAnsi="Times New Roman" w:cs="Times New Roman"/>
          <w:b/>
        </w:rPr>
        <w:t xml:space="preserve"> Life</w:t>
      </w:r>
      <w:r w:rsidR="00DE7C15">
        <w:rPr>
          <w:rFonts w:ascii="Times New Roman" w:hAnsi="Times New Roman" w:cs="Times New Roman"/>
          <w:b/>
        </w:rPr>
        <w:t xml:space="preserve"> C</w:t>
      </w:r>
      <w:r w:rsidR="000125E1" w:rsidRPr="00DE7C15">
        <w:rPr>
          <w:rFonts w:ascii="Times New Roman" w:hAnsi="Times New Roman" w:cs="Times New Roman"/>
          <w:b/>
        </w:rPr>
        <w:t>ycle</w:t>
      </w:r>
    </w:p>
    <w:p w14:paraId="4FF239F5" w14:textId="5325CE4B" w:rsidR="000125E1" w:rsidRDefault="00EC0294" w:rsidP="000125E1">
      <w:pPr>
        <w:rPr>
          <w:b/>
        </w:rPr>
      </w:pPr>
      <w:r>
        <w:rPr>
          <w:b/>
        </w:rPr>
        <w:tab/>
      </w:r>
      <w:r>
        <w:rPr>
          <w:b/>
        </w:rPr>
        <w:tab/>
      </w:r>
      <w:r>
        <w:rPr>
          <w:b/>
        </w:rPr>
        <w:tab/>
      </w:r>
      <w:r>
        <w:rPr>
          <w:b/>
        </w:rPr>
        <w:tab/>
      </w:r>
      <w:r>
        <w:rPr>
          <w:b/>
        </w:rPr>
        <w:tab/>
      </w:r>
    </w:p>
    <w:p w14:paraId="52B799D9" w14:textId="2A2DE7C0" w:rsidR="00EC0294" w:rsidRPr="00E0159D" w:rsidRDefault="00E0159D" w:rsidP="000125E1">
      <w:pPr>
        <w:rPr>
          <w:rFonts w:ascii="Times New Roman" w:hAnsi="Times New Roman" w:cs="Times New Roman"/>
        </w:rPr>
      </w:pPr>
      <w:r>
        <w:rPr>
          <w:b/>
          <w:noProof/>
        </w:rPr>
        <mc:AlternateContent>
          <mc:Choice Requires="wps">
            <w:drawing>
              <wp:anchor distT="0" distB="0" distL="114300" distR="114300" simplePos="0" relativeHeight="251685888" behindDoc="0" locked="0" layoutInCell="1" allowOverlap="1" wp14:anchorId="3E206F51" wp14:editId="1230822A">
                <wp:simplePos x="0" y="0"/>
                <wp:positionH relativeFrom="column">
                  <wp:posOffset>4651082</wp:posOffset>
                </wp:positionH>
                <wp:positionV relativeFrom="paragraph">
                  <wp:posOffset>109632</wp:posOffset>
                </wp:positionV>
                <wp:extent cx="3440121" cy="4943"/>
                <wp:effectExtent l="0" t="76200" r="27305" b="90805"/>
                <wp:wrapNone/>
                <wp:docPr id="7" name="Straight Arrow Connector 7"/>
                <wp:cNvGraphicFramePr/>
                <a:graphic xmlns:a="http://schemas.openxmlformats.org/drawingml/2006/main">
                  <a:graphicData uri="http://schemas.microsoft.com/office/word/2010/wordprocessingShape">
                    <wps:wsp>
                      <wps:cNvCnPr/>
                      <wps:spPr>
                        <a:xfrm flipV="1">
                          <a:off x="0" y="0"/>
                          <a:ext cx="3440121" cy="4943"/>
                        </a:xfrm>
                        <a:prstGeom prst="straightConnector1">
                          <a:avLst/>
                        </a:prstGeom>
                        <a:ln w="12700">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635BD6" id="_x0000_t32" coordsize="21600,21600" o:spt="32" o:oned="t" path="m,l21600,21600e" filled="f">
                <v:path arrowok="t" fillok="f" o:connecttype="none"/>
                <o:lock v:ext="edit" shapetype="t"/>
              </v:shapetype>
              <v:shape id="Straight Arrow Connector 7" o:spid="_x0000_s1026" type="#_x0000_t32" style="position:absolute;margin-left:366.25pt;margin-top:8.65pt;width:270.9pt;height:.4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FECQIAAHIEAAAOAAAAZHJzL2Uyb0RvYy54bWysVE1vEzEUvCPxHyzfyW7S0EKUTYVSygVo&#10;RIG767WzlvylZzeb/Hue7Y1pywnEHqz1x8ybmX3e9fXRaHIQEJSzHZ3PWkqE5a5Xdt/RH99v37yj&#10;JERme6adFR09iUCvN69frUe/Egs3ON0LIEhiw2r0HR1i9KumCXwQhoWZ88LipnRgWMQp7Jse2Ijs&#10;RjeLtr1sRge9B8dFCLh6UzbpJvNLKXi8kzKISHRHUVvMI+TxIY3NZs1We2B+UHySwf5BhWHKYtFK&#10;dcMiI4+g/qAyioMLTsYZd6ZxUiousgd0M29fuLkfmBfZC4YTfI0p/D9a/vWwA6L6jl5RYpnBT3Qf&#10;gan9EMkHADeSrbMWY3RArlJaow8rBG3tDqZZ8DtI1o8SDJFa+Z/YCDkMtEeOOetTzVocI+G4eLFc&#10;tvPFnBKOe8v3y4tE3hSWxOYhxE/CGZJeOhomUVVNqcAOn0MswDMggbUlI4pYXLVtFhKcVv2t0jpt&#10;5t4SWw3kwLArGOfCxst8Tj+aL64v629bfCZRFZIlPmOLTOmPtifx5DG7CIrZvRYTTlsEpMRKRvkt&#10;nrQoGr8JicljFsVLLfJU17wy4ekEk+iiAid36bK8NHQGTucTVOT78DfgisiVnY0VbJR1ULJ9Xj0e&#10;a+Vy/pxA8Z0ieHD9KXdPjgYbO6c6XcJ0c57OM/z3r2LzCwAA//8DAFBLAwQUAAYACAAAACEAGmyS&#10;1d4AAAAKAQAADwAAAGRycy9kb3ducmV2LnhtbEyPzU7DMBCE70i8g7VI3KjThJIqxKkQULhVSuHA&#10;0Y2X/BCvo9ht0rdne4LbrObT7Ey+mW0vTjj61pGC5SICgVQ501Kt4PNje7cG4YMmo3tHqOCMHjbF&#10;9VWuM+MmKvG0D7XgEPKZVtCEMGRS+qpBq/3CDUjsfbvR6sDnWEsz6onDbS/jKHqQVrfEHxo94HOD&#10;1c/+aBWkr8nL1O2+ti6suqQ6d+Xbuy2Vur2Znx5BBJzDHwyX+lwdCu50cEcyXvSckcQrRtlIExAX&#10;IE7vWR1YrZcgi1z+n1D8AgAA//8DAFBLAQItABQABgAIAAAAIQC2gziS/gAAAOEBAAATAAAAAAAA&#10;AAAAAAAAAAAAAABbQ29udGVudF9UeXBlc10ueG1sUEsBAi0AFAAGAAgAAAAhADj9If/WAAAAlAEA&#10;AAsAAAAAAAAAAAAAAAAALwEAAF9yZWxzLy5yZWxzUEsBAi0AFAAGAAgAAAAhAGnyMUQJAgAAcgQA&#10;AA4AAAAAAAAAAAAAAAAALgIAAGRycy9lMm9Eb2MueG1sUEsBAi0AFAAGAAgAAAAhABpsktXeAAAA&#10;CgEAAA8AAAAAAAAAAAAAAAAAYwQAAGRycy9kb3ducmV2LnhtbFBLBQYAAAAABAAEAPMAAABuBQAA&#10;AAA=&#10;" strokecolor="#375623 [1609]" strokeweight="1pt">
                <v:stroke endarrow="block" joinstyle="miter"/>
              </v:shape>
            </w:pict>
          </mc:Fallback>
        </mc:AlternateContent>
      </w:r>
      <w:r>
        <w:rPr>
          <w:b/>
          <w:noProof/>
        </w:rPr>
        <mc:AlternateContent>
          <mc:Choice Requires="wps">
            <w:drawing>
              <wp:anchor distT="0" distB="0" distL="114300" distR="114300" simplePos="0" relativeHeight="251684864" behindDoc="0" locked="0" layoutInCell="1" allowOverlap="1" wp14:anchorId="1A5646A9" wp14:editId="6162461F">
                <wp:simplePos x="0" y="0"/>
                <wp:positionH relativeFrom="column">
                  <wp:posOffset>34599</wp:posOffset>
                </wp:positionH>
                <wp:positionV relativeFrom="paragraph">
                  <wp:posOffset>79976</wp:posOffset>
                </wp:positionV>
                <wp:extent cx="3415407"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3415407" cy="0"/>
                        </a:xfrm>
                        <a:prstGeom prst="straightConnector1">
                          <a:avLst/>
                        </a:prstGeom>
                        <a:ln w="12700">
                          <a:solidFill>
                            <a:schemeClr val="accent6">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F1EF5" id="Straight Arrow Connector 6" o:spid="_x0000_s1026" type="#_x0000_t32" style="position:absolute;margin-left:2.7pt;margin-top:6.3pt;width:268.9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CEBwIAAG8EAAAOAAAAZHJzL2Uyb0RvYy54bWysVF1v0zAUfUfiP1h+p0nL1qGq6YQ6Bg/A&#10;KgY/wHPsxpK/dO017b/n2k5NGU8g8mDFH+fcc06us749Gk0OAoJytqPzWUuJsNz1yu47+uP7/Zt3&#10;lITIbM+0s6KjJxHo7eb1q/XoV2LhBqd7AQRJbFiNvqNDjH7VNIEPwrAwc15Y3JQODIs4hX3TAxuR&#10;3ehm0bbLZnTQe3BchICrd2WTbjK/lILHBymDiER3FLXFPEIen9LYbNZstQfmB8UnGewfVBimLBat&#10;VHcsMvIM6g8qozi44GSccWcaJ6XiIntAN/P2hZvHgXmRvWA4wdeYwv+j5V8POyCq7+iSEssMfqLH&#10;CEzth0jeA7iRbJ21GKMDskxpjT6sELS1O5hmwe8gWT9KMERq5T9hI+Qw0B455qxPNWtxjITj4tur&#10;+fVVe0MJP+81hSJReQjxo3CGpJeOhklRlVLo2eFziCgCgWdAAmtLRlSwuGnbrCI4rfp7pXXazI0l&#10;thrIgWFLMM6Fjct8Tj+bL64v69ctPskucldImV2yRab0B9uTePIYXATF7F6LCactAlJcJaD8Fk9a&#10;FI3fhMTYMYjipRa51DWvTHg6wSS6qMDJXbopLw2dgdP5BBX5MvwNuCJyZWdjBRtlHZRsf68ej7Vy&#10;OX9OoPhOETy5/pRbJ0eDXZ1TnW5gujaX8wz/9Z/Y/AQAAP//AwBQSwMEFAAGAAgAAAAhAGmQLlPb&#10;AAAABwEAAA8AAABkcnMvZG93bnJldi54bWxMjstOwzAQRfdI/QdrkNhRh6YpKMSpEFDYIaVlwdKN&#10;hzwaj6PYbdK/ZxALurwP3Xuy9WQ7ccLBN44U3M0jEEilMw1VCj53m9sHED5oMrpzhArO6GGdz64y&#10;nRo3UoGnbagEj5BPtYI6hD6V0pc1Wu3nrkfi7NsNVgeWQyXNoEcet51cRNFKWt0QP9S6x+cay8P2&#10;aBXcv8YvY/vxtXEhaePy3BZv77ZQ6uZ6enoEEXAK/2X4xWd0yJlp745kvOgUJEsusr1YgeA4WcYx&#10;iP2fIfNMXvLnPwAAAP//AwBQSwECLQAUAAYACAAAACEAtoM4kv4AAADhAQAAEwAAAAAAAAAAAAAA&#10;AAAAAAAAW0NvbnRlbnRfVHlwZXNdLnhtbFBLAQItABQABgAIAAAAIQA4/SH/1gAAAJQBAAALAAAA&#10;AAAAAAAAAAAAAC8BAABfcmVscy8ucmVsc1BLAQItABQABgAIAAAAIQDjy7CEBwIAAG8EAAAOAAAA&#10;AAAAAAAAAAAAAC4CAABkcnMvZTJvRG9jLnhtbFBLAQItABQABgAIAAAAIQBpkC5T2wAAAAcBAAAP&#10;AAAAAAAAAAAAAAAAAGEEAABkcnMvZG93bnJldi54bWxQSwUGAAAAAAQABADzAAAAaQUAAAAA&#10;" strokecolor="#375623 [1609]" strokeweight="1pt">
                <v:stroke endarrow="block" joinstyle="miter"/>
              </v:shape>
            </w:pict>
          </mc:Fallback>
        </mc:AlternateContent>
      </w:r>
      <w:r w:rsidR="00EC0294">
        <w:rPr>
          <w:b/>
        </w:rPr>
        <w:tab/>
      </w:r>
      <w:r w:rsidR="00EC0294">
        <w:rPr>
          <w:b/>
        </w:rPr>
        <w:tab/>
      </w:r>
      <w:r w:rsidR="00EC0294">
        <w:rPr>
          <w:b/>
        </w:rPr>
        <w:tab/>
      </w:r>
      <w:r w:rsidR="00EC0294">
        <w:rPr>
          <w:b/>
        </w:rPr>
        <w:tab/>
      </w:r>
      <w:r w:rsidR="00EC0294">
        <w:rPr>
          <w:b/>
        </w:rPr>
        <w:tab/>
      </w:r>
      <w:r w:rsidR="00EC0294">
        <w:rPr>
          <w:b/>
        </w:rPr>
        <w:tab/>
      </w:r>
      <w:r w:rsidR="00EC0294">
        <w:rPr>
          <w:b/>
        </w:rPr>
        <w:tab/>
      </w:r>
      <w:r w:rsidR="00EC0294">
        <w:rPr>
          <w:b/>
        </w:rPr>
        <w:tab/>
      </w:r>
      <w:r w:rsidR="00EC0294" w:rsidRPr="00E0159D">
        <w:rPr>
          <w:rFonts w:ascii="Times New Roman" w:hAnsi="Times New Roman" w:cs="Times New Roman"/>
          <w:sz w:val="20"/>
        </w:rPr>
        <w:t xml:space="preserve">18 – 24 months </w:t>
      </w:r>
      <w:r w:rsidR="00EC0294" w:rsidRPr="00E0159D">
        <w:rPr>
          <w:rFonts w:ascii="Times New Roman" w:hAnsi="Times New Roman" w:cs="Times New Roman"/>
        </w:rPr>
        <w:tab/>
      </w:r>
    </w:p>
    <w:p w14:paraId="0D40C1C5" w14:textId="31B0BA8C" w:rsidR="000125E1" w:rsidRDefault="00C90844" w:rsidP="000125E1">
      <w:pPr>
        <w:rPr>
          <w:b/>
        </w:rPr>
      </w:pPr>
      <w:r>
        <w:rPr>
          <w:b/>
          <w:noProof/>
        </w:rPr>
        <mc:AlternateContent>
          <mc:Choice Requires="wps">
            <w:drawing>
              <wp:anchor distT="0" distB="0" distL="114300" distR="114300" simplePos="0" relativeHeight="251683840" behindDoc="0" locked="0" layoutInCell="1" allowOverlap="1" wp14:anchorId="70DF68CD" wp14:editId="3BAB3471">
                <wp:simplePos x="0" y="0"/>
                <wp:positionH relativeFrom="column">
                  <wp:posOffset>6565186</wp:posOffset>
                </wp:positionH>
                <wp:positionV relativeFrom="paragraph">
                  <wp:posOffset>153906</wp:posOffset>
                </wp:positionV>
                <wp:extent cx="1145568" cy="51370"/>
                <wp:effectExtent l="0" t="19050" r="35560" b="44450"/>
                <wp:wrapNone/>
                <wp:docPr id="19" name="Right Arrow 19"/>
                <wp:cNvGraphicFramePr/>
                <a:graphic xmlns:a="http://schemas.openxmlformats.org/drawingml/2006/main">
                  <a:graphicData uri="http://schemas.microsoft.com/office/word/2010/wordprocessingShape">
                    <wps:wsp>
                      <wps:cNvSpPr/>
                      <wps:spPr>
                        <a:xfrm>
                          <a:off x="0" y="0"/>
                          <a:ext cx="1145568" cy="51370"/>
                        </a:xfrm>
                        <a:prstGeom prst="rightArrow">
                          <a:avLst/>
                        </a:prstGeom>
                        <a:ln cmpd="sng">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63F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516.95pt;margin-top:12.1pt;width:90.2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RengIAALUFAAAOAAAAZHJzL2Uyb0RvYy54bWysVFFPGzEMfp+0/xDlfVyva2FUXFEFYprE&#10;BgImnkMu6UVK4ixJe+1+/ZzkeiCGNmlaH9I4tj/b39k+O98ZTbbCBwW2ofXRhBJhObTKrhv6/eHq&#10;wydKQmS2ZRqsaOheBHq+fP/urHcLMYUOdCs8QRAbFr1raBejW1RV4J0wLByBExaVErxhEUW/rlrP&#10;ekQ3uppOJsdVD751HrgIAV8vi5IuM76UgscbKYOIRDcUc4v59Pl8Sme1PGOLtWeuU3xIg/1DFoYp&#10;i0FHqEsWGdl49RuUUdxDABmPOJgKpFRc5Bqwmnryqpr7jjmRa0FyghtpCv8Pln/b3nqiWvx2p5RY&#10;ZvAb3al1F8nKe+gJviJFvQsLtLx3t36QAl5TvTvpTfrHSsgu07ofaRW7SDg+1vVsPj/GRuCom9cf&#10;TzLt1bOz8yF+FmBIujTUp/g5fKaUba9DxLDocDBMEbUl3DhMPNh1tgugVXultE7a3EDiQnuyZfjp&#10;GefCxuNspzfmK7TlfT7BX6oQwUeXIj2joU5bfEwslLrzLe61KIncCYkUYqXTkkhq3tex66LqWCv+&#10;FlpbBEzIEosZsQeAt7FLBYN9chW590fnyZ8SK86jR44MNo7ORlnwbwHoWA/cyWJ/IKlQk1h6gnaP&#10;DeahTF5w/ErhR75mId4yj6OGQ4nrI97gITX0DYXhRkkH/udb78keJwC1lPQ4utgCPzbMC0r0F4uz&#10;cVrPZmnWszCbn0xR8C81Ty81dmMuAFukxkXleL4m+6gPV+nBPOKWWaWoqGKWY+yG8ugPwkUsKwX3&#10;FBerVTbD+XYsXtt7xxN4YjW178PukXk3dHrEEfkGhzFni1etXmyTp4XVJoJUeQ6eeR34xt2Qe3bY&#10;Y2n5vJSz1fO2Xf4CAAD//wMAUEsDBBQABgAIAAAAIQC8jgNU4gAAAAsBAAAPAAAAZHJzL2Rvd25y&#10;ZXYueG1sTI/BTsMwEETvSPyDtUjcqFM7oBDiVFCpSEj0QKFCvW3jJYmI7RC7aeDrcU9wHO3TzNti&#10;MZmOjTT41lkF81kCjGzldGtrBW+vq6sMmA9oNXbOkoJv8rAoz88KzLU72hcaN6FmscT6HBU0IfQ5&#10;575qyKCfuZ5svH24wWCIcai5HvAYy03HRZLccIOtjQsN9rRsqPrcHIyCp5/Rbd9X2YNcPz9+LTPc&#10;7bbptVKXF9P9HbBAU/iD4aQf1aGMTnt3sNqzLuZEytvIKhCpAHYixDyVwPYKpJDAy4L//6H8BQAA&#10;//8DAFBLAQItABQABgAIAAAAIQC2gziS/gAAAOEBAAATAAAAAAAAAAAAAAAAAAAAAABbQ29udGVu&#10;dF9UeXBlc10ueG1sUEsBAi0AFAAGAAgAAAAhADj9If/WAAAAlAEAAAsAAAAAAAAAAAAAAAAALwEA&#10;AF9yZWxzLy5yZWxzUEsBAi0AFAAGAAgAAAAhACMfZF6eAgAAtQUAAA4AAAAAAAAAAAAAAAAALgIA&#10;AGRycy9lMm9Eb2MueG1sUEsBAi0AFAAGAAgAAAAhALyOA1TiAAAACwEAAA8AAAAAAAAAAAAAAAAA&#10;+AQAAGRycy9kb3ducmV2LnhtbFBLBQYAAAAABAAEAPMAAAAHBgAAAAA=&#10;" adj="21116" fillcolor="#5b9bd5 [3204]" strokecolor="#375623 [1609]" strokeweight="1pt"/>
            </w:pict>
          </mc:Fallback>
        </mc:AlternateContent>
      </w:r>
      <w:r>
        <w:rPr>
          <w:b/>
          <w:noProof/>
        </w:rPr>
        <mc:AlternateContent>
          <mc:Choice Requires="wps">
            <w:drawing>
              <wp:anchor distT="0" distB="0" distL="114300" distR="114300" simplePos="0" relativeHeight="251681792" behindDoc="0" locked="0" layoutInCell="1" allowOverlap="1" wp14:anchorId="755D5C18" wp14:editId="240CEC54">
                <wp:simplePos x="0" y="0"/>
                <wp:positionH relativeFrom="column">
                  <wp:posOffset>4525766</wp:posOffset>
                </wp:positionH>
                <wp:positionV relativeFrom="paragraph">
                  <wp:posOffset>143631</wp:posOffset>
                </wp:positionV>
                <wp:extent cx="1145568" cy="51370"/>
                <wp:effectExtent l="0" t="19050" r="35560" b="44450"/>
                <wp:wrapNone/>
                <wp:docPr id="18" name="Right Arrow 18"/>
                <wp:cNvGraphicFramePr/>
                <a:graphic xmlns:a="http://schemas.openxmlformats.org/drawingml/2006/main">
                  <a:graphicData uri="http://schemas.microsoft.com/office/word/2010/wordprocessingShape">
                    <wps:wsp>
                      <wps:cNvSpPr/>
                      <wps:spPr>
                        <a:xfrm>
                          <a:off x="0" y="0"/>
                          <a:ext cx="1145568" cy="51370"/>
                        </a:xfrm>
                        <a:prstGeom prst="rightArrow">
                          <a:avLst/>
                        </a:prstGeom>
                        <a:ln cmpd="sng">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9FE9E" id="Right Arrow 18" o:spid="_x0000_s1026" type="#_x0000_t13" style="position:absolute;margin-left:356.35pt;margin-top:11.3pt;width:90.2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6xnQIAALUFAAAOAAAAZHJzL2Uyb0RvYy54bWysVFFPGzEMfp+0/xDlfVyva2GruKIKxDSJ&#10;AQImnkMu6UVK4ixJe2W/fk5yvSKGNmlaH65xbH+2v9g+PdsZTbbCBwW2ofXRhBJhObTKrhv6/eHy&#10;wydKQmS2ZRqsaOizCPRs+f7dae8WYgod6FZ4giA2LHrX0C5Gt6iqwDthWDgCJywqJXjDIop+XbWe&#10;9YhudDWdTI6rHnzrPHARAt5eFCVdZnwpBY83UgYRiW4o5hbz1+fvU/pWy1O2WHvmOsWHNNg/ZGGY&#10;shh0hLpgkZGNV79BGcU9BJDxiIOpQErFRa4Bq6knr6q575gTuRYkJ7iRpvD/YPn19tYT1eLb4UtZ&#10;ZvCN7tS6i2TlPfQEb5Gi3oUFWt67Wz9IAY+p3p30Jv1jJWSXaX0eaRW7SDhe1vVsPj9GeI66ef3x&#10;JNNeHZydD/GLAEPSoaE+xc/hM6VsexUihkWHvWGKqC3hxmHiwa6zXQCt2kulddLmBhLn2pMtw6dn&#10;nAsbj7Od3phv0Jb7+QR/qUIEH12KdEBDnbZ4mVgodedTfNaiJHInJFKIlU5LIql5X8eui6pjrfhb&#10;aG0RMCFLLGbEHgDexi4VDPbJVeTeH50nf0qsOI8eOTLYODobZcG/BaBjPXAni/2epEJNYukJ2mds&#10;MA9l8oLjlwof+YqFeMs8jhoOJa6PeIMfqaFvKAwnSjrwP9+6T/Y4AailpMfRxRb4sWFeUKK/WpyN&#10;z/VslmY9C7P5yRQF/1Lz9FJjN+YcsEVqXFSO52Oyj3p/lB7MI26ZVYqKKmY5xm4oj34vnMeyUnBP&#10;cbFaZTOcb8filb13PIEnVlP7PuwemXdDp0cckWvYjzlbvGr1Yps8Law2EaTKc3DgdeAbd0Pu2WGP&#10;peXzUs5Wh227/AUAAP//AwBQSwMEFAAGAAgAAAAhAHr4Kf3jAAAACQEAAA8AAABkcnMvZG93bnJl&#10;di54bWxMj8tOwzAQRfdI/IM1SOyo84AmhEwqqFQkJFjQh1B3bjIkEfE4xG4a+HrMCpaje3TvmXwx&#10;6U6MNNjWMEI4C0AQl6ZquUbYblZXKQjrFFeqM0wIX2RhUZyf5SqrzIlfaVy7WvgStplCaJzrMylt&#10;2ZBWdmZ6Yp+9m0Er58+hltWgTr5cdzIKgrnUqmW/0Kielg2VH+ujRnj6Hs3ubZU+xC/Pj5/LVO33&#10;u+sbxMuL6f4OhKPJ/cHwq+/VofBOB3PkyooOIQmjxKMIUTQH4YH0Ng5BHBDiIAFZ5PL/B8UPAAAA&#10;//8DAFBLAQItABQABgAIAAAAIQC2gziS/gAAAOEBAAATAAAAAAAAAAAAAAAAAAAAAABbQ29udGVu&#10;dF9UeXBlc10ueG1sUEsBAi0AFAAGAAgAAAAhADj9If/WAAAAlAEAAAsAAAAAAAAAAAAAAAAALwEA&#10;AF9yZWxzLy5yZWxzUEsBAi0AFAAGAAgAAAAhAPuHDrGdAgAAtQUAAA4AAAAAAAAAAAAAAAAALgIA&#10;AGRycy9lMm9Eb2MueG1sUEsBAi0AFAAGAAgAAAAhAHr4Kf3jAAAACQEAAA8AAAAAAAAAAAAAAAAA&#10;9wQAAGRycy9kb3ducmV2LnhtbFBLBQYAAAAABAAEAPMAAAAHBgAAAAA=&#10;" adj="21116" fillcolor="#5b9bd5 [3204]" strokecolor="#375623 [1609]" strokeweight="1pt"/>
            </w:pict>
          </mc:Fallback>
        </mc:AlternateContent>
      </w:r>
      <w:r>
        <w:rPr>
          <w:b/>
          <w:noProof/>
        </w:rPr>
        <mc:AlternateContent>
          <mc:Choice Requires="wps">
            <w:drawing>
              <wp:anchor distT="0" distB="0" distL="114300" distR="114300" simplePos="0" relativeHeight="251679744" behindDoc="0" locked="0" layoutInCell="1" allowOverlap="1" wp14:anchorId="3F99776D" wp14:editId="3A044BC5">
                <wp:simplePos x="0" y="0"/>
                <wp:positionH relativeFrom="column">
                  <wp:posOffset>2617684</wp:posOffset>
                </wp:positionH>
                <wp:positionV relativeFrom="paragraph">
                  <wp:posOffset>146185</wp:posOffset>
                </wp:positionV>
                <wp:extent cx="1145568" cy="51370"/>
                <wp:effectExtent l="0" t="19050" r="35560" b="44450"/>
                <wp:wrapNone/>
                <wp:docPr id="17" name="Right Arrow 17"/>
                <wp:cNvGraphicFramePr/>
                <a:graphic xmlns:a="http://schemas.openxmlformats.org/drawingml/2006/main">
                  <a:graphicData uri="http://schemas.microsoft.com/office/word/2010/wordprocessingShape">
                    <wps:wsp>
                      <wps:cNvSpPr/>
                      <wps:spPr>
                        <a:xfrm>
                          <a:off x="0" y="0"/>
                          <a:ext cx="1145568" cy="51370"/>
                        </a:xfrm>
                        <a:prstGeom prst="rightArrow">
                          <a:avLst/>
                        </a:prstGeom>
                        <a:ln cmpd="sng">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66FB2" id="Right Arrow 17" o:spid="_x0000_s1026" type="#_x0000_t13" style="position:absolute;margin-left:206.1pt;margin-top:11.5pt;width:90.2pt;height:4.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hGngIAALUFAAAOAAAAZHJzL2Uyb0RvYy54bWysVFFPGzEMfp+0/xDlfVyva2GruKIKxDSJ&#10;AQImnkMu6UVK4ixJe2W/fk5yvSKGNmlaH9I4tj/b39k+PdsZTbbCBwW2ofXRhBJhObTKrhv6/eHy&#10;wydKQmS2ZRqsaOizCPRs+f7dae8WYgod6FZ4giA2LHrX0C5Gt6iqwDthWDgCJywqJXjDIop+XbWe&#10;9YhudDWdTI6rHnzrPHARAr5eFCVdZnwpBY83UgYRiW4o5hbz6fP5lM5qecoWa89cp/iQBvuHLAxT&#10;FoOOUBcsMrLx6jcoo7iHADIecTAVSKm4yDVgNfXkVTX3HXMi14LkBDfSFP4fLL/e3nqiWvx2J5RY&#10;ZvAb3al1F8nKe+gJviJFvQsLtLx3t36QAl5TvTvpTfrHSsgu0/o80ip2kXB8rOvZfH6MjcBRN68/&#10;nmTaq4Oz8yF+EWBIujTUp/g5fKaUba9CxLDosDdMEbUl3DhMPNh1tgugVXuptE7a3EDiXHuyZfjp&#10;GefCxuNspzfmG7TlfT7BX6oQwUeXIh3QUKctPiYWSt35Fp+1KIncCYkUYqXTkkhq3tex66LqWCv+&#10;FlpbBEzIEosZsQeAt7FLBYN9chW590fnyZ8SK86jR44MNo7ORlnwbwHoWA/cyWK/J6lQk1h6gvYZ&#10;G8xDmbzg+KXCj3zFQrxlHkcNhxLXR7zBQ2roGwrDjZIO/M+33pM9TgBqKelxdLEFfmyYF5TorxZn&#10;43M9m6VZz8JsfjJFwb/UPL3U2I05B2yRGheV4/ma7KPeX6UH84hbZpWioopZjrEbyqPfC+exrBTc&#10;U1ysVtkM59uxeGXvHU/gidXUvg+7R+bd0OkRR+Qa9mPOFq9avdgmTwurTQSp8hwceB34xt2Qe3bY&#10;Y2n5vJSz1WHbLn8BAAD//wMAUEsDBBQABgAIAAAAIQA7JlRT4gAAAAkBAAAPAAAAZHJzL2Rvd25y&#10;ZXYueG1sTI9NS8NAEIbvgv9hGcGb3Xy0JcZsihYqCHqwWqS3aXZMgtndmN2m0V/veNLjMA/v+7zF&#10;ajKdGGnwrbMK4lkEgmzldGtrBa8vm6sMhA9oNXbOkoIv8rAqz88KzLU72Wcat6EWHGJ9jgqaEPpc&#10;Sl81ZNDPXE+Wf+9uMBj4HGqpBzxxuOlkEkVLabC13NBgT+uGqo/t0Sh4+B7d7m2T3aVPj/ef6wz3&#10;+918odTlxXR7AyLQFP5g+NVndSjZ6eCOVnvRKZjHScKogiTlTQwsrpMliIOCNI5BloX8v6D8AQAA&#10;//8DAFBLAQItABQABgAIAAAAIQC2gziS/gAAAOEBAAATAAAAAAAAAAAAAAAAAAAAAABbQ29udGVu&#10;dF9UeXBlc10ueG1sUEsBAi0AFAAGAAgAAAAhADj9If/WAAAAlAEAAAsAAAAAAAAAAAAAAAAALwEA&#10;AF9yZWxzLy5yZWxzUEsBAi0AFAAGAAgAAAAhAPSYGEaeAgAAtQUAAA4AAAAAAAAAAAAAAAAALgIA&#10;AGRycy9lMm9Eb2MueG1sUEsBAi0AFAAGAAgAAAAhADsmVFPiAAAACQEAAA8AAAAAAAAAAAAAAAAA&#10;+AQAAGRycy9kb3ducmV2LnhtbFBLBQYAAAAABAAEAPMAAAAHBgAAAAA=&#10;" adj="21116" fillcolor="#5b9bd5 [3204]" strokecolor="#375623 [1609]" strokeweight="1pt"/>
            </w:pict>
          </mc:Fallback>
        </mc:AlternateContent>
      </w:r>
      <w:r>
        <w:rPr>
          <w:b/>
          <w:noProof/>
        </w:rPr>
        <mc:AlternateContent>
          <mc:Choice Requires="wps">
            <w:drawing>
              <wp:anchor distT="0" distB="0" distL="114300" distR="114300" simplePos="0" relativeHeight="251677696" behindDoc="0" locked="0" layoutInCell="1" allowOverlap="1" wp14:anchorId="5A6A11C6" wp14:editId="682EAEFC">
                <wp:simplePos x="0" y="0"/>
                <wp:positionH relativeFrom="column">
                  <wp:posOffset>503434</wp:posOffset>
                </wp:positionH>
                <wp:positionV relativeFrom="paragraph">
                  <wp:posOffset>153228</wp:posOffset>
                </wp:positionV>
                <wp:extent cx="1145568" cy="51370"/>
                <wp:effectExtent l="0" t="19050" r="35560" b="44450"/>
                <wp:wrapNone/>
                <wp:docPr id="16" name="Right Arrow 16"/>
                <wp:cNvGraphicFramePr/>
                <a:graphic xmlns:a="http://schemas.openxmlformats.org/drawingml/2006/main">
                  <a:graphicData uri="http://schemas.microsoft.com/office/word/2010/wordprocessingShape">
                    <wps:wsp>
                      <wps:cNvSpPr/>
                      <wps:spPr>
                        <a:xfrm>
                          <a:off x="0" y="0"/>
                          <a:ext cx="1145568" cy="51370"/>
                        </a:xfrm>
                        <a:prstGeom prst="rightArrow">
                          <a:avLst/>
                        </a:prstGeom>
                        <a:ln cmpd="sng">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71CD1" id="Right Arrow 16" o:spid="_x0000_s1026" type="#_x0000_t13" style="position:absolute;margin-left:39.65pt;margin-top:12.05pt;width:90.2pt;height:4.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KpngIAALUFAAAOAAAAZHJzL2Uyb0RvYy54bWysVFFrGzEMfh/sPxi/r5fLknQLuZTQ0jHo&#10;2tJ29Nn12TmDbXm2k0v26yf7LpfShQ3G8uBYlvRJ+k7S4mJnNNkKHxTYipZnI0qE5VAru67o96fr&#10;D58oCZHZmmmwoqJ7EejF8v27RevmYgwN6Fp4giA2zFtX0SZGNy+KwBthWDgDJywqJXjDIop+XdSe&#10;tYhudDEejWZFC752HrgIAV+vOiVdZnwpBY93UgYRia4o5hbz6fP5ks5iuWDztWeuUbxPg/1DFoYp&#10;i0EHqCsWGdl49RuUUdxDABnPOJgCpFRc5BqwmnL0pprHhjmRa0FyghtoCv8Plt9u7z1RNX67GSWW&#10;GfxGD2rdRLLyHlqCr0hR68IcLR/dve+lgNdU7056k/6xErLLtO4HWsUuEo6PZTmZTmfYCBx10/Lj&#10;eaa9ODo7H+IXAYakS0V9ip/DZ0rZ9iZEDIsOB8MUUVvCjcPEg11nuwBa1ddK66TNDSQutSdbhp+e&#10;cS5snGU7vTHfoO7epyP8pQoRfHDppCMa6rTFx8RCV3e+xb0WXSIPQiKFWOm4SyQ179vYZadqWC3+&#10;FlpbBEzIEosZsHuA09hdBb19chW59wfn0Z8S65wHjxwZbBycjbLgTwHoWPbcyc7+QFJHTWLpBeo9&#10;NpiHbvKC49cKP/INC/GeeRw1HEpcH/EOD6mhrSj0N0oa8D9PvSd7nADUUtLi6GIL/NgwLyjRXy3O&#10;xudyMkmznoXJ9HyMgn+teXmtsRtzCdgiJS4qx/M12Ud9uEoP5hm3zCpFRRWzHGNXlEd/EC5jt1Jw&#10;T3GxWmUznG/H4o19dDyBJ1ZT+z7tnpl3fadHHJFbOIw5m79p9c42eVpYbSJIlefgyGvPN+6G3LP9&#10;HkvL57WcrY7bdvkLAAD//wMAUEsDBBQABgAIAAAAIQCqHtL84gAAAAgBAAAPAAAAZHJzL2Rvd25y&#10;ZXYueG1sTI9BS8NAFITvgv9heYI3u2nS2jTmpWihgqAHq0V622afSTD7Nma3afTXu570OMww802+&#10;Gk0rBupdYxlhOolAEJdWN1whvL5srlIQzivWqrVMCF/kYFWcn+Uq0/bEzzRsfSVCCbtMIdTed5mU&#10;rqzJKDexHXHw3m1vlA+yr6Tu1SmUm1bGUXQtjWo4LNSqo3VN5cf2aBAevge7e9ukd8nT4/3nOlX7&#10;/W42R7y8GG9vQHga/V8YfvEDOhSB6WCPrJ1oERbLJCQR4tkURPDj+XIB4oCQxDHIIpf/DxQ/AAAA&#10;//8DAFBLAQItABQABgAIAAAAIQC2gziS/gAAAOEBAAATAAAAAAAAAAAAAAAAAAAAAABbQ29udGVu&#10;dF9UeXBlc10ueG1sUEsBAi0AFAAGAAgAAAAhADj9If/WAAAAlAEAAAsAAAAAAAAAAAAAAAAALwEA&#10;AF9yZWxzLy5yZWxzUEsBAi0AFAAGAAgAAAAhACwAcqmeAgAAtQUAAA4AAAAAAAAAAAAAAAAALgIA&#10;AGRycy9lMm9Eb2MueG1sUEsBAi0AFAAGAAgAAAAhAKoe0vziAAAACAEAAA8AAAAAAAAAAAAAAAAA&#10;+AQAAGRycy9kb3ducmV2LnhtbFBLBQYAAAAABAAEAPMAAAAHBgAAAAA=&#10;" adj="21116" fillcolor="#5b9bd5 [3204]" strokecolor="#375623 [1609]" strokeweight="1pt"/>
            </w:pict>
          </mc:Fallback>
        </mc:AlternateContent>
      </w:r>
      <w:r w:rsidR="00063F59">
        <w:rPr>
          <w:b/>
          <w:noProof/>
        </w:rPr>
        <mc:AlternateContent>
          <mc:Choice Requires="wps">
            <w:drawing>
              <wp:anchor distT="0" distB="0" distL="114300" distR="114300" simplePos="0" relativeHeight="251668480" behindDoc="0" locked="0" layoutInCell="1" allowOverlap="1" wp14:anchorId="1799ED64" wp14:editId="1D735D3A">
                <wp:simplePos x="0" y="0"/>
                <wp:positionH relativeFrom="margin">
                  <wp:posOffset>8095083</wp:posOffset>
                </wp:positionH>
                <wp:positionV relativeFrom="paragraph">
                  <wp:posOffset>64410</wp:posOffset>
                </wp:positionV>
                <wp:extent cx="84026" cy="553583"/>
                <wp:effectExtent l="19050" t="0" r="30480" b="37465"/>
                <wp:wrapNone/>
                <wp:docPr id="9" name="Down Arrow 9"/>
                <wp:cNvGraphicFramePr/>
                <a:graphic xmlns:a="http://schemas.openxmlformats.org/drawingml/2006/main">
                  <a:graphicData uri="http://schemas.microsoft.com/office/word/2010/wordprocessingShape">
                    <wps:wsp>
                      <wps:cNvSpPr/>
                      <wps:spPr>
                        <a:xfrm flipH="1">
                          <a:off x="0" y="0"/>
                          <a:ext cx="84026" cy="553583"/>
                        </a:xfrm>
                        <a:prstGeom prst="downArrow">
                          <a:avLst/>
                        </a:prstGeom>
                        <a:ln w="19050"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6125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637.4pt;margin-top:5.05pt;width:6.6pt;height:43.6pt;flip:x;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TsqAIAAJ0FAAAOAAAAZHJzL2Uyb0RvYy54bWysVN9P2zAQfp+0/8Hy+0haWqAVKapAbJMQ&#10;IGDi2XXsxpLj82y3affX72ynoWJoD9PyYPniu+/uu1+XV7tWk61wXoGp6OikpEQYDrUy64r+eLn9&#10;ckGJD8zUTIMRFd0LT68Wnz9ddnYuxtCAroUjCGL8vLMVbUKw86LwvBEt8ydghcFHCa5lAUW3LmrH&#10;OkRvdTEuy7OiA1dbB1x4j39v8iNdJHwpBQ8PUnoRiK4oxhbS6dK5imexuGTztWO2UbwPg/1DFC1T&#10;Bp0OUDcsMLJx6g+oVnEHHmQ44dAWIKXiInFANqPyHZvnhlmRuGByvB3S5P8fLL/fPjqi6orOKDGs&#10;xRLdQGfI0jnoyCzmp7N+jmrP9tH1ksdrJLuTriVSK/sNS5/oIyGyS9ndD9kVu0A4/ryYlOMzSji+&#10;TKen04vTCF5klIhmnQ9fBbQkXipaYxgpigTMtnc+ZP2DXrTRhnToe1ZOsbi8tcjDm3Wy8KBVfau0&#10;jnrerVfX2pEtwz44L0/LZSo9ej9SQ0kbDCkSzhTTLey1yL6ehMRUIZVx9hCbVAywjHNhQs6Db1gt&#10;srdpiV9PNbV1tEjEtUHAiCwxygG7B/gYO2eg14+mIvX4YFz+LbBsPFgkz2DCYNwqA+4jAI2ses9Z&#10;/5CknJqYpRXUe2wkB3nCvOW3Cst4x3x4ZA5HCuuDayI84CE1YNGgv1HSgPv10f+oj52Or5R0OKJY&#10;258b5gQl+rvBGZiNJpM400mYTM/HKLjjl9Xxi9m014DVH+FCsjxdo37Qh6t00L7iNllGr/jEDEff&#10;FeXBHYTrkFcH7iMulsukhnNsWbgzz5YfpiB26MvulTnb93LAGbiHwziz+btuzrqxHgaWmwBSpVZ/&#10;y2ufb9wBqXH6fRWXzLGctN626uI3AAAA//8DAFBLAwQUAAYACAAAACEAfxTzm+EAAAALAQAADwAA&#10;AGRycy9kb3ducmV2LnhtbEyPwU7DMBBE70j8g7VI3KiTFGgIcSoK4oKQEKGHHh17iQOxHcVuE/r1&#10;bE9w29GOZt6U69n27IBj6LwTkC4SYOiU151rBWw/nq9yYCFKp2XvHQr4wQDr6vyslIX2k3vHQx1b&#10;RiEuFFKAiXEoOA/KoJVh4Qd09Pv0o5WR5NhyPcqJwm3PsyS55VZ2jhqMHPDRoPqu91bAButm+bSZ&#10;zOvx7aZ9Oe7UV50qIS4v5od7YBHn+GeGEz6hQ0VMjd87HVhPOltdE3ukK0mBnRxZntO8RsDdagm8&#10;Kvn/DdUvAAAA//8DAFBLAQItABQABgAIAAAAIQC2gziS/gAAAOEBAAATAAAAAAAAAAAAAAAAAAAA&#10;AABbQ29udGVudF9UeXBlc10ueG1sUEsBAi0AFAAGAAgAAAAhADj9If/WAAAAlAEAAAsAAAAAAAAA&#10;AAAAAAAALwEAAF9yZWxzLy5yZWxzUEsBAi0AFAAGAAgAAAAhAMqHtOyoAgAAnQUAAA4AAAAAAAAA&#10;AAAAAAAALgIAAGRycy9lMm9Eb2MueG1sUEsBAi0AFAAGAAgAAAAhAH8U85vhAAAACwEAAA8AAAAA&#10;AAAAAAAAAAAAAgUAAGRycy9kb3ducmV2LnhtbFBLBQYAAAAABAAEAPMAAAAQBgAAAAA=&#10;" adj="19961" fillcolor="#5b9bd5 [3204]" strokecolor="#7030a0" strokeweight="1.5pt">
                <w10:wrap anchorx="margin"/>
              </v:shape>
            </w:pict>
          </mc:Fallback>
        </mc:AlternateContent>
      </w:r>
      <w:r w:rsidR="00DE7C15">
        <w:rPr>
          <w:b/>
          <w:noProof/>
        </w:rPr>
        <mc:AlternateContent>
          <mc:Choice Requires="wps">
            <w:drawing>
              <wp:anchor distT="0" distB="0" distL="114300" distR="114300" simplePos="0" relativeHeight="251670528" behindDoc="0" locked="0" layoutInCell="1" allowOverlap="1" wp14:anchorId="0EECB9D1" wp14:editId="737CDC2A">
                <wp:simplePos x="0" y="0"/>
                <wp:positionH relativeFrom="column">
                  <wp:posOffset>6082665</wp:posOffset>
                </wp:positionH>
                <wp:positionV relativeFrom="paragraph">
                  <wp:posOffset>63586</wp:posOffset>
                </wp:positionV>
                <wp:extent cx="98253" cy="553583"/>
                <wp:effectExtent l="19050" t="0" r="35560" b="37465"/>
                <wp:wrapNone/>
                <wp:docPr id="10" name="Down Arrow 10"/>
                <wp:cNvGraphicFramePr/>
                <a:graphic xmlns:a="http://schemas.openxmlformats.org/drawingml/2006/main">
                  <a:graphicData uri="http://schemas.microsoft.com/office/word/2010/wordprocessingShape">
                    <wps:wsp>
                      <wps:cNvSpPr/>
                      <wps:spPr>
                        <a:xfrm flipH="1">
                          <a:off x="0" y="0"/>
                          <a:ext cx="98253" cy="553583"/>
                        </a:xfrm>
                        <a:prstGeom prst="downArrow">
                          <a:avLst/>
                        </a:prstGeom>
                        <a:ln w="19050"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62973C" id="Down Arrow 10" o:spid="_x0000_s1026" type="#_x0000_t67" style="position:absolute;margin-left:478.95pt;margin-top:5pt;width:7.75pt;height:43.6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EcqAIAAJ8FAAAOAAAAZHJzL2Uyb0RvYy54bWysVN9P2zAQfp+0/8Hy+0jakgEVKapAbJMQ&#10;oMHEs+vYjSXH59lu0+6v39lOQ8XQHqblIfLZd9/dfffj8mrXabIVziswNZ2clJQIw6FRZl3TH8+3&#10;n84p8YGZhmkwoqZ74enV4uOHy97OxRRa0I1wBEGMn/e2pm0Idl4UnreiY/4ErDD4KMF1LKDo1kXj&#10;WI/onS6mZfm56ME11gEX3uPtTX6ki4QvpeDhQUovAtE1xdhC+rv0X8V/sbhk87VjtlV8CIP9QxQd&#10;UwadjlA3LDCyceoPqE5xBx5kOOHQFSCl4iLlgNlMyjfZPLXMipQLkuPtSJP/f7D8fvvoiGqwdkiP&#10;YR3W6AZ6Q5bOQU/wEhnqrZ+j4pN9dIPk8RjT3UnXEamV/YoAiQBMiewSv/uRX7ELhOPlxfm0mlHC&#10;8aWqZtX5LIIXGSWiWefDFwEdiYeaNhhHCiMBs+2dD1n/oBdttCE9+r4oK4yfdxYz8WadLDxo1dwq&#10;raOed+vVtXZky7ATzspZuUypofcjNZS0wZBiwjnFdAp7LbKv70IiWZjKNHuIbSpGWMa5MCHz4FvW&#10;iOytKvEbUk2NHS1S4togYESWGOWIPQC8j50ZGPSjqUhdPhqXfwssG48WyTOYMBp3yoB7D0BjVoPn&#10;rH8gKVMTWVpBs8dWcpBnzFt+q7CMd8yHR+ZwqLA+uCjCA/6kBiwaDCdKWnC/3ruP+tjr+EpJj0OK&#10;tf25YU5Qor8ZnIKLyelpnOoknFZnUxTc8cvq+MVsumvA6k9wJVmejlE/6MNROuhecJ8so1d8Yoaj&#10;75ry4A7CdcjLAzcSF8tlUsNJtizcmSfLD1MQO/R598KcHXo54Azcw2Gg2fxNN2fdWA8Dy00AqVKr&#10;v/I68I1bIDXOsLHimjmWk9brXl38BgAA//8DAFBLAwQUAAYACAAAACEAboFWlOAAAAAJAQAADwAA&#10;AGRycy9kb3ducmV2LnhtbEyPwU7DMBBE70j8g7VI3KjTAG0d4lQIgQSqKtTCgd7ceEki4nUUu036&#10;92xPcNvRPM3O5MvRteKIfWg8aZhOEhBIpbcNVRo+P15uFiBCNGRN6wk1nDDAsri8yE1m/UAbPG5j&#10;JTiEQmY01DF2mZShrNGZMPEdEnvfvncmsuwraXszcLhrZZokM+lMQ/yhNh0+1Vj+bA9Ow0yt0g1O&#10;v9ZKDou31/dmd1o/77S+vhofH0BEHOMfDOf6XB0K7rT3B7JBtBrU/VwxykbCmxhQ89s7EPvzkYIs&#10;cvl/QfELAAD//wMAUEsBAi0AFAAGAAgAAAAhALaDOJL+AAAA4QEAABMAAAAAAAAAAAAAAAAAAAAA&#10;AFtDb250ZW50X1R5cGVzXS54bWxQSwECLQAUAAYACAAAACEAOP0h/9YAAACUAQAACwAAAAAAAAAA&#10;AAAAAAAvAQAAX3JlbHMvLnJlbHNQSwECLQAUAAYACAAAACEA8n6BHKgCAACfBQAADgAAAAAAAAAA&#10;AAAAAAAuAgAAZHJzL2Uyb0RvYy54bWxQSwECLQAUAAYACAAAACEAboFWlOAAAAAJAQAADwAAAAAA&#10;AAAAAAAAAAACBQAAZHJzL2Rvd25yZXYueG1sUEsFBgAAAAAEAAQA8wAAAA8GAAAAAA==&#10;" adj="19683" fillcolor="#5b9bd5 [3204]" strokecolor="#7030a0" strokeweight="1.5pt"/>
            </w:pict>
          </mc:Fallback>
        </mc:AlternateContent>
      </w:r>
      <w:r w:rsidR="00DE7C15">
        <w:rPr>
          <w:b/>
          <w:noProof/>
        </w:rPr>
        <mc:AlternateContent>
          <mc:Choice Requires="wps">
            <w:drawing>
              <wp:anchor distT="0" distB="0" distL="114300" distR="114300" simplePos="0" relativeHeight="251672576" behindDoc="0" locked="0" layoutInCell="1" allowOverlap="1" wp14:anchorId="1D17BD2E" wp14:editId="07622942">
                <wp:simplePos x="0" y="0"/>
                <wp:positionH relativeFrom="column">
                  <wp:posOffset>4156710</wp:posOffset>
                </wp:positionH>
                <wp:positionV relativeFrom="paragraph">
                  <wp:posOffset>65234</wp:posOffset>
                </wp:positionV>
                <wp:extent cx="98253" cy="553583"/>
                <wp:effectExtent l="19050" t="0" r="35560" b="37465"/>
                <wp:wrapNone/>
                <wp:docPr id="11" name="Down Arrow 11"/>
                <wp:cNvGraphicFramePr/>
                <a:graphic xmlns:a="http://schemas.openxmlformats.org/drawingml/2006/main">
                  <a:graphicData uri="http://schemas.microsoft.com/office/word/2010/wordprocessingShape">
                    <wps:wsp>
                      <wps:cNvSpPr/>
                      <wps:spPr>
                        <a:xfrm flipH="1">
                          <a:off x="0" y="0"/>
                          <a:ext cx="98253" cy="553583"/>
                        </a:xfrm>
                        <a:prstGeom prst="downArrow">
                          <a:avLst/>
                        </a:prstGeom>
                        <a:ln w="19050"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3D7FC9" id="Down Arrow 11" o:spid="_x0000_s1026" type="#_x0000_t67" style="position:absolute;margin-left:327.3pt;margin-top:5.15pt;width:7.75pt;height:43.6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BCqAIAAJ8FAAAOAAAAZHJzL2Uyb0RvYy54bWysVN9P2zAQfp+0/8Hy+0jakgEVKapAbJMQ&#10;oMHEs+vYjSXH59lu0+6v39lOQ8XQHqblIfLZd9/dfffj8mrXabIVziswNZ2clJQIw6FRZl3TH8+3&#10;n84p8YGZhmkwoqZ74enV4uOHy97OxRRa0I1wBEGMn/e2pm0Idl4UnreiY/4ErDD4KMF1LKDo1kXj&#10;WI/onS6mZfm56ME11gEX3uPtTX6ki4QvpeDhQUovAtE1xdhC+rv0X8V/sbhk87VjtlV8CIP9QxQd&#10;UwadjlA3LDCyceoPqE5xBx5kOOHQFSCl4iLlgNlMyjfZPLXMipQLkuPtSJP/f7D8fvvoiGqwdhNK&#10;DOuwRjfQG7J0DnqCl8hQb/0cFZ/soxskj8eY7k66jkit7FcESARgSmSX+N2P/IpdIBwvL86n1YwS&#10;ji9VNavOZxG8yCgRzTofvgjoSDzUtME4UhgJmG3vfMj6B71oow3p0fdFWWF5eWcxE2/WycKDVs2t&#10;0jrqebdeXWtHtgw74ayclctUfPR+pIaSNhhSTDinmE5hr0X29V1IJAtTmWYPsU3FCMs4FyZkHnzL&#10;GpG9VSV+Q6qpsaNFSlwbBIzIEqMcsQeA97EzA4N+NBWpy0fj8m+BZePRInkGE0bjThlw7wFozGrw&#10;nPUPJGVqIksraPbYSg7yjHnLbxWW8Y758MgcDhXWBxdFeMCf1IBFg+FESQvu13v3UR97HV8p6XFI&#10;sbY/N8wJSvQ3g1NwMTk9jVOdhNPqbIqCO35ZHb+YTXcNWH1sdIwuHaN+0IejdNC94D5ZRq/4xAxH&#10;3zXlwR2E65CXB24kLpbLpIaTbFm4M0+WH6Ygdujz7oU5O/RywBm4h8NAs/mbbs66sR4GlpsAUqVW&#10;f+V14Bu3QGqcYWPFNXMsJ63Xvbr4DQAA//8DAFBLAwQUAAYACAAAACEA+8LYYeEAAAAJAQAADwAA&#10;AGRycy9kb3ducmV2LnhtbEyPTUvDQBCG74L/YRnBm92k2rSJ2RQRBaUU6cfB3rbZMQlmZ0N226T/&#10;3vGkx+F9ed5n8uVoW3HG3jeOFMSTCARS6UxDlYL97vVuAcIHTUa3jlDBBT0si+urXGfGDbTB8zZU&#10;giHkM62gDqHLpPRljVb7ieuQOPtyvdWBz76SptcDw20rp1GUSKsb4oVad/hcY/m9PVkFSbqabjD+&#10;XKdyWLy/fTSHy/rloNTtzfj0CCLgGP7K8KvP6lCw09GdyHjRMmP2kHCVg+geBBeSeRSDOCpI5zOQ&#10;RS7/f1D8AAAA//8DAFBLAQItABQABgAIAAAAIQC2gziS/gAAAOEBAAATAAAAAAAAAAAAAAAAAAAA&#10;AABbQ29udGVudF9UeXBlc10ueG1sUEsBAi0AFAAGAAgAAAAhADj9If/WAAAAlAEAAAsAAAAAAAAA&#10;AAAAAAAALwEAAF9yZWxzLy5yZWxzUEsBAi0AFAAGAAgAAAAhAF9mUEKoAgAAnwUAAA4AAAAAAAAA&#10;AAAAAAAALgIAAGRycy9lMm9Eb2MueG1sUEsBAi0AFAAGAAgAAAAhAPvC2GHhAAAACQEAAA8AAAAA&#10;AAAAAAAAAAAAAgUAAGRycy9kb3ducmV2LnhtbFBLBQYAAAAABAAEAPMAAAAQBgAAAAA=&#10;" adj="19683" fillcolor="#5b9bd5 [3204]" strokecolor="#7030a0" strokeweight="1.5pt"/>
            </w:pict>
          </mc:Fallback>
        </mc:AlternateContent>
      </w:r>
      <w:r w:rsidR="00DE7C15">
        <w:rPr>
          <w:b/>
          <w:noProof/>
        </w:rPr>
        <mc:AlternateContent>
          <mc:Choice Requires="wps">
            <w:drawing>
              <wp:anchor distT="0" distB="0" distL="114300" distR="114300" simplePos="0" relativeHeight="251674624" behindDoc="0" locked="0" layoutInCell="1" allowOverlap="1" wp14:anchorId="035CA7FA" wp14:editId="75E96BA1">
                <wp:simplePos x="0" y="0"/>
                <wp:positionH relativeFrom="column">
                  <wp:posOffset>2074459</wp:posOffset>
                </wp:positionH>
                <wp:positionV relativeFrom="paragraph">
                  <wp:posOffset>49032</wp:posOffset>
                </wp:positionV>
                <wp:extent cx="98253" cy="553583"/>
                <wp:effectExtent l="19050" t="0" r="35560" b="37465"/>
                <wp:wrapNone/>
                <wp:docPr id="12" name="Down Arrow 12"/>
                <wp:cNvGraphicFramePr/>
                <a:graphic xmlns:a="http://schemas.openxmlformats.org/drawingml/2006/main">
                  <a:graphicData uri="http://schemas.microsoft.com/office/word/2010/wordprocessingShape">
                    <wps:wsp>
                      <wps:cNvSpPr/>
                      <wps:spPr>
                        <a:xfrm flipH="1">
                          <a:off x="0" y="0"/>
                          <a:ext cx="98253" cy="553583"/>
                        </a:xfrm>
                        <a:prstGeom prst="downArrow">
                          <a:avLst/>
                        </a:prstGeom>
                        <a:ln w="19050"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340FF" id="Down Arrow 12" o:spid="_x0000_s1026" type="#_x0000_t67" style="position:absolute;margin-left:163.35pt;margin-top:3.85pt;width:7.75pt;height:43.6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OhqQIAAJ8FAAAOAAAAZHJzL2Uyb0RvYy54bWysVN9P2zAQfp+0/8Hy+0jakgEVKapAbJMQ&#10;oMHEs+vYjSXH59lu0+6v39lOQ8XQHqblIfLZd9/dfffj8mrXabIVziswNZ2clJQIw6FRZl3TH8+3&#10;n84p8YGZhmkwoqZ74enV4uOHy97OxRRa0I1wBEGMn/e2pm0Idl4UnreiY/4ErDD4KMF1LKDo1kXj&#10;WI/onS6mZfm56ME11gEX3uPtTX6ki4QvpeDhQUovAtE1xdhC+rv0X8V/sbhk87VjtlV8CIP9QxQd&#10;UwadjlA3LDCyceoPqE5xBx5kOOHQFSCl4iLlgNlMyjfZPLXMipQLkuPtSJP/f7D8fvvoiGqwdlNK&#10;DOuwRjfQG7J0DnqCl8hQb/0cFZ/soxskj8eY7k66jkit7FcESARgSmSX+N2P/IpdIBwvL86n1YwS&#10;ji9VNavOZxG8yCgRzTofvgjoSDzUtME4UhgJmG3vfMj6B71oow3p0fdFWWF5eWcxE2/WycKDVs2t&#10;0jrqebdeXWtHtgw74ayclctUfPR+pIaSNhhSTDinmE5hr0X29V1IJAtTmWYPsU3FCMs4FyZkHnzL&#10;GpG9VSV+Q6qpsaNFSlwbBIzIEqMcsQeA97EzA4N+NBWpy0fj8m+BZePRInkGE0bjThlw7wFozGrw&#10;nPUPJGVqIksraPbYSg7yjHnLbxWW8Y758MgcDhXWBxdFeMCf1IBFg+FESQvu13v3UR97HV8p6XFI&#10;sbY/N8wJSvQ3g1NwMTk9jVOdhNPqbIqCO35ZHb+YTXcNWP0JriTL0zHqB304SgfdC+6TZfSKT8xw&#10;9F1THtxBuA55eeBG4mK5TGo4yZaFO/Nk+WEKYoc+716Ys0MvB5yBezgMNJu/6easG+thYLkJIFVq&#10;9VdeB75xC6TGGTZWXDPHctJ63auL3wAAAP//AwBQSwMEFAAGAAgAAAAhAMI3w6fhAAAACAEAAA8A&#10;AABkcnMvZG93bnJldi54bWxMj0FLw0AQhe+C/2EZwZvdNC1pEzMpIgqKFGntob1ts2MSzO6G7LZJ&#10;/73Tk54ew3u8902+Gk0rztT7xlmE6SQCQbZ0urEVwu7r9WEJwgdltWqdJYQLeVgVtze5yrQb7IbO&#10;21AJLrE+Uwh1CF0mpS9rMspPXEeWvW/XGxX47CupezVwuWllHEWJNKqxvFCrjp5rKn+2J4OQpB/x&#10;hqb7dSqH5fvbZ3O4rF8OiPd349MjiEBj+AvDFZ/RoWCmoztZ7UWLMIuTBUcRFizsz+ZxDOKIkM5T&#10;kEUu/z9Q/AIAAP//AwBQSwECLQAUAAYACAAAACEAtoM4kv4AAADhAQAAEwAAAAAAAAAAAAAAAAAA&#10;AAAAW0NvbnRlbnRfVHlwZXNdLnhtbFBLAQItABQABgAIAAAAIQA4/SH/1gAAAJQBAAALAAAAAAAA&#10;AAAAAAAAAC8BAABfcmVscy8ucmVsc1BLAQItABQABgAIAAAAIQCoTyOhqQIAAJ8FAAAOAAAAAAAA&#10;AAAAAAAAAC4CAABkcnMvZTJvRG9jLnhtbFBLAQItABQABgAIAAAAIQDCN8On4QAAAAgBAAAPAAAA&#10;AAAAAAAAAAAAAAMFAABkcnMvZG93bnJldi54bWxQSwUGAAAAAAQABADzAAAAEQYAAAAA&#10;" adj="19683" fillcolor="#5b9bd5 [3204]" strokecolor="#7030a0" strokeweight="1.5pt"/>
            </w:pict>
          </mc:Fallback>
        </mc:AlternateContent>
      </w:r>
      <w:r w:rsidR="00DE7C15">
        <w:rPr>
          <w:b/>
          <w:noProof/>
        </w:rPr>
        <mc:AlternateContent>
          <mc:Choice Requires="wps">
            <w:drawing>
              <wp:anchor distT="0" distB="0" distL="114300" distR="114300" simplePos="0" relativeHeight="251676672" behindDoc="0" locked="0" layoutInCell="1" allowOverlap="1" wp14:anchorId="7B6243A9" wp14:editId="45A03C88">
                <wp:simplePos x="0" y="0"/>
                <wp:positionH relativeFrom="column">
                  <wp:posOffset>-224</wp:posOffset>
                </wp:positionH>
                <wp:positionV relativeFrom="paragraph">
                  <wp:posOffset>76972</wp:posOffset>
                </wp:positionV>
                <wp:extent cx="98253" cy="553583"/>
                <wp:effectExtent l="19050" t="0" r="35560" b="37465"/>
                <wp:wrapNone/>
                <wp:docPr id="13" name="Down Arrow 13"/>
                <wp:cNvGraphicFramePr/>
                <a:graphic xmlns:a="http://schemas.openxmlformats.org/drawingml/2006/main">
                  <a:graphicData uri="http://schemas.microsoft.com/office/word/2010/wordprocessingShape">
                    <wps:wsp>
                      <wps:cNvSpPr/>
                      <wps:spPr>
                        <a:xfrm flipH="1">
                          <a:off x="0" y="0"/>
                          <a:ext cx="98253" cy="553583"/>
                        </a:xfrm>
                        <a:prstGeom prst="downArrow">
                          <a:avLst/>
                        </a:prstGeom>
                        <a:ln w="19050"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E91151" id="Down Arrow 13" o:spid="_x0000_s1026" type="#_x0000_t67" style="position:absolute;margin-left:0;margin-top:6.05pt;width:7.75pt;height:43.6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qwIAAJ8FAAAOAAAAZHJzL2Uyb0RvYy54bWysVE1PGzEQvVfqf7B8L7sJpISIBEUg2koI&#10;UKHi7HjtZCWv7dpONumv77O9u0QU9VB1DyuPPfNm5s3H5dW+UWQnnK+NntPRSUmJ0NxUtV7P6Y/n&#10;209TSnxgumLKaDGnB+Hp1eLjh8vWzsTYbIyqhCMA0X7W2jndhGBnReH5RjTMnxgrNB6lcQ0LEN26&#10;qBxrgd6oYlyWn4vWuMo6w4X3uL3Jj3SR8KUUPDxI6UUgak4RW0h/l/6r+C8Wl2y2dsxuat6Fwf4h&#10;iobVGk4HqBsWGNm6+g+opubOeCPDCTdNYaSsuUg5IJtR+Sabpw2zIuUCcrwdaPL/D5bf7x4dqSvU&#10;7pQSzRrU6Ma0miydMy3BJRhqrZ9B8ck+uk7yOMZ099I1RKrafgVAIgApkX3i9zDwK/aBcFxeTMcT&#10;eOF4mUxOJ9MEXmSUiGadD1+EaUg8zGmFOFIYCZjt7nyAe+j3etFGadLC90U5QXl5Y5GJ1+tk4Y2q&#10;q9taqajn3Xp1rRzZMXTCeXlaLlPxgXakBklpuIgJ5xTTKRyUyL6+CwmykMo4e4htKgZYxrnQIfPg&#10;N6wS2dukxBd5jM56iyQpDcCILBHlgN0B9JoZpMfOMJ1+NBWpywfj8m+BZePBInk2OgzGTa2New9A&#10;IavOc9bvScrURJZWpjqglZzJM+Ytv61RxjvmwyNzGCrUB4siPOAnlUHRTHeiZGPcr/fuoz56Ha+U&#10;tBhS1PbnljlBifqmMQUXo7OzONVJOJucjyG445fV8YveNtcG1R9hJVmejlE/qP4onWlesE+W0Sue&#10;mObwPac8uF64Dnl5YCNxsVwmNUyyZeFOP1neT0Hs0Of9C3O26+WAGbg3/UCz2ZtuzrqxHtost8HI&#10;OrX6K68d39gCqXG6jRXXzLGctF736uI3AAAA//8DAFBLAwQUAAYACAAAACEAvEb3d94AAAAFAQAA&#10;DwAAAGRycy9kb3ducmV2LnhtbEyPQWvCQBCF74X+h2UKvdVNUhSTZiOltNBSRNQe6m3NTpPQ7GzI&#10;rib+e8eTHue9x3vf5IvRtuKIvW8cKYgnEQik0pmGKgU/24+nOQgfNBndOkIFJ/SwKO7vcp0ZN9Aa&#10;j5tQCS4hn2kFdQhdJqUva7TaT1yHxN6f660OfPaVNL0euNy2MomimbS6IV6odYdvNZb/m4NVMEu/&#10;kzXGv8tUDvOvz1WzOy3fd0o9PoyvLyACjuEahgs+o0PBTHt3IONFq4AfCawmMYiLO52C2CtI02eQ&#10;RS5v6YszAAAA//8DAFBLAQItABQABgAIAAAAIQC2gziS/gAAAOEBAAATAAAAAAAAAAAAAAAAAAAA&#10;AABbQ29udGVudF9UeXBlc10ueG1sUEsBAi0AFAAGAAgAAAAhADj9If/WAAAAlAEAAAsAAAAAAAAA&#10;AAAAAAAALwEAAF9yZWxzLy5yZWxzUEsBAi0AFAAGAAgAAAAhAAVX8v+rAgAAnwUAAA4AAAAAAAAA&#10;AAAAAAAALgIAAGRycy9lMm9Eb2MueG1sUEsBAi0AFAAGAAgAAAAhALxG93feAAAABQEAAA8AAAAA&#10;AAAAAAAAAAAABQUAAGRycy9kb3ducmV2LnhtbFBLBQYAAAAABAAEAPMAAAAQBgAAAAA=&#10;" adj="19683" fillcolor="#5b9bd5 [3204]" strokecolor="#7030a0" strokeweight="1.5pt"/>
            </w:pict>
          </mc:Fallback>
        </mc:AlternateContent>
      </w:r>
    </w:p>
    <w:p w14:paraId="22BE3BBB" w14:textId="335860B4" w:rsidR="000125E1" w:rsidRDefault="00DE7C15" w:rsidP="000125E1">
      <w:pPr>
        <w:rPr>
          <w:b/>
        </w:rPr>
      </w:pPr>
      <w:r>
        <w:rPr>
          <w:b/>
          <w:noProof/>
        </w:rPr>
        <mc:AlternateContent>
          <mc:Choice Requires="wps">
            <w:drawing>
              <wp:anchor distT="0" distB="0" distL="114300" distR="114300" simplePos="0" relativeHeight="251659264" behindDoc="0" locked="0" layoutInCell="1" allowOverlap="1" wp14:anchorId="45811B6C" wp14:editId="59E4721F">
                <wp:simplePos x="0" y="0"/>
                <wp:positionH relativeFrom="margin">
                  <wp:align>left</wp:align>
                </wp:positionH>
                <wp:positionV relativeFrom="paragraph">
                  <wp:posOffset>70656</wp:posOffset>
                </wp:positionV>
                <wp:extent cx="8110975" cy="10245"/>
                <wp:effectExtent l="19050" t="19050" r="23495" b="27940"/>
                <wp:wrapNone/>
                <wp:docPr id="2" name="Straight Connector 2"/>
                <wp:cNvGraphicFramePr/>
                <a:graphic xmlns:a="http://schemas.openxmlformats.org/drawingml/2006/main">
                  <a:graphicData uri="http://schemas.microsoft.com/office/word/2010/wordprocessingShape">
                    <wps:wsp>
                      <wps:cNvCnPr/>
                      <wps:spPr>
                        <a:xfrm>
                          <a:off x="0" y="0"/>
                          <a:ext cx="8110975" cy="10245"/>
                        </a:xfrm>
                        <a:prstGeom prst="line">
                          <a:avLst/>
                        </a:prstGeom>
                        <a:ln w="41275" cmpd="dbl">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3DAA5"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5pt" to="638.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B8AEAAEQEAAAOAAAAZHJzL2Uyb0RvYy54bWysU8tu2zAQvBfoPxC813ogTlPBcg4O0ksf&#10;RtN+AE2RFgGSS5CMJf99l5SsBGmBIkF1oMTlzu7MaLm5HY0mJ+GDAtvSalVSIiyHTtljS3/9vP9w&#10;Q0mIzHZMgxUtPYtAb7fv320G14gaetCd8ASL2NAMrqV9jK4pisB7YVhYgRMWDyV4wyJu/bHoPBuw&#10;utFFXZbXxQC+cx64CAGjd9Mh3eb6Ugoev0sZRCS6pcgt5tXn9ZDWYrthzdEz1ys+02BvYGGYsth0&#10;KXXHIiOPXv1RyijuIYCMKw6mACkVF1kDqqnKF2oeeuZE1oLmBLfYFP5fWf7ttPdEdS2tKbHM4C96&#10;iJ6pYx/JDqxFA8GTOvk0uNBg+s7u/bwLbu+T6FF6k94oh4zZ2/PirRgj4Ri8qary08c1JRzPqrK+&#10;WqeaxRPY+RA/CzAkfbRUK5uks4advoQ4pV5SUlhbMrT0qqpzTeNQQXfQGRFAq+5eaZ3y8iSJnfbk&#10;xHAGGOfCxuucpx/NV+im+LrEZ2a0QDK/Z9WQrbYYTE5M2vNXPGsxUfohJHqJaquJSJril72ruYu2&#10;mJ1gEpkuwPLfwDk/QUWe8NeAF0TuDDYuYKMs+L91j+OFspzyLw5MupMFB+jOeSqyNTiq2bn5WqW7&#10;8Hyf4U+Xf/sbAAD//wMAUEsDBBQABgAIAAAAIQDconKV3QAAAAcBAAAPAAAAZHJzL2Rvd25yZXYu&#10;eG1sTI9BT8JAEIXvJv6HzZhwk23BiKndEoPhKImAGG5Ld2wr3dmmu4X23zt4gdu8eZP3vknnva3F&#10;CVtfOVIQjyMQSLkzFRUKtpvl4wsIHzQZXTtCBQN6mGf3d6lOjDvTJ57WoRAcQj7RCsoQmkRKn5do&#10;tR+7Bom9H9daHVi2hTStPnO4reUkip6l1RVxQ6kbXJSYH9edVfDxvd/326+n42oXv68W024Ydr+D&#10;UqOH/u0VRMA+XI/hgs/okDHTwXVkvKgV8COBt3EM4uJOZrMpiMP/BDJL5S1/9gcAAP//AwBQSwEC&#10;LQAUAAYACAAAACEAtoM4kv4AAADhAQAAEwAAAAAAAAAAAAAAAAAAAAAAW0NvbnRlbnRfVHlwZXNd&#10;LnhtbFBLAQItABQABgAIAAAAIQA4/SH/1gAAAJQBAAALAAAAAAAAAAAAAAAAAC8BAABfcmVscy8u&#10;cmVsc1BLAQItABQABgAIAAAAIQC+gFEB8AEAAEQEAAAOAAAAAAAAAAAAAAAAAC4CAABkcnMvZTJv&#10;RG9jLnhtbFBLAQItABQABgAIAAAAIQDconKV3QAAAAcBAAAPAAAAAAAAAAAAAAAAAEoEAABkcnMv&#10;ZG93bnJldi54bWxQSwUGAAAAAAQABADzAAAAVAUAAAAA&#10;" strokecolor="#375623 [1609]" strokeweight="3.25pt">
                <v:stroke linestyle="thinThin" joinstyle="miter"/>
                <w10:wrap anchorx="margin"/>
              </v:line>
            </w:pict>
          </mc:Fallback>
        </mc:AlternateContent>
      </w:r>
    </w:p>
    <w:p w14:paraId="2EFBFCDF" w14:textId="77777777" w:rsidR="00302620" w:rsidRDefault="00302620" w:rsidP="00063F59">
      <w:pPr>
        <w:spacing w:after="0" w:line="240" w:lineRule="auto"/>
        <w:rPr>
          <w:rFonts w:ascii="Times New Roman" w:hAnsi="Times New Roman" w:cs="Times New Roman"/>
          <w:b/>
          <w:sz w:val="20"/>
        </w:rPr>
      </w:pPr>
    </w:p>
    <w:p w14:paraId="66A7BC88" w14:textId="0A35048B" w:rsidR="00063F59" w:rsidRPr="00063F59" w:rsidRDefault="00DE7C15" w:rsidP="00063F59">
      <w:pPr>
        <w:spacing w:after="0" w:line="240" w:lineRule="auto"/>
        <w:rPr>
          <w:rFonts w:ascii="Times New Roman" w:hAnsi="Times New Roman" w:cs="Times New Roman"/>
          <w:b/>
          <w:sz w:val="20"/>
        </w:rPr>
      </w:pPr>
      <w:r w:rsidRPr="00063F59">
        <w:rPr>
          <w:rFonts w:ascii="Times New Roman" w:hAnsi="Times New Roman" w:cs="Times New Roman"/>
          <w:b/>
          <w:sz w:val="20"/>
        </w:rPr>
        <w:t>T1</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T2</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T3</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T4</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w:t>
      </w:r>
      <w:r w:rsidR="00063F59">
        <w:rPr>
          <w:rFonts w:ascii="Times New Roman" w:hAnsi="Times New Roman" w:cs="Times New Roman"/>
          <w:b/>
          <w:sz w:val="20"/>
        </w:rPr>
        <w:t xml:space="preserve">   </w:t>
      </w:r>
      <w:r w:rsidRPr="00063F59">
        <w:rPr>
          <w:rFonts w:ascii="Times New Roman" w:hAnsi="Times New Roman" w:cs="Times New Roman"/>
          <w:b/>
          <w:sz w:val="20"/>
        </w:rPr>
        <w:t xml:space="preserve">  T5</w:t>
      </w:r>
    </w:p>
    <w:p w14:paraId="4A67E354" w14:textId="61EAD458" w:rsidR="00DE7C15" w:rsidRPr="00C90844" w:rsidRDefault="00063F59" w:rsidP="00DE7C15">
      <w:pPr>
        <w:rPr>
          <w:rFonts w:ascii="Times New Roman" w:hAnsi="Times New Roman" w:cs="Times New Roman"/>
          <w:b/>
          <w:sz w:val="20"/>
          <w14:textOutline w14:w="9525" w14:cap="rnd" w14:cmpd="sng" w14:algn="ctr">
            <w14:solidFill>
              <w14:schemeClr w14:val="accent6">
                <w14:lumMod w14:val="50000"/>
              </w14:schemeClr>
            </w14:solidFill>
            <w14:prstDash w14:val="solid"/>
            <w14:bevel/>
          </w14:textOutline>
        </w:rPr>
      </w:pPr>
      <w:r w:rsidRPr="00063F59">
        <w:rPr>
          <w:rFonts w:ascii="Times New Roman" w:hAnsi="Times New Roman" w:cs="Times New Roman"/>
          <w:b/>
          <w:sz w:val="20"/>
        </w:rPr>
        <w:t>Formation</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IPO</w:t>
      </w:r>
      <w:r w:rsidR="00DE7C15" w:rsidRPr="00063F59">
        <w:rPr>
          <w:rFonts w:ascii="Times New Roman" w:hAnsi="Times New Roman" w:cs="Times New Roman"/>
          <w:b/>
          <w:sz w:val="20"/>
        </w:rPr>
        <w:t xml:space="preserve"> </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w:t>
      </w:r>
      <w:r>
        <w:rPr>
          <w:rFonts w:ascii="Times New Roman" w:hAnsi="Times New Roman" w:cs="Times New Roman"/>
          <w:b/>
          <w:sz w:val="20"/>
        </w:rPr>
        <w:tab/>
      </w:r>
      <w:r w:rsidR="008D65E5">
        <w:rPr>
          <w:rFonts w:ascii="Times New Roman" w:hAnsi="Times New Roman" w:cs="Times New Roman"/>
          <w:b/>
          <w:sz w:val="20"/>
        </w:rPr>
        <w:t xml:space="preserve">    </w:t>
      </w:r>
      <w:r w:rsidRPr="00063F59">
        <w:rPr>
          <w:rFonts w:ascii="Times New Roman" w:hAnsi="Times New Roman" w:cs="Times New Roman"/>
          <w:b/>
          <w:sz w:val="20"/>
        </w:rPr>
        <w:t>Target Search</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w:t>
      </w:r>
      <w:r>
        <w:rPr>
          <w:rFonts w:ascii="Times New Roman" w:hAnsi="Times New Roman" w:cs="Times New Roman"/>
          <w:b/>
          <w:sz w:val="20"/>
        </w:rPr>
        <w:tab/>
      </w:r>
      <w:r w:rsidRPr="00063F59">
        <w:rPr>
          <w:rFonts w:ascii="Times New Roman" w:hAnsi="Times New Roman" w:cs="Times New Roman"/>
          <w:b/>
          <w:sz w:val="20"/>
        </w:rPr>
        <w:t xml:space="preserve"> </w:t>
      </w:r>
      <w:r w:rsidR="008D65E5">
        <w:rPr>
          <w:rFonts w:ascii="Times New Roman" w:hAnsi="Times New Roman" w:cs="Times New Roman"/>
          <w:b/>
          <w:sz w:val="20"/>
        </w:rPr>
        <w:t xml:space="preserve"> </w:t>
      </w:r>
      <w:r w:rsidRPr="00063F59">
        <w:rPr>
          <w:rFonts w:ascii="Times New Roman" w:hAnsi="Times New Roman" w:cs="Times New Roman"/>
          <w:b/>
          <w:sz w:val="20"/>
        </w:rPr>
        <w:t>Vote</w:t>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r>
      <w:r w:rsidRPr="00063F59">
        <w:rPr>
          <w:rFonts w:ascii="Times New Roman" w:hAnsi="Times New Roman" w:cs="Times New Roman"/>
          <w:b/>
          <w:sz w:val="20"/>
        </w:rPr>
        <w:tab/>
        <w:t xml:space="preserve">   </w:t>
      </w:r>
      <w:r>
        <w:rPr>
          <w:rFonts w:ascii="Times New Roman" w:hAnsi="Times New Roman" w:cs="Times New Roman"/>
          <w:b/>
          <w:sz w:val="20"/>
        </w:rPr>
        <w:t xml:space="preserve"> </w:t>
      </w:r>
      <w:r w:rsidRPr="00063F59">
        <w:rPr>
          <w:rFonts w:ascii="Times New Roman" w:hAnsi="Times New Roman" w:cs="Times New Roman"/>
          <w:b/>
          <w:sz w:val="20"/>
        </w:rPr>
        <w:t>Close</w:t>
      </w:r>
      <w:r w:rsidRPr="00063F59">
        <w:rPr>
          <w:rFonts w:ascii="Times New Roman" w:hAnsi="Times New Roman" w:cs="Times New Roman"/>
          <w:b/>
          <w:sz w:val="20"/>
        </w:rPr>
        <w:tab/>
      </w:r>
    </w:p>
    <w:p w14:paraId="7E0ABA8B" w14:textId="0BD60CF7" w:rsidR="00D913C8" w:rsidRPr="00D929ED" w:rsidRDefault="00DE7C15" w:rsidP="00D929ED">
      <w:pPr>
        <w:spacing w:after="0" w:line="240" w:lineRule="auto"/>
        <w:jc w:val="both"/>
        <w:rPr>
          <w:rFonts w:ascii="Times New Roman" w:hAnsi="Times New Roman" w:cs="Times New Roman"/>
          <w:b/>
          <w:sz w:val="20"/>
          <w:szCs w:val="20"/>
          <w:u w:val="single"/>
        </w:rPr>
      </w:pPr>
      <w:r w:rsidRPr="00D929ED">
        <w:rPr>
          <w:rFonts w:ascii="Times New Roman" w:hAnsi="Times New Roman" w:cs="Times New Roman"/>
          <w:b/>
          <w:sz w:val="20"/>
          <w:szCs w:val="20"/>
          <w:u w:val="single"/>
        </w:rPr>
        <w:t>T1</w:t>
      </w:r>
      <w:r w:rsidR="00D913C8" w:rsidRPr="00D929ED">
        <w:rPr>
          <w:rFonts w:ascii="Times New Roman" w:hAnsi="Times New Roman" w:cs="Times New Roman"/>
          <w:b/>
          <w:sz w:val="20"/>
          <w:szCs w:val="20"/>
          <w:u w:val="single"/>
        </w:rPr>
        <w:t xml:space="preserve">: </w:t>
      </w:r>
      <w:r w:rsidR="00D929ED" w:rsidRPr="00D929ED">
        <w:rPr>
          <w:rFonts w:ascii="Times New Roman" w:hAnsi="Times New Roman" w:cs="Times New Roman"/>
          <w:b/>
          <w:sz w:val="20"/>
          <w:szCs w:val="20"/>
          <w:u w:val="single"/>
        </w:rPr>
        <w:t xml:space="preserve">SPAC </w:t>
      </w:r>
      <w:r w:rsidRPr="00D929ED">
        <w:rPr>
          <w:rFonts w:ascii="Times New Roman" w:hAnsi="Times New Roman" w:cs="Times New Roman"/>
          <w:b/>
          <w:sz w:val="20"/>
          <w:szCs w:val="20"/>
          <w:u w:val="single"/>
        </w:rPr>
        <w:t>Formation</w:t>
      </w:r>
    </w:p>
    <w:p w14:paraId="47F8CD45" w14:textId="7329E8DA" w:rsidR="00D913C8" w:rsidRPr="00D929ED" w:rsidRDefault="00D913C8" w:rsidP="00D929ED">
      <w:pPr>
        <w:spacing w:after="0" w:line="240" w:lineRule="auto"/>
        <w:jc w:val="both"/>
        <w:rPr>
          <w:rFonts w:ascii="Times New Roman" w:hAnsi="Times New Roman" w:cs="Times New Roman"/>
          <w:b/>
          <w:sz w:val="20"/>
          <w:szCs w:val="20"/>
        </w:rPr>
      </w:pPr>
      <w:r w:rsidRPr="00D929ED">
        <w:rPr>
          <w:rFonts w:ascii="Times New Roman" w:hAnsi="Times New Roman" w:cs="Times New Roman"/>
          <w:color w:val="221E1F"/>
          <w:sz w:val="20"/>
          <w:szCs w:val="20"/>
        </w:rPr>
        <w:t>The sponsor, and often its management team, launches a SPAC by paying a nominal amount for an equity stake in the SPAC</w:t>
      </w:r>
      <w:r w:rsidR="00D929ED" w:rsidRPr="00D929ED">
        <w:rPr>
          <w:rFonts w:ascii="Times New Roman" w:hAnsi="Times New Roman" w:cs="Times New Roman"/>
          <w:color w:val="221E1F"/>
          <w:sz w:val="20"/>
          <w:szCs w:val="20"/>
        </w:rPr>
        <w:t xml:space="preserve"> (approximately 20 percent of the stock in the SPAC after its IPO),</w:t>
      </w:r>
      <w:r w:rsidRPr="00D929ED">
        <w:rPr>
          <w:rFonts w:ascii="Times New Roman" w:hAnsi="Times New Roman" w:cs="Times New Roman"/>
          <w:color w:val="221E1F"/>
          <w:sz w:val="20"/>
          <w:szCs w:val="20"/>
        </w:rPr>
        <w:t xml:space="preserve"> which is often referred to as “founders’ stock” or the “promote.” The founders’ stock is intended to compensate the initial investors for identifying a promising target and consummating a merger. The SPAC selects legal counsel and underwriters and establishes its governing documents.</w:t>
      </w:r>
      <w:r w:rsidR="00DE7C15" w:rsidRPr="00D929ED">
        <w:rPr>
          <w:rFonts w:ascii="Times New Roman" w:hAnsi="Times New Roman" w:cs="Times New Roman"/>
          <w:b/>
          <w:sz w:val="20"/>
          <w:szCs w:val="20"/>
        </w:rPr>
        <w:tab/>
      </w:r>
    </w:p>
    <w:p w14:paraId="690741A4" w14:textId="77777777" w:rsidR="00D913C8" w:rsidRPr="00D929ED" w:rsidRDefault="00D913C8" w:rsidP="00D929ED">
      <w:pPr>
        <w:spacing w:after="0" w:line="240" w:lineRule="auto"/>
        <w:jc w:val="both"/>
        <w:rPr>
          <w:rFonts w:ascii="Times New Roman" w:hAnsi="Times New Roman" w:cs="Times New Roman"/>
          <w:b/>
          <w:sz w:val="20"/>
          <w:szCs w:val="20"/>
        </w:rPr>
      </w:pPr>
    </w:p>
    <w:p w14:paraId="500D3344" w14:textId="180C9BC5" w:rsidR="00D913C8" w:rsidRPr="00D929ED" w:rsidRDefault="00D913C8" w:rsidP="00D929ED">
      <w:pPr>
        <w:spacing w:after="0" w:line="240" w:lineRule="auto"/>
        <w:jc w:val="both"/>
        <w:rPr>
          <w:rFonts w:ascii="Times New Roman" w:hAnsi="Times New Roman" w:cs="Times New Roman"/>
          <w:b/>
          <w:sz w:val="20"/>
          <w:szCs w:val="20"/>
          <w:u w:val="single"/>
        </w:rPr>
      </w:pPr>
      <w:r w:rsidRPr="00D929ED">
        <w:rPr>
          <w:rFonts w:ascii="Times New Roman" w:hAnsi="Times New Roman" w:cs="Times New Roman"/>
          <w:b/>
          <w:sz w:val="20"/>
          <w:szCs w:val="20"/>
          <w:u w:val="single"/>
        </w:rPr>
        <w:t>T2: IPO (Initial Public Offering)</w:t>
      </w:r>
    </w:p>
    <w:p w14:paraId="5EF4C1D9" w14:textId="03A7C992" w:rsidR="000125E1" w:rsidRPr="00D929ED" w:rsidRDefault="00D929ED" w:rsidP="00D929ED">
      <w:pPr>
        <w:spacing w:after="0" w:line="240" w:lineRule="auto"/>
        <w:jc w:val="both"/>
        <w:rPr>
          <w:rFonts w:ascii="Times New Roman" w:hAnsi="Times New Roman" w:cs="Times New Roman"/>
          <w:color w:val="221E1F"/>
          <w:sz w:val="20"/>
          <w:szCs w:val="20"/>
        </w:rPr>
      </w:pPr>
      <w:r w:rsidRPr="00D929ED">
        <w:rPr>
          <w:rFonts w:ascii="Times New Roman" w:hAnsi="Times New Roman" w:cs="Times New Roman"/>
          <w:color w:val="221E1F"/>
          <w:sz w:val="20"/>
          <w:szCs w:val="20"/>
        </w:rPr>
        <w:t>T</w:t>
      </w:r>
      <w:r w:rsidR="00D913C8" w:rsidRPr="00D929ED">
        <w:rPr>
          <w:rFonts w:ascii="Times New Roman" w:hAnsi="Times New Roman" w:cs="Times New Roman"/>
          <w:color w:val="221E1F"/>
          <w:sz w:val="20"/>
          <w:szCs w:val="20"/>
        </w:rPr>
        <w:t xml:space="preserve">he SPAC files an initial registration statement with the SEC and responds to SEC comments. The SPAC then raises capital by issuing units (which individually consist of a common share and a warrant), and the proceeds raised are held in a trust until a target is acquired. After the IPO, the units are separated into shares of common stock and tradable warrants. The warrants are designed to provide additional compensation for the initial investment and are usually exercisable shortly after a merger is consummated. </w:t>
      </w:r>
    </w:p>
    <w:p w14:paraId="24CDC050" w14:textId="42B679E4" w:rsidR="00D929ED" w:rsidRPr="00D929ED" w:rsidRDefault="00D929ED" w:rsidP="00D929ED">
      <w:pPr>
        <w:spacing w:after="0" w:line="240" w:lineRule="auto"/>
        <w:jc w:val="both"/>
        <w:rPr>
          <w:rFonts w:ascii="Times New Roman" w:hAnsi="Times New Roman" w:cs="Times New Roman"/>
          <w:color w:val="221E1F"/>
          <w:sz w:val="20"/>
          <w:szCs w:val="20"/>
        </w:rPr>
      </w:pPr>
    </w:p>
    <w:p w14:paraId="6D6F0906" w14:textId="776E9AE7" w:rsidR="00D929ED" w:rsidRPr="00D929ED" w:rsidRDefault="00D929ED" w:rsidP="00D929ED">
      <w:pPr>
        <w:spacing w:after="0" w:line="240" w:lineRule="auto"/>
        <w:jc w:val="both"/>
        <w:rPr>
          <w:rFonts w:ascii="Times New Roman" w:hAnsi="Times New Roman" w:cs="Times New Roman"/>
          <w:b/>
          <w:color w:val="221E1F"/>
          <w:sz w:val="20"/>
          <w:szCs w:val="20"/>
          <w:u w:val="single"/>
        </w:rPr>
      </w:pPr>
      <w:r w:rsidRPr="00D929ED">
        <w:rPr>
          <w:rFonts w:ascii="Times New Roman" w:hAnsi="Times New Roman" w:cs="Times New Roman"/>
          <w:b/>
          <w:color w:val="221E1F"/>
          <w:sz w:val="20"/>
          <w:szCs w:val="20"/>
          <w:u w:val="single"/>
        </w:rPr>
        <w:t>T3: Target Search</w:t>
      </w:r>
    </w:p>
    <w:p w14:paraId="0B64B88B" w14:textId="37FDA6D2" w:rsidR="00D929ED" w:rsidRPr="00D929ED" w:rsidRDefault="00D929ED" w:rsidP="00D929ED">
      <w:pPr>
        <w:pStyle w:val="Pa2"/>
        <w:spacing w:after="200"/>
        <w:jc w:val="both"/>
        <w:rPr>
          <w:rFonts w:ascii="Times New Roman" w:hAnsi="Times New Roman" w:cs="Times New Roman"/>
          <w:color w:val="221E1F"/>
          <w:sz w:val="20"/>
          <w:szCs w:val="20"/>
        </w:rPr>
      </w:pPr>
      <w:r w:rsidRPr="00D929ED">
        <w:rPr>
          <w:rFonts w:ascii="Times New Roman" w:hAnsi="Times New Roman" w:cs="Times New Roman"/>
          <w:color w:val="221E1F"/>
          <w:sz w:val="20"/>
          <w:szCs w:val="20"/>
        </w:rPr>
        <w:t xml:space="preserve">The search for a suitable acquisition is similar to the process used in a typical M&amp;A transaction, with sponsors vetting potential targets through an accelerated financial, legal, and tax due diligence process. </w:t>
      </w:r>
    </w:p>
    <w:p w14:paraId="397407C3" w14:textId="3B796C95" w:rsidR="00D929ED" w:rsidRPr="00D929ED" w:rsidRDefault="00D929ED" w:rsidP="00D929ED">
      <w:pPr>
        <w:spacing w:after="0" w:line="240" w:lineRule="auto"/>
        <w:jc w:val="both"/>
        <w:rPr>
          <w:rFonts w:ascii="Times New Roman" w:hAnsi="Times New Roman" w:cs="Times New Roman"/>
          <w:b/>
          <w:color w:val="221E1F"/>
          <w:sz w:val="20"/>
          <w:szCs w:val="20"/>
          <w:u w:val="single"/>
        </w:rPr>
      </w:pPr>
      <w:r w:rsidRPr="00D929ED">
        <w:rPr>
          <w:rFonts w:ascii="Times New Roman" w:hAnsi="Times New Roman" w:cs="Times New Roman"/>
          <w:b/>
          <w:color w:val="221E1F"/>
          <w:sz w:val="20"/>
          <w:szCs w:val="20"/>
          <w:u w:val="single"/>
        </w:rPr>
        <w:t xml:space="preserve">T4: Shareholder Vote </w:t>
      </w:r>
    </w:p>
    <w:p w14:paraId="6FCD8D3C" w14:textId="69D5DEAB" w:rsidR="00D929ED" w:rsidRPr="00D929ED" w:rsidRDefault="00D929ED" w:rsidP="00D929ED">
      <w:pPr>
        <w:spacing w:after="0" w:line="240" w:lineRule="auto"/>
        <w:jc w:val="both"/>
        <w:rPr>
          <w:rFonts w:ascii="Times New Roman" w:hAnsi="Times New Roman" w:cs="Times New Roman"/>
          <w:color w:val="221E1F"/>
          <w:sz w:val="20"/>
          <w:szCs w:val="20"/>
        </w:rPr>
      </w:pPr>
      <w:r w:rsidRPr="00D929ED">
        <w:rPr>
          <w:rFonts w:ascii="Times New Roman" w:hAnsi="Times New Roman" w:cs="Times New Roman"/>
          <w:color w:val="221E1F"/>
          <w:sz w:val="20"/>
          <w:szCs w:val="20"/>
        </w:rPr>
        <w:t>The consummation of a merger (SPAC and private target company) typically requires entities to file a proxy with the SEC, obtain and respond to the SEC’s comments, mail the proxy to the SPAC’s shareholders, and hold a shareholder meeting. The sponsor and other founder shareholders typically commit at founding to vote their interest (generally representing 20 percent) in favor of a transaction, which decreases the number of additional common shares needed to vote in favor of the merger.</w:t>
      </w:r>
    </w:p>
    <w:p w14:paraId="4CCC4533" w14:textId="4F3F3B42" w:rsidR="00D929ED" w:rsidRPr="00D929ED" w:rsidRDefault="00D929ED" w:rsidP="00D929ED">
      <w:pPr>
        <w:spacing w:after="0" w:line="240" w:lineRule="auto"/>
        <w:jc w:val="both"/>
        <w:rPr>
          <w:rFonts w:ascii="Times New Roman" w:hAnsi="Times New Roman" w:cs="Times New Roman"/>
          <w:color w:val="221E1F"/>
          <w:sz w:val="20"/>
          <w:szCs w:val="20"/>
        </w:rPr>
      </w:pPr>
    </w:p>
    <w:p w14:paraId="28458A9B" w14:textId="62F4CE17" w:rsidR="00D929ED" w:rsidRPr="00D929ED" w:rsidRDefault="00D929ED" w:rsidP="00D929ED">
      <w:pPr>
        <w:spacing w:after="0" w:line="240" w:lineRule="auto"/>
        <w:jc w:val="both"/>
        <w:rPr>
          <w:rFonts w:ascii="Times New Roman" w:hAnsi="Times New Roman" w:cs="Times New Roman"/>
          <w:b/>
          <w:color w:val="221E1F"/>
          <w:sz w:val="20"/>
          <w:szCs w:val="20"/>
          <w:u w:val="single"/>
        </w:rPr>
      </w:pPr>
      <w:r w:rsidRPr="00D929ED">
        <w:rPr>
          <w:rFonts w:ascii="Times New Roman" w:hAnsi="Times New Roman" w:cs="Times New Roman"/>
          <w:b/>
          <w:color w:val="221E1F"/>
          <w:sz w:val="20"/>
          <w:szCs w:val="20"/>
          <w:u w:val="single"/>
        </w:rPr>
        <w:t>T5:  Acquisition Close</w:t>
      </w:r>
    </w:p>
    <w:p w14:paraId="5908D934" w14:textId="23AFC16B" w:rsidR="00D929ED" w:rsidRDefault="00D929ED" w:rsidP="00D929ED">
      <w:pPr>
        <w:spacing w:after="0" w:line="240"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T</w:t>
      </w:r>
      <w:r w:rsidRPr="00D929ED">
        <w:rPr>
          <w:rFonts w:ascii="Times New Roman" w:hAnsi="Times New Roman" w:cs="Times New Roman"/>
          <w:color w:val="221E1F"/>
          <w:sz w:val="20"/>
          <w:szCs w:val="20"/>
        </w:rPr>
        <w:t>he target acquisition close</w:t>
      </w:r>
      <w:r>
        <w:rPr>
          <w:rFonts w:ascii="Times New Roman" w:hAnsi="Times New Roman" w:cs="Times New Roman"/>
          <w:color w:val="221E1F"/>
          <w:sz w:val="20"/>
          <w:szCs w:val="20"/>
        </w:rPr>
        <w:t>s</w:t>
      </w:r>
      <w:r w:rsidRPr="00D929ED">
        <w:rPr>
          <w:rFonts w:ascii="Times New Roman" w:hAnsi="Times New Roman" w:cs="Times New Roman"/>
          <w:color w:val="221E1F"/>
          <w:sz w:val="20"/>
          <w:szCs w:val="20"/>
        </w:rPr>
        <w:t xml:space="preserve"> by merging into the SPAC and becomes a publicly traded entity. A Super 8-K must be filed within four days of the acquisition and must contain substantially the same information that would be required in a registration statement for companies that go through a traditional IPO. Further, the sponsor’s founders’ shares a</w:t>
      </w:r>
      <w:r w:rsidR="00063F59">
        <w:rPr>
          <w:rFonts w:ascii="Times New Roman" w:hAnsi="Times New Roman" w:cs="Times New Roman"/>
          <w:color w:val="221E1F"/>
          <w:sz w:val="20"/>
          <w:szCs w:val="20"/>
        </w:rPr>
        <w:t xml:space="preserve">nd warrants are locked up, typically for a year </w:t>
      </w:r>
      <w:r w:rsidRPr="00D929ED">
        <w:rPr>
          <w:rFonts w:ascii="Times New Roman" w:hAnsi="Times New Roman" w:cs="Times New Roman"/>
          <w:color w:val="221E1F"/>
          <w:sz w:val="20"/>
          <w:szCs w:val="20"/>
        </w:rPr>
        <w:t xml:space="preserve">(the “lock-up period”) starting from the date of the Super 8-K filing. </w:t>
      </w:r>
    </w:p>
    <w:p w14:paraId="289BE749" w14:textId="785605DA" w:rsidR="00302620" w:rsidRDefault="00302620" w:rsidP="00D929ED">
      <w:pPr>
        <w:spacing w:after="0" w:line="240" w:lineRule="auto"/>
        <w:jc w:val="both"/>
        <w:rPr>
          <w:rFonts w:ascii="Times New Roman" w:hAnsi="Times New Roman" w:cs="Times New Roman"/>
          <w:color w:val="221E1F"/>
          <w:sz w:val="20"/>
          <w:szCs w:val="20"/>
        </w:rPr>
      </w:pPr>
    </w:p>
    <w:p w14:paraId="585F900E" w14:textId="615875D2" w:rsidR="00302620" w:rsidRPr="00302620" w:rsidRDefault="00302620" w:rsidP="00302620">
      <w:pPr>
        <w:pStyle w:val="Default"/>
        <w:rPr>
          <w:rFonts w:ascii="Times New Roman" w:eastAsia="Times New Roman" w:hAnsi="Times New Roman" w:cs="Times New Roman"/>
          <w:bCs/>
          <w:kern w:val="36"/>
          <w:sz w:val="20"/>
          <w:szCs w:val="22"/>
        </w:rPr>
        <w:sectPr w:rsidR="00302620" w:rsidRPr="00302620" w:rsidSect="000125E1">
          <w:footerReference w:type="default" r:id="rId27"/>
          <w:pgSz w:w="15840" w:h="12240" w:orient="landscape" w:code="1"/>
          <w:pgMar w:top="1440" w:right="1440" w:bottom="1440" w:left="1440" w:header="720" w:footer="720" w:gutter="0"/>
          <w:cols w:space="720"/>
          <w:docGrid w:linePitch="360"/>
        </w:sectPr>
      </w:pPr>
      <w:r>
        <w:rPr>
          <w:rFonts w:ascii="Times New Roman" w:hAnsi="Times New Roman" w:cs="Times New Roman"/>
          <w:color w:val="221E1F"/>
          <w:sz w:val="20"/>
          <w:szCs w:val="20"/>
        </w:rPr>
        <w:t xml:space="preserve">Source: </w:t>
      </w:r>
      <w:r w:rsidRPr="00302620">
        <w:rPr>
          <w:rFonts w:ascii="Times New Roman" w:hAnsi="Times New Roman" w:cs="Times New Roman"/>
          <w:color w:val="221E1F"/>
          <w:sz w:val="20"/>
          <w:szCs w:val="22"/>
        </w:rPr>
        <w:t>Private-Company CFO Considerations for SPAC Transactions</w:t>
      </w:r>
      <w:r>
        <w:rPr>
          <w:rFonts w:ascii="Times New Roman" w:hAnsi="Times New Roman" w:cs="Times New Roman"/>
          <w:color w:val="221E1F"/>
          <w:sz w:val="20"/>
          <w:szCs w:val="22"/>
        </w:rPr>
        <w:t xml:space="preserve"> (Deloitte 2020)</w:t>
      </w:r>
    </w:p>
    <w:tbl>
      <w:tblPr>
        <w:tblW w:w="9300" w:type="dxa"/>
        <w:tblLook w:val="04A0" w:firstRow="1" w:lastRow="0" w:firstColumn="1" w:lastColumn="0" w:noHBand="0" w:noVBand="1"/>
      </w:tblPr>
      <w:tblGrid>
        <w:gridCol w:w="6300"/>
        <w:gridCol w:w="1500"/>
        <w:gridCol w:w="1500"/>
      </w:tblGrid>
      <w:tr w:rsidR="00407CA7" w:rsidRPr="004268BB" w14:paraId="3E100405" w14:textId="77777777" w:rsidTr="00675823">
        <w:trPr>
          <w:trHeight w:val="259"/>
        </w:trPr>
        <w:tc>
          <w:tcPr>
            <w:tcW w:w="6300" w:type="dxa"/>
            <w:tcBorders>
              <w:top w:val="nil"/>
              <w:left w:val="nil"/>
              <w:bottom w:val="nil"/>
              <w:right w:val="nil"/>
            </w:tcBorders>
            <w:shd w:val="clear" w:color="auto" w:fill="auto"/>
            <w:noWrap/>
            <w:vAlign w:val="bottom"/>
            <w:hideMark/>
          </w:tcPr>
          <w:p w14:paraId="2AA13676" w14:textId="77777777" w:rsidR="00407CA7" w:rsidRPr="004268BB" w:rsidRDefault="00407CA7" w:rsidP="00675823">
            <w:pPr>
              <w:spacing w:after="0" w:line="240" w:lineRule="auto"/>
              <w:rPr>
                <w:rFonts w:ascii="Times New Roman" w:eastAsia="Times New Roman" w:hAnsi="Times New Roman" w:cs="Times New Roman"/>
                <w:b/>
                <w:bCs/>
                <w:color w:val="000000"/>
                <w:szCs w:val="24"/>
              </w:rPr>
            </w:pPr>
            <w:r w:rsidRPr="004268BB">
              <w:rPr>
                <w:rFonts w:ascii="Times New Roman" w:eastAsia="Times New Roman" w:hAnsi="Times New Roman" w:cs="Times New Roman"/>
                <w:b/>
                <w:bCs/>
                <w:color w:val="000000"/>
                <w:szCs w:val="24"/>
              </w:rPr>
              <w:lastRenderedPageBreak/>
              <w:t>Table 1</w:t>
            </w:r>
          </w:p>
        </w:tc>
        <w:tc>
          <w:tcPr>
            <w:tcW w:w="1500" w:type="dxa"/>
            <w:tcBorders>
              <w:top w:val="nil"/>
              <w:left w:val="nil"/>
              <w:bottom w:val="nil"/>
              <w:right w:val="nil"/>
            </w:tcBorders>
            <w:shd w:val="clear" w:color="auto" w:fill="auto"/>
            <w:noWrap/>
            <w:vAlign w:val="bottom"/>
            <w:hideMark/>
          </w:tcPr>
          <w:p w14:paraId="05B3280F" w14:textId="77777777" w:rsidR="00407CA7" w:rsidRPr="004268BB" w:rsidRDefault="00407CA7" w:rsidP="00675823">
            <w:pPr>
              <w:spacing w:after="0" w:line="240" w:lineRule="auto"/>
              <w:rPr>
                <w:rFonts w:ascii="Times New Roman" w:eastAsia="Times New Roman" w:hAnsi="Times New Roman" w:cs="Times New Roman"/>
                <w:b/>
                <w:bCs/>
                <w:color w:val="000000"/>
                <w:szCs w:val="24"/>
              </w:rPr>
            </w:pPr>
          </w:p>
        </w:tc>
        <w:tc>
          <w:tcPr>
            <w:tcW w:w="1500" w:type="dxa"/>
            <w:tcBorders>
              <w:top w:val="nil"/>
              <w:left w:val="nil"/>
              <w:bottom w:val="nil"/>
              <w:right w:val="nil"/>
            </w:tcBorders>
            <w:shd w:val="clear" w:color="auto" w:fill="auto"/>
            <w:noWrap/>
            <w:vAlign w:val="bottom"/>
            <w:hideMark/>
          </w:tcPr>
          <w:p w14:paraId="45147D19" w14:textId="77777777" w:rsidR="00407CA7" w:rsidRPr="004268BB" w:rsidRDefault="00407CA7" w:rsidP="00675823">
            <w:pPr>
              <w:spacing w:after="0" w:line="240" w:lineRule="auto"/>
              <w:rPr>
                <w:rFonts w:ascii="Times New Roman" w:eastAsia="Times New Roman" w:hAnsi="Times New Roman" w:cs="Times New Roman"/>
                <w:szCs w:val="24"/>
              </w:rPr>
            </w:pPr>
          </w:p>
        </w:tc>
      </w:tr>
      <w:tr w:rsidR="00407CA7" w:rsidRPr="004268BB" w14:paraId="392E5DDF" w14:textId="77777777" w:rsidTr="00675823">
        <w:trPr>
          <w:trHeight w:val="259"/>
        </w:trPr>
        <w:tc>
          <w:tcPr>
            <w:tcW w:w="6300" w:type="dxa"/>
            <w:tcBorders>
              <w:top w:val="nil"/>
              <w:left w:val="nil"/>
              <w:bottom w:val="single" w:sz="12" w:space="0" w:color="auto"/>
              <w:right w:val="nil"/>
            </w:tcBorders>
            <w:shd w:val="clear" w:color="auto" w:fill="auto"/>
            <w:noWrap/>
            <w:vAlign w:val="bottom"/>
            <w:hideMark/>
          </w:tcPr>
          <w:p w14:paraId="077708CA" w14:textId="77777777" w:rsidR="00407CA7"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xml:space="preserve">Sample </w:t>
            </w:r>
            <w:r>
              <w:rPr>
                <w:rFonts w:ascii="Times New Roman" w:eastAsia="Times New Roman" w:hAnsi="Times New Roman" w:cs="Times New Roman"/>
                <w:color w:val="000000"/>
                <w:szCs w:val="24"/>
              </w:rPr>
              <w:t>D</w:t>
            </w:r>
            <w:r w:rsidRPr="004268BB">
              <w:rPr>
                <w:rFonts w:ascii="Times New Roman" w:eastAsia="Times New Roman" w:hAnsi="Times New Roman" w:cs="Times New Roman"/>
                <w:color w:val="000000"/>
                <w:szCs w:val="24"/>
              </w:rPr>
              <w:t xml:space="preserve">istribution of </w:t>
            </w:r>
            <w:r>
              <w:rPr>
                <w:rFonts w:ascii="Times New Roman" w:eastAsia="Times New Roman" w:hAnsi="Times New Roman" w:cs="Times New Roman"/>
                <w:color w:val="000000"/>
                <w:szCs w:val="24"/>
              </w:rPr>
              <w:t xml:space="preserve">the </w:t>
            </w:r>
            <w:r w:rsidRPr="004268BB">
              <w:rPr>
                <w:rFonts w:ascii="Times New Roman" w:eastAsia="Times New Roman" w:hAnsi="Times New Roman" w:cs="Times New Roman"/>
                <w:color w:val="000000"/>
                <w:szCs w:val="24"/>
              </w:rPr>
              <w:t>145 SPAC-IPO</w:t>
            </w:r>
            <w:r>
              <w:rPr>
                <w:rFonts w:ascii="Times New Roman" w:eastAsia="Times New Roman" w:hAnsi="Times New Roman" w:cs="Times New Roman"/>
                <w:color w:val="000000"/>
                <w:szCs w:val="24"/>
              </w:rPr>
              <w:t xml:space="preserve"> firms</w:t>
            </w:r>
            <w:r w:rsidRPr="004268BB">
              <w:rPr>
                <w:rFonts w:ascii="Times New Roman" w:eastAsia="Times New Roman" w:hAnsi="Times New Roman" w:cs="Times New Roman"/>
                <w:color w:val="000000"/>
                <w:szCs w:val="24"/>
              </w:rPr>
              <w:t>.</w:t>
            </w:r>
          </w:p>
          <w:p w14:paraId="7C98E01B" w14:textId="77777777" w:rsidR="00407CA7" w:rsidRPr="004268BB" w:rsidRDefault="00407CA7" w:rsidP="00675823">
            <w:pPr>
              <w:spacing w:after="0" w:line="240" w:lineRule="auto"/>
              <w:rPr>
                <w:rFonts w:ascii="Times New Roman" w:eastAsia="Times New Roman" w:hAnsi="Times New Roman" w:cs="Times New Roman"/>
                <w:color w:val="000000"/>
                <w:szCs w:val="24"/>
              </w:rPr>
            </w:pPr>
          </w:p>
        </w:tc>
        <w:tc>
          <w:tcPr>
            <w:tcW w:w="1500" w:type="dxa"/>
            <w:tcBorders>
              <w:top w:val="nil"/>
              <w:left w:val="nil"/>
              <w:bottom w:val="single" w:sz="12" w:space="0" w:color="auto"/>
              <w:right w:val="nil"/>
            </w:tcBorders>
            <w:shd w:val="clear" w:color="auto" w:fill="auto"/>
            <w:noWrap/>
            <w:vAlign w:val="bottom"/>
            <w:hideMark/>
          </w:tcPr>
          <w:p w14:paraId="0FDA6AE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w:t>
            </w:r>
          </w:p>
        </w:tc>
        <w:tc>
          <w:tcPr>
            <w:tcW w:w="1500" w:type="dxa"/>
            <w:tcBorders>
              <w:top w:val="nil"/>
              <w:left w:val="nil"/>
              <w:bottom w:val="single" w:sz="12" w:space="0" w:color="auto"/>
              <w:right w:val="nil"/>
            </w:tcBorders>
            <w:shd w:val="clear" w:color="auto" w:fill="auto"/>
            <w:noWrap/>
            <w:vAlign w:val="bottom"/>
            <w:hideMark/>
          </w:tcPr>
          <w:p w14:paraId="494362B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w:t>
            </w:r>
          </w:p>
        </w:tc>
      </w:tr>
      <w:tr w:rsidR="00407CA7" w:rsidRPr="004268BB" w14:paraId="7B41C238" w14:textId="77777777" w:rsidTr="00675823">
        <w:trPr>
          <w:trHeight w:val="259"/>
        </w:trPr>
        <w:tc>
          <w:tcPr>
            <w:tcW w:w="6300" w:type="dxa"/>
            <w:tcBorders>
              <w:top w:val="single" w:sz="12" w:space="0" w:color="auto"/>
              <w:left w:val="nil"/>
              <w:bottom w:val="single" w:sz="12" w:space="0" w:color="auto"/>
              <w:right w:val="nil"/>
            </w:tcBorders>
            <w:shd w:val="clear" w:color="auto" w:fill="auto"/>
            <w:vAlign w:val="bottom"/>
            <w:hideMark/>
          </w:tcPr>
          <w:p w14:paraId="42D3FC9E"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xml:space="preserve">Panel A: Year </w:t>
            </w:r>
            <w:r>
              <w:rPr>
                <w:rFonts w:ascii="Times New Roman" w:eastAsia="Times New Roman" w:hAnsi="Times New Roman" w:cs="Times New Roman"/>
                <w:color w:val="000000"/>
                <w:szCs w:val="24"/>
              </w:rPr>
              <w:t>firms go public via SPAC-IPO</w:t>
            </w:r>
          </w:p>
        </w:tc>
        <w:tc>
          <w:tcPr>
            <w:tcW w:w="1500" w:type="dxa"/>
            <w:tcBorders>
              <w:top w:val="single" w:sz="12" w:space="0" w:color="auto"/>
              <w:left w:val="nil"/>
              <w:bottom w:val="single" w:sz="12" w:space="0" w:color="auto"/>
              <w:right w:val="nil"/>
            </w:tcBorders>
            <w:shd w:val="clear" w:color="auto" w:fill="auto"/>
            <w:vAlign w:val="bottom"/>
            <w:hideMark/>
          </w:tcPr>
          <w:p w14:paraId="598F139C"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Frequency</w:t>
            </w:r>
          </w:p>
        </w:tc>
        <w:tc>
          <w:tcPr>
            <w:tcW w:w="1500" w:type="dxa"/>
            <w:tcBorders>
              <w:top w:val="single" w:sz="12" w:space="0" w:color="auto"/>
              <w:left w:val="nil"/>
              <w:bottom w:val="single" w:sz="12" w:space="0" w:color="auto"/>
              <w:right w:val="nil"/>
            </w:tcBorders>
            <w:shd w:val="clear" w:color="auto" w:fill="auto"/>
            <w:vAlign w:val="bottom"/>
            <w:hideMark/>
          </w:tcPr>
          <w:p w14:paraId="60F03C2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Percent</w:t>
            </w:r>
          </w:p>
        </w:tc>
      </w:tr>
      <w:tr w:rsidR="00407CA7" w:rsidRPr="004268BB" w14:paraId="1ACCA3DE" w14:textId="77777777" w:rsidTr="00675823">
        <w:trPr>
          <w:trHeight w:val="259"/>
        </w:trPr>
        <w:tc>
          <w:tcPr>
            <w:tcW w:w="6300" w:type="dxa"/>
            <w:tcBorders>
              <w:top w:val="single" w:sz="12" w:space="0" w:color="auto"/>
              <w:left w:val="nil"/>
              <w:bottom w:val="nil"/>
              <w:right w:val="nil"/>
            </w:tcBorders>
            <w:shd w:val="clear" w:color="auto" w:fill="auto"/>
            <w:hideMark/>
          </w:tcPr>
          <w:p w14:paraId="24C4D4CF"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2010</w:t>
            </w:r>
          </w:p>
        </w:tc>
        <w:tc>
          <w:tcPr>
            <w:tcW w:w="1500" w:type="dxa"/>
            <w:tcBorders>
              <w:top w:val="single" w:sz="12" w:space="0" w:color="auto"/>
              <w:left w:val="nil"/>
              <w:bottom w:val="nil"/>
              <w:right w:val="nil"/>
            </w:tcBorders>
            <w:shd w:val="clear" w:color="auto" w:fill="auto"/>
            <w:hideMark/>
          </w:tcPr>
          <w:p w14:paraId="2E24C36B"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single" w:sz="12" w:space="0" w:color="auto"/>
              <w:left w:val="nil"/>
              <w:bottom w:val="nil"/>
              <w:right w:val="nil"/>
            </w:tcBorders>
            <w:shd w:val="clear" w:color="auto" w:fill="auto"/>
            <w:hideMark/>
          </w:tcPr>
          <w:p w14:paraId="5369BEE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2DE2930B" w14:textId="77777777" w:rsidTr="00675823">
        <w:trPr>
          <w:trHeight w:val="259"/>
        </w:trPr>
        <w:tc>
          <w:tcPr>
            <w:tcW w:w="6300" w:type="dxa"/>
            <w:tcBorders>
              <w:top w:val="nil"/>
              <w:left w:val="nil"/>
              <w:bottom w:val="nil"/>
              <w:right w:val="nil"/>
            </w:tcBorders>
            <w:shd w:val="clear" w:color="auto" w:fill="auto"/>
            <w:hideMark/>
          </w:tcPr>
          <w:p w14:paraId="37B7453B"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2011</w:t>
            </w:r>
          </w:p>
        </w:tc>
        <w:tc>
          <w:tcPr>
            <w:tcW w:w="1500" w:type="dxa"/>
            <w:tcBorders>
              <w:top w:val="nil"/>
              <w:left w:val="nil"/>
              <w:bottom w:val="nil"/>
              <w:right w:val="nil"/>
            </w:tcBorders>
            <w:shd w:val="clear" w:color="auto" w:fill="auto"/>
            <w:hideMark/>
          </w:tcPr>
          <w:p w14:paraId="0CE7AA2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2E7732B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22922F59" w14:textId="77777777" w:rsidTr="00675823">
        <w:trPr>
          <w:trHeight w:val="259"/>
        </w:trPr>
        <w:tc>
          <w:tcPr>
            <w:tcW w:w="6300" w:type="dxa"/>
            <w:tcBorders>
              <w:top w:val="nil"/>
              <w:left w:val="nil"/>
              <w:bottom w:val="nil"/>
              <w:right w:val="nil"/>
            </w:tcBorders>
            <w:shd w:val="clear" w:color="auto" w:fill="auto"/>
            <w:hideMark/>
          </w:tcPr>
          <w:p w14:paraId="682FD5AD"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2012</w:t>
            </w:r>
          </w:p>
        </w:tc>
        <w:tc>
          <w:tcPr>
            <w:tcW w:w="1500" w:type="dxa"/>
            <w:tcBorders>
              <w:top w:val="nil"/>
              <w:left w:val="nil"/>
              <w:bottom w:val="nil"/>
              <w:right w:val="nil"/>
            </w:tcBorders>
            <w:shd w:val="clear" w:color="auto" w:fill="auto"/>
            <w:hideMark/>
          </w:tcPr>
          <w:p w14:paraId="0E252F0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5</w:t>
            </w:r>
          </w:p>
        </w:tc>
        <w:tc>
          <w:tcPr>
            <w:tcW w:w="1500" w:type="dxa"/>
            <w:tcBorders>
              <w:top w:val="nil"/>
              <w:left w:val="nil"/>
              <w:bottom w:val="nil"/>
              <w:right w:val="nil"/>
            </w:tcBorders>
            <w:shd w:val="clear" w:color="auto" w:fill="auto"/>
            <w:hideMark/>
          </w:tcPr>
          <w:p w14:paraId="438A0FE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3.5</w:t>
            </w:r>
          </w:p>
        </w:tc>
      </w:tr>
      <w:tr w:rsidR="00407CA7" w:rsidRPr="004268BB" w14:paraId="3A147792" w14:textId="77777777" w:rsidTr="00675823">
        <w:trPr>
          <w:trHeight w:val="259"/>
        </w:trPr>
        <w:tc>
          <w:tcPr>
            <w:tcW w:w="6300" w:type="dxa"/>
            <w:tcBorders>
              <w:top w:val="nil"/>
              <w:left w:val="nil"/>
              <w:bottom w:val="nil"/>
              <w:right w:val="nil"/>
            </w:tcBorders>
            <w:shd w:val="clear" w:color="auto" w:fill="auto"/>
            <w:hideMark/>
          </w:tcPr>
          <w:p w14:paraId="5D2F35E8"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2013</w:t>
            </w:r>
          </w:p>
        </w:tc>
        <w:tc>
          <w:tcPr>
            <w:tcW w:w="1500" w:type="dxa"/>
            <w:tcBorders>
              <w:top w:val="nil"/>
              <w:left w:val="nil"/>
              <w:bottom w:val="nil"/>
              <w:right w:val="nil"/>
            </w:tcBorders>
            <w:shd w:val="clear" w:color="auto" w:fill="auto"/>
            <w:hideMark/>
          </w:tcPr>
          <w:p w14:paraId="7733F78B"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9</w:t>
            </w:r>
          </w:p>
        </w:tc>
        <w:tc>
          <w:tcPr>
            <w:tcW w:w="1500" w:type="dxa"/>
            <w:tcBorders>
              <w:top w:val="nil"/>
              <w:left w:val="nil"/>
              <w:bottom w:val="nil"/>
              <w:right w:val="nil"/>
            </w:tcBorders>
            <w:shd w:val="clear" w:color="auto" w:fill="auto"/>
            <w:hideMark/>
          </w:tcPr>
          <w:p w14:paraId="1FAC8FC7"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6.2</w:t>
            </w:r>
          </w:p>
        </w:tc>
      </w:tr>
      <w:tr w:rsidR="00407CA7" w:rsidRPr="004268BB" w14:paraId="50B4B4A0" w14:textId="77777777" w:rsidTr="00675823">
        <w:trPr>
          <w:trHeight w:val="259"/>
        </w:trPr>
        <w:tc>
          <w:tcPr>
            <w:tcW w:w="6300" w:type="dxa"/>
            <w:tcBorders>
              <w:top w:val="nil"/>
              <w:left w:val="nil"/>
              <w:bottom w:val="nil"/>
              <w:right w:val="nil"/>
            </w:tcBorders>
            <w:shd w:val="clear" w:color="auto" w:fill="auto"/>
            <w:hideMark/>
          </w:tcPr>
          <w:p w14:paraId="3E3BF14F"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2014</w:t>
            </w:r>
          </w:p>
        </w:tc>
        <w:tc>
          <w:tcPr>
            <w:tcW w:w="1500" w:type="dxa"/>
            <w:tcBorders>
              <w:top w:val="nil"/>
              <w:left w:val="nil"/>
              <w:bottom w:val="nil"/>
              <w:right w:val="nil"/>
            </w:tcBorders>
            <w:shd w:val="clear" w:color="auto" w:fill="auto"/>
            <w:hideMark/>
          </w:tcPr>
          <w:p w14:paraId="1CA5324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5</w:t>
            </w:r>
          </w:p>
        </w:tc>
        <w:tc>
          <w:tcPr>
            <w:tcW w:w="1500" w:type="dxa"/>
            <w:tcBorders>
              <w:top w:val="nil"/>
              <w:left w:val="nil"/>
              <w:bottom w:val="nil"/>
              <w:right w:val="nil"/>
            </w:tcBorders>
            <w:shd w:val="clear" w:color="auto" w:fill="auto"/>
            <w:hideMark/>
          </w:tcPr>
          <w:p w14:paraId="08877C35"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3.5</w:t>
            </w:r>
          </w:p>
        </w:tc>
      </w:tr>
      <w:tr w:rsidR="00407CA7" w:rsidRPr="004268BB" w14:paraId="0C7F938F" w14:textId="77777777" w:rsidTr="00675823">
        <w:trPr>
          <w:trHeight w:val="259"/>
        </w:trPr>
        <w:tc>
          <w:tcPr>
            <w:tcW w:w="6300" w:type="dxa"/>
            <w:tcBorders>
              <w:top w:val="nil"/>
              <w:left w:val="nil"/>
              <w:bottom w:val="nil"/>
              <w:right w:val="nil"/>
            </w:tcBorders>
            <w:shd w:val="clear" w:color="auto" w:fill="auto"/>
            <w:hideMark/>
          </w:tcPr>
          <w:p w14:paraId="3F8240E1"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2015</w:t>
            </w:r>
          </w:p>
        </w:tc>
        <w:tc>
          <w:tcPr>
            <w:tcW w:w="1500" w:type="dxa"/>
            <w:tcBorders>
              <w:top w:val="nil"/>
              <w:left w:val="nil"/>
              <w:bottom w:val="nil"/>
              <w:right w:val="nil"/>
            </w:tcBorders>
            <w:shd w:val="clear" w:color="auto" w:fill="auto"/>
            <w:hideMark/>
          </w:tcPr>
          <w:p w14:paraId="02FFE10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10</w:t>
            </w:r>
          </w:p>
        </w:tc>
        <w:tc>
          <w:tcPr>
            <w:tcW w:w="1500" w:type="dxa"/>
            <w:tcBorders>
              <w:top w:val="nil"/>
              <w:left w:val="nil"/>
              <w:bottom w:val="nil"/>
              <w:right w:val="nil"/>
            </w:tcBorders>
            <w:shd w:val="clear" w:color="auto" w:fill="auto"/>
            <w:hideMark/>
          </w:tcPr>
          <w:p w14:paraId="2D6811CC"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6.9</w:t>
            </w:r>
          </w:p>
        </w:tc>
      </w:tr>
      <w:tr w:rsidR="00407CA7" w:rsidRPr="004268BB" w14:paraId="22318DC5" w14:textId="77777777" w:rsidTr="00675823">
        <w:trPr>
          <w:trHeight w:val="259"/>
        </w:trPr>
        <w:tc>
          <w:tcPr>
            <w:tcW w:w="6300" w:type="dxa"/>
            <w:tcBorders>
              <w:top w:val="nil"/>
              <w:left w:val="nil"/>
              <w:bottom w:val="nil"/>
              <w:right w:val="nil"/>
            </w:tcBorders>
            <w:shd w:val="clear" w:color="auto" w:fill="auto"/>
            <w:hideMark/>
          </w:tcPr>
          <w:p w14:paraId="154C944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2016</w:t>
            </w:r>
          </w:p>
        </w:tc>
        <w:tc>
          <w:tcPr>
            <w:tcW w:w="1500" w:type="dxa"/>
            <w:tcBorders>
              <w:top w:val="nil"/>
              <w:left w:val="nil"/>
              <w:bottom w:val="nil"/>
              <w:right w:val="nil"/>
            </w:tcBorders>
            <w:shd w:val="clear" w:color="auto" w:fill="auto"/>
            <w:hideMark/>
          </w:tcPr>
          <w:p w14:paraId="35E0BAD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9</w:t>
            </w:r>
          </w:p>
        </w:tc>
        <w:tc>
          <w:tcPr>
            <w:tcW w:w="1500" w:type="dxa"/>
            <w:tcBorders>
              <w:top w:val="nil"/>
              <w:left w:val="nil"/>
              <w:bottom w:val="nil"/>
              <w:right w:val="nil"/>
            </w:tcBorders>
            <w:shd w:val="clear" w:color="auto" w:fill="auto"/>
            <w:hideMark/>
          </w:tcPr>
          <w:p w14:paraId="096C7E2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6.2</w:t>
            </w:r>
          </w:p>
        </w:tc>
      </w:tr>
      <w:tr w:rsidR="00407CA7" w:rsidRPr="004268BB" w14:paraId="367DBB33" w14:textId="77777777" w:rsidTr="00675823">
        <w:trPr>
          <w:trHeight w:val="259"/>
        </w:trPr>
        <w:tc>
          <w:tcPr>
            <w:tcW w:w="6300" w:type="dxa"/>
            <w:tcBorders>
              <w:top w:val="nil"/>
              <w:left w:val="nil"/>
              <w:bottom w:val="nil"/>
              <w:right w:val="nil"/>
            </w:tcBorders>
            <w:shd w:val="clear" w:color="auto" w:fill="auto"/>
            <w:hideMark/>
          </w:tcPr>
          <w:p w14:paraId="621876FC"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2017</w:t>
            </w:r>
          </w:p>
        </w:tc>
        <w:tc>
          <w:tcPr>
            <w:tcW w:w="1500" w:type="dxa"/>
            <w:tcBorders>
              <w:top w:val="nil"/>
              <w:left w:val="nil"/>
              <w:bottom w:val="nil"/>
              <w:right w:val="nil"/>
            </w:tcBorders>
            <w:shd w:val="clear" w:color="auto" w:fill="auto"/>
            <w:hideMark/>
          </w:tcPr>
          <w:p w14:paraId="5F99992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13</w:t>
            </w:r>
          </w:p>
        </w:tc>
        <w:tc>
          <w:tcPr>
            <w:tcW w:w="1500" w:type="dxa"/>
            <w:tcBorders>
              <w:top w:val="nil"/>
              <w:left w:val="nil"/>
              <w:bottom w:val="nil"/>
              <w:right w:val="nil"/>
            </w:tcBorders>
            <w:shd w:val="clear" w:color="auto" w:fill="auto"/>
            <w:hideMark/>
          </w:tcPr>
          <w:p w14:paraId="2294834C"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9.0</w:t>
            </w:r>
          </w:p>
        </w:tc>
      </w:tr>
      <w:tr w:rsidR="00407CA7" w:rsidRPr="004268BB" w14:paraId="13AD823C" w14:textId="77777777" w:rsidTr="00675823">
        <w:trPr>
          <w:trHeight w:val="259"/>
        </w:trPr>
        <w:tc>
          <w:tcPr>
            <w:tcW w:w="6300" w:type="dxa"/>
            <w:tcBorders>
              <w:top w:val="nil"/>
              <w:left w:val="nil"/>
              <w:bottom w:val="nil"/>
              <w:right w:val="nil"/>
            </w:tcBorders>
            <w:shd w:val="clear" w:color="auto" w:fill="auto"/>
            <w:hideMark/>
          </w:tcPr>
          <w:p w14:paraId="10835D09"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2018</w:t>
            </w:r>
          </w:p>
        </w:tc>
        <w:tc>
          <w:tcPr>
            <w:tcW w:w="1500" w:type="dxa"/>
            <w:tcBorders>
              <w:top w:val="nil"/>
              <w:left w:val="nil"/>
              <w:bottom w:val="nil"/>
              <w:right w:val="nil"/>
            </w:tcBorders>
            <w:shd w:val="clear" w:color="auto" w:fill="auto"/>
            <w:hideMark/>
          </w:tcPr>
          <w:p w14:paraId="1A94DD0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22</w:t>
            </w:r>
          </w:p>
        </w:tc>
        <w:tc>
          <w:tcPr>
            <w:tcW w:w="1500" w:type="dxa"/>
            <w:tcBorders>
              <w:top w:val="nil"/>
              <w:left w:val="nil"/>
              <w:bottom w:val="nil"/>
              <w:right w:val="nil"/>
            </w:tcBorders>
            <w:shd w:val="clear" w:color="auto" w:fill="auto"/>
            <w:hideMark/>
          </w:tcPr>
          <w:p w14:paraId="5BEFA583"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15.2</w:t>
            </w:r>
          </w:p>
        </w:tc>
      </w:tr>
      <w:tr w:rsidR="00407CA7" w:rsidRPr="004268BB" w14:paraId="151EFDE3" w14:textId="77777777" w:rsidTr="00675823">
        <w:trPr>
          <w:trHeight w:val="259"/>
        </w:trPr>
        <w:tc>
          <w:tcPr>
            <w:tcW w:w="6300" w:type="dxa"/>
            <w:tcBorders>
              <w:top w:val="nil"/>
              <w:left w:val="nil"/>
              <w:bottom w:val="nil"/>
              <w:right w:val="nil"/>
            </w:tcBorders>
            <w:shd w:val="clear" w:color="auto" w:fill="auto"/>
            <w:hideMark/>
          </w:tcPr>
          <w:p w14:paraId="026A0401"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2019</w:t>
            </w:r>
          </w:p>
        </w:tc>
        <w:tc>
          <w:tcPr>
            <w:tcW w:w="1500" w:type="dxa"/>
            <w:tcBorders>
              <w:top w:val="nil"/>
              <w:left w:val="nil"/>
              <w:bottom w:val="nil"/>
              <w:right w:val="nil"/>
            </w:tcBorders>
            <w:shd w:val="clear" w:color="auto" w:fill="auto"/>
            <w:hideMark/>
          </w:tcPr>
          <w:p w14:paraId="3828436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21</w:t>
            </w:r>
          </w:p>
        </w:tc>
        <w:tc>
          <w:tcPr>
            <w:tcW w:w="1500" w:type="dxa"/>
            <w:tcBorders>
              <w:top w:val="nil"/>
              <w:left w:val="nil"/>
              <w:bottom w:val="nil"/>
              <w:right w:val="nil"/>
            </w:tcBorders>
            <w:shd w:val="clear" w:color="auto" w:fill="auto"/>
            <w:hideMark/>
          </w:tcPr>
          <w:p w14:paraId="7BAF74C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14.5</w:t>
            </w:r>
          </w:p>
        </w:tc>
      </w:tr>
      <w:tr w:rsidR="00407CA7" w:rsidRPr="004268BB" w14:paraId="4D9E9342" w14:textId="77777777" w:rsidTr="00675823">
        <w:trPr>
          <w:trHeight w:val="259"/>
        </w:trPr>
        <w:tc>
          <w:tcPr>
            <w:tcW w:w="6300" w:type="dxa"/>
            <w:tcBorders>
              <w:top w:val="nil"/>
              <w:left w:val="nil"/>
              <w:bottom w:val="single" w:sz="4" w:space="0" w:color="auto"/>
              <w:right w:val="nil"/>
            </w:tcBorders>
            <w:shd w:val="clear" w:color="auto" w:fill="auto"/>
            <w:hideMark/>
          </w:tcPr>
          <w:p w14:paraId="60FEA4FC"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2020</w:t>
            </w:r>
          </w:p>
        </w:tc>
        <w:tc>
          <w:tcPr>
            <w:tcW w:w="1500" w:type="dxa"/>
            <w:tcBorders>
              <w:top w:val="nil"/>
              <w:left w:val="nil"/>
              <w:bottom w:val="single" w:sz="4" w:space="0" w:color="auto"/>
              <w:right w:val="nil"/>
            </w:tcBorders>
            <w:shd w:val="clear" w:color="auto" w:fill="auto"/>
            <w:hideMark/>
          </w:tcPr>
          <w:p w14:paraId="240C483E"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49</w:t>
            </w:r>
          </w:p>
        </w:tc>
        <w:tc>
          <w:tcPr>
            <w:tcW w:w="1500" w:type="dxa"/>
            <w:tcBorders>
              <w:top w:val="nil"/>
              <w:left w:val="nil"/>
              <w:bottom w:val="single" w:sz="4" w:space="0" w:color="auto"/>
              <w:right w:val="nil"/>
            </w:tcBorders>
            <w:shd w:val="clear" w:color="auto" w:fill="auto"/>
            <w:hideMark/>
          </w:tcPr>
          <w:p w14:paraId="063C2D32"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33.8</w:t>
            </w:r>
          </w:p>
        </w:tc>
      </w:tr>
      <w:tr w:rsidR="00407CA7" w:rsidRPr="004268BB" w14:paraId="494C3A06" w14:textId="77777777" w:rsidTr="00675823">
        <w:trPr>
          <w:trHeight w:val="259"/>
        </w:trPr>
        <w:tc>
          <w:tcPr>
            <w:tcW w:w="6300" w:type="dxa"/>
            <w:tcBorders>
              <w:top w:val="single" w:sz="12" w:space="0" w:color="auto"/>
              <w:left w:val="nil"/>
              <w:bottom w:val="single" w:sz="12" w:space="0" w:color="auto"/>
              <w:right w:val="nil"/>
            </w:tcBorders>
            <w:shd w:val="clear" w:color="auto" w:fill="auto"/>
            <w:noWrap/>
            <w:vAlign w:val="bottom"/>
            <w:hideMark/>
          </w:tcPr>
          <w:p w14:paraId="57841860"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xml:space="preserve">Panel B: </w:t>
            </w:r>
            <w:r>
              <w:rPr>
                <w:rFonts w:ascii="Times New Roman" w:eastAsia="Times New Roman" w:hAnsi="Times New Roman" w:cs="Times New Roman"/>
                <w:color w:val="000000"/>
                <w:szCs w:val="24"/>
              </w:rPr>
              <w:t>I</w:t>
            </w:r>
            <w:r w:rsidRPr="004268BB">
              <w:rPr>
                <w:rFonts w:ascii="Times New Roman" w:eastAsia="Times New Roman" w:hAnsi="Times New Roman" w:cs="Times New Roman"/>
                <w:color w:val="000000"/>
                <w:szCs w:val="24"/>
              </w:rPr>
              <w:t xml:space="preserve">ndustry </w:t>
            </w:r>
            <w:r>
              <w:rPr>
                <w:rFonts w:ascii="Times New Roman" w:eastAsia="Times New Roman" w:hAnsi="Times New Roman" w:cs="Times New Roman"/>
                <w:color w:val="000000"/>
                <w:szCs w:val="24"/>
              </w:rPr>
              <w:t>c</w:t>
            </w:r>
            <w:r w:rsidRPr="004268BB">
              <w:rPr>
                <w:rFonts w:ascii="Times New Roman" w:eastAsia="Times New Roman" w:hAnsi="Times New Roman" w:cs="Times New Roman"/>
                <w:color w:val="000000"/>
                <w:szCs w:val="24"/>
              </w:rPr>
              <w:t>lassification</w:t>
            </w:r>
            <w:r>
              <w:rPr>
                <w:rFonts w:ascii="Times New Roman" w:eastAsia="Times New Roman" w:hAnsi="Times New Roman" w:cs="Times New Roman"/>
                <w:color w:val="000000"/>
                <w:szCs w:val="24"/>
              </w:rPr>
              <w:t xml:space="preserve"> (</w:t>
            </w:r>
            <w:r w:rsidRPr="004268BB">
              <w:rPr>
                <w:rFonts w:ascii="Times New Roman" w:eastAsia="Times New Roman" w:hAnsi="Times New Roman" w:cs="Times New Roman"/>
                <w:color w:val="000000"/>
                <w:szCs w:val="24"/>
              </w:rPr>
              <w:t>Fama-French</w:t>
            </w:r>
            <w:r>
              <w:rPr>
                <w:rFonts w:ascii="Times New Roman" w:eastAsia="Times New Roman" w:hAnsi="Times New Roman" w:cs="Times New Roman"/>
                <w:color w:val="000000"/>
                <w:szCs w:val="24"/>
              </w:rPr>
              <w:t>)</w:t>
            </w:r>
          </w:p>
        </w:tc>
        <w:tc>
          <w:tcPr>
            <w:tcW w:w="1500" w:type="dxa"/>
            <w:tcBorders>
              <w:top w:val="single" w:sz="12" w:space="0" w:color="auto"/>
              <w:left w:val="nil"/>
              <w:bottom w:val="single" w:sz="12" w:space="0" w:color="auto"/>
              <w:right w:val="nil"/>
            </w:tcBorders>
            <w:shd w:val="clear" w:color="auto" w:fill="auto"/>
            <w:noWrap/>
            <w:vAlign w:val="bottom"/>
            <w:hideMark/>
          </w:tcPr>
          <w:p w14:paraId="01A80D12"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w:t>
            </w:r>
          </w:p>
        </w:tc>
        <w:tc>
          <w:tcPr>
            <w:tcW w:w="1500" w:type="dxa"/>
            <w:tcBorders>
              <w:top w:val="single" w:sz="12" w:space="0" w:color="auto"/>
              <w:left w:val="nil"/>
              <w:bottom w:val="single" w:sz="12" w:space="0" w:color="auto"/>
              <w:right w:val="nil"/>
            </w:tcBorders>
            <w:shd w:val="clear" w:color="auto" w:fill="auto"/>
            <w:noWrap/>
            <w:vAlign w:val="bottom"/>
            <w:hideMark/>
          </w:tcPr>
          <w:p w14:paraId="270A1820"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w:t>
            </w:r>
          </w:p>
        </w:tc>
      </w:tr>
      <w:tr w:rsidR="00407CA7" w:rsidRPr="004268BB" w14:paraId="75DEDC62" w14:textId="77777777" w:rsidTr="00675823">
        <w:trPr>
          <w:trHeight w:val="259"/>
        </w:trPr>
        <w:tc>
          <w:tcPr>
            <w:tcW w:w="6300" w:type="dxa"/>
            <w:tcBorders>
              <w:top w:val="single" w:sz="12" w:space="0" w:color="auto"/>
              <w:left w:val="nil"/>
              <w:bottom w:val="nil"/>
              <w:right w:val="nil"/>
            </w:tcBorders>
            <w:shd w:val="clear" w:color="000000" w:fill="FFFFFF"/>
            <w:noWrap/>
            <w:vAlign w:val="center"/>
            <w:hideMark/>
          </w:tcPr>
          <w:p w14:paraId="0C5AD89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Business equipment</w:t>
            </w:r>
          </w:p>
        </w:tc>
        <w:tc>
          <w:tcPr>
            <w:tcW w:w="1500" w:type="dxa"/>
            <w:tcBorders>
              <w:top w:val="single" w:sz="12" w:space="0" w:color="auto"/>
              <w:left w:val="nil"/>
              <w:bottom w:val="nil"/>
              <w:right w:val="nil"/>
            </w:tcBorders>
            <w:shd w:val="clear" w:color="auto" w:fill="auto"/>
            <w:hideMark/>
          </w:tcPr>
          <w:p w14:paraId="1433603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7</w:t>
            </w:r>
          </w:p>
        </w:tc>
        <w:tc>
          <w:tcPr>
            <w:tcW w:w="1500" w:type="dxa"/>
            <w:tcBorders>
              <w:top w:val="single" w:sz="12" w:space="0" w:color="auto"/>
              <w:left w:val="nil"/>
              <w:bottom w:val="nil"/>
              <w:right w:val="nil"/>
            </w:tcBorders>
            <w:shd w:val="clear" w:color="auto" w:fill="auto"/>
            <w:hideMark/>
          </w:tcPr>
          <w:p w14:paraId="11FEC52C"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4.8</w:t>
            </w:r>
          </w:p>
        </w:tc>
      </w:tr>
      <w:tr w:rsidR="00407CA7" w:rsidRPr="004268BB" w14:paraId="475F6E8F" w14:textId="77777777" w:rsidTr="00675823">
        <w:trPr>
          <w:trHeight w:val="259"/>
        </w:trPr>
        <w:tc>
          <w:tcPr>
            <w:tcW w:w="6300" w:type="dxa"/>
            <w:tcBorders>
              <w:top w:val="nil"/>
              <w:left w:val="nil"/>
              <w:bottom w:val="nil"/>
              <w:right w:val="nil"/>
            </w:tcBorders>
            <w:shd w:val="clear" w:color="000000" w:fill="FFFFFF"/>
            <w:noWrap/>
            <w:vAlign w:val="center"/>
            <w:hideMark/>
          </w:tcPr>
          <w:p w14:paraId="01B98CAC" w14:textId="77777777" w:rsidR="00407CA7" w:rsidRPr="004268BB" w:rsidRDefault="0048295D" w:rsidP="00675823">
            <w:pPr>
              <w:spacing w:after="0" w:line="240" w:lineRule="auto"/>
              <w:rPr>
                <w:rFonts w:ascii="Times New Roman" w:eastAsia="Times New Roman" w:hAnsi="Times New Roman" w:cs="Times New Roman"/>
                <w:color w:val="000000"/>
                <w:szCs w:val="24"/>
              </w:rPr>
            </w:pPr>
            <w:hyperlink r:id="rId28" w:anchor="RANGE!_ftn1" w:history="1">
              <w:r w:rsidR="00407CA7" w:rsidRPr="004268BB">
                <w:rPr>
                  <w:rFonts w:ascii="Times New Roman" w:eastAsia="Times New Roman" w:hAnsi="Times New Roman" w:cs="Times New Roman"/>
                  <w:color w:val="000000"/>
                  <w:szCs w:val="24"/>
                </w:rPr>
                <w:t>Chemicals</w:t>
              </w:r>
            </w:hyperlink>
          </w:p>
        </w:tc>
        <w:tc>
          <w:tcPr>
            <w:tcW w:w="1500" w:type="dxa"/>
            <w:tcBorders>
              <w:top w:val="nil"/>
              <w:left w:val="nil"/>
              <w:bottom w:val="nil"/>
              <w:right w:val="nil"/>
            </w:tcBorders>
            <w:shd w:val="clear" w:color="auto" w:fill="auto"/>
            <w:hideMark/>
          </w:tcPr>
          <w:p w14:paraId="465659B5"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10</w:t>
            </w:r>
          </w:p>
        </w:tc>
        <w:tc>
          <w:tcPr>
            <w:tcW w:w="1500" w:type="dxa"/>
            <w:tcBorders>
              <w:top w:val="nil"/>
              <w:left w:val="nil"/>
              <w:bottom w:val="nil"/>
              <w:right w:val="nil"/>
            </w:tcBorders>
            <w:shd w:val="clear" w:color="auto" w:fill="auto"/>
            <w:hideMark/>
          </w:tcPr>
          <w:p w14:paraId="79BC4992"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6.9</w:t>
            </w:r>
          </w:p>
        </w:tc>
      </w:tr>
      <w:tr w:rsidR="00407CA7" w:rsidRPr="004268BB" w14:paraId="646FBBAD" w14:textId="77777777" w:rsidTr="00675823">
        <w:trPr>
          <w:trHeight w:val="259"/>
        </w:trPr>
        <w:tc>
          <w:tcPr>
            <w:tcW w:w="6300" w:type="dxa"/>
            <w:tcBorders>
              <w:top w:val="nil"/>
              <w:left w:val="nil"/>
              <w:bottom w:val="nil"/>
              <w:right w:val="nil"/>
            </w:tcBorders>
            <w:shd w:val="clear" w:color="000000" w:fill="FFFFFF"/>
            <w:noWrap/>
            <w:vAlign w:val="center"/>
            <w:hideMark/>
          </w:tcPr>
          <w:p w14:paraId="33213BFE"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Consumer durables</w:t>
            </w:r>
          </w:p>
        </w:tc>
        <w:tc>
          <w:tcPr>
            <w:tcW w:w="1500" w:type="dxa"/>
            <w:tcBorders>
              <w:top w:val="nil"/>
              <w:left w:val="nil"/>
              <w:bottom w:val="nil"/>
              <w:right w:val="nil"/>
            </w:tcBorders>
            <w:shd w:val="clear" w:color="auto" w:fill="auto"/>
            <w:hideMark/>
          </w:tcPr>
          <w:p w14:paraId="1D074329"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12</w:t>
            </w:r>
          </w:p>
        </w:tc>
        <w:tc>
          <w:tcPr>
            <w:tcW w:w="1500" w:type="dxa"/>
            <w:tcBorders>
              <w:top w:val="nil"/>
              <w:left w:val="nil"/>
              <w:bottom w:val="nil"/>
              <w:right w:val="nil"/>
            </w:tcBorders>
            <w:shd w:val="clear" w:color="auto" w:fill="auto"/>
            <w:hideMark/>
          </w:tcPr>
          <w:p w14:paraId="3AA8451A"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8.3</w:t>
            </w:r>
          </w:p>
        </w:tc>
      </w:tr>
      <w:tr w:rsidR="00407CA7" w:rsidRPr="004268BB" w14:paraId="03435ED3" w14:textId="77777777" w:rsidTr="00675823">
        <w:trPr>
          <w:trHeight w:val="259"/>
        </w:trPr>
        <w:tc>
          <w:tcPr>
            <w:tcW w:w="6300" w:type="dxa"/>
            <w:tcBorders>
              <w:top w:val="nil"/>
              <w:left w:val="nil"/>
              <w:bottom w:val="nil"/>
              <w:right w:val="nil"/>
            </w:tcBorders>
            <w:shd w:val="clear" w:color="000000" w:fill="FFFFFF"/>
            <w:noWrap/>
            <w:vAlign w:val="center"/>
            <w:hideMark/>
          </w:tcPr>
          <w:p w14:paraId="2D7FD5C2"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Consumer nondurables</w:t>
            </w:r>
          </w:p>
        </w:tc>
        <w:tc>
          <w:tcPr>
            <w:tcW w:w="1500" w:type="dxa"/>
            <w:tcBorders>
              <w:top w:val="nil"/>
              <w:left w:val="nil"/>
              <w:bottom w:val="nil"/>
              <w:right w:val="nil"/>
            </w:tcBorders>
            <w:shd w:val="clear" w:color="auto" w:fill="auto"/>
            <w:hideMark/>
          </w:tcPr>
          <w:p w14:paraId="1C383B43"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10</w:t>
            </w:r>
          </w:p>
        </w:tc>
        <w:tc>
          <w:tcPr>
            <w:tcW w:w="1500" w:type="dxa"/>
            <w:tcBorders>
              <w:top w:val="nil"/>
              <w:left w:val="nil"/>
              <w:bottom w:val="nil"/>
              <w:right w:val="nil"/>
            </w:tcBorders>
            <w:shd w:val="clear" w:color="auto" w:fill="auto"/>
            <w:hideMark/>
          </w:tcPr>
          <w:p w14:paraId="34462D4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6.9</w:t>
            </w:r>
          </w:p>
        </w:tc>
      </w:tr>
      <w:tr w:rsidR="00407CA7" w:rsidRPr="004268BB" w14:paraId="0822F83B" w14:textId="77777777" w:rsidTr="00675823">
        <w:trPr>
          <w:trHeight w:val="259"/>
        </w:trPr>
        <w:tc>
          <w:tcPr>
            <w:tcW w:w="6300" w:type="dxa"/>
            <w:tcBorders>
              <w:top w:val="nil"/>
              <w:left w:val="nil"/>
              <w:bottom w:val="nil"/>
              <w:right w:val="nil"/>
            </w:tcBorders>
            <w:shd w:val="clear" w:color="000000" w:fill="FFFFFF"/>
            <w:noWrap/>
            <w:vAlign w:val="center"/>
            <w:hideMark/>
          </w:tcPr>
          <w:p w14:paraId="4A998551"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Energy</w:t>
            </w:r>
          </w:p>
        </w:tc>
        <w:tc>
          <w:tcPr>
            <w:tcW w:w="1500" w:type="dxa"/>
            <w:tcBorders>
              <w:top w:val="nil"/>
              <w:left w:val="nil"/>
              <w:bottom w:val="nil"/>
              <w:right w:val="nil"/>
            </w:tcBorders>
            <w:shd w:val="clear" w:color="auto" w:fill="auto"/>
            <w:hideMark/>
          </w:tcPr>
          <w:p w14:paraId="7E9C44E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w:t>
            </w:r>
          </w:p>
        </w:tc>
        <w:tc>
          <w:tcPr>
            <w:tcW w:w="1500" w:type="dxa"/>
            <w:tcBorders>
              <w:top w:val="nil"/>
              <w:left w:val="nil"/>
              <w:bottom w:val="nil"/>
              <w:right w:val="nil"/>
            </w:tcBorders>
            <w:shd w:val="clear" w:color="auto" w:fill="auto"/>
            <w:hideMark/>
          </w:tcPr>
          <w:p w14:paraId="4C0C1F8B"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1.4</w:t>
            </w:r>
          </w:p>
        </w:tc>
      </w:tr>
      <w:tr w:rsidR="00407CA7" w:rsidRPr="004268BB" w14:paraId="1B8255DC" w14:textId="77777777" w:rsidTr="00675823">
        <w:trPr>
          <w:trHeight w:val="259"/>
        </w:trPr>
        <w:tc>
          <w:tcPr>
            <w:tcW w:w="6300" w:type="dxa"/>
            <w:tcBorders>
              <w:top w:val="nil"/>
              <w:left w:val="nil"/>
              <w:bottom w:val="nil"/>
              <w:right w:val="nil"/>
            </w:tcBorders>
            <w:shd w:val="clear" w:color="000000" w:fill="FFFFFF"/>
            <w:noWrap/>
            <w:vAlign w:val="center"/>
            <w:hideMark/>
          </w:tcPr>
          <w:p w14:paraId="4099B60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Finance</w:t>
            </w:r>
          </w:p>
        </w:tc>
        <w:tc>
          <w:tcPr>
            <w:tcW w:w="1500" w:type="dxa"/>
            <w:tcBorders>
              <w:top w:val="nil"/>
              <w:left w:val="nil"/>
              <w:bottom w:val="nil"/>
              <w:right w:val="nil"/>
            </w:tcBorders>
            <w:shd w:val="clear" w:color="auto" w:fill="auto"/>
            <w:hideMark/>
          </w:tcPr>
          <w:p w14:paraId="63E8955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27</w:t>
            </w:r>
          </w:p>
        </w:tc>
        <w:tc>
          <w:tcPr>
            <w:tcW w:w="1500" w:type="dxa"/>
            <w:tcBorders>
              <w:top w:val="nil"/>
              <w:left w:val="nil"/>
              <w:bottom w:val="nil"/>
              <w:right w:val="nil"/>
            </w:tcBorders>
            <w:shd w:val="clear" w:color="auto" w:fill="auto"/>
            <w:hideMark/>
          </w:tcPr>
          <w:p w14:paraId="6CB5F4E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18.6</w:t>
            </w:r>
          </w:p>
        </w:tc>
      </w:tr>
      <w:tr w:rsidR="00407CA7" w:rsidRPr="004268BB" w14:paraId="1D3FC0DC" w14:textId="77777777" w:rsidTr="00675823">
        <w:trPr>
          <w:trHeight w:val="259"/>
        </w:trPr>
        <w:tc>
          <w:tcPr>
            <w:tcW w:w="6300" w:type="dxa"/>
            <w:tcBorders>
              <w:top w:val="nil"/>
              <w:left w:val="nil"/>
              <w:bottom w:val="nil"/>
              <w:right w:val="nil"/>
            </w:tcBorders>
            <w:shd w:val="clear" w:color="000000" w:fill="FFFFFF"/>
            <w:noWrap/>
            <w:vAlign w:val="center"/>
            <w:hideMark/>
          </w:tcPr>
          <w:p w14:paraId="72249516"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Healthcare</w:t>
            </w:r>
          </w:p>
        </w:tc>
        <w:tc>
          <w:tcPr>
            <w:tcW w:w="1500" w:type="dxa"/>
            <w:tcBorders>
              <w:top w:val="nil"/>
              <w:left w:val="nil"/>
              <w:bottom w:val="nil"/>
              <w:right w:val="nil"/>
            </w:tcBorders>
            <w:shd w:val="clear" w:color="auto" w:fill="auto"/>
            <w:hideMark/>
          </w:tcPr>
          <w:p w14:paraId="007867BB"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3</w:t>
            </w:r>
          </w:p>
        </w:tc>
        <w:tc>
          <w:tcPr>
            <w:tcW w:w="1500" w:type="dxa"/>
            <w:tcBorders>
              <w:top w:val="nil"/>
              <w:left w:val="nil"/>
              <w:bottom w:val="nil"/>
              <w:right w:val="nil"/>
            </w:tcBorders>
            <w:shd w:val="clear" w:color="auto" w:fill="auto"/>
            <w:hideMark/>
          </w:tcPr>
          <w:p w14:paraId="2630126E"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2.1</w:t>
            </w:r>
          </w:p>
        </w:tc>
      </w:tr>
      <w:tr w:rsidR="00407CA7" w:rsidRPr="004268BB" w14:paraId="556C23CA" w14:textId="77777777" w:rsidTr="00675823">
        <w:trPr>
          <w:trHeight w:val="259"/>
        </w:trPr>
        <w:tc>
          <w:tcPr>
            <w:tcW w:w="6300" w:type="dxa"/>
            <w:tcBorders>
              <w:top w:val="nil"/>
              <w:left w:val="nil"/>
              <w:bottom w:val="nil"/>
              <w:right w:val="nil"/>
            </w:tcBorders>
            <w:shd w:val="clear" w:color="000000" w:fill="FFFFFF"/>
            <w:noWrap/>
            <w:vAlign w:val="center"/>
            <w:hideMark/>
          </w:tcPr>
          <w:p w14:paraId="31D66E0F"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Manufacturing</w:t>
            </w:r>
          </w:p>
        </w:tc>
        <w:tc>
          <w:tcPr>
            <w:tcW w:w="1500" w:type="dxa"/>
            <w:tcBorders>
              <w:top w:val="nil"/>
              <w:left w:val="nil"/>
              <w:bottom w:val="nil"/>
              <w:right w:val="nil"/>
            </w:tcBorders>
            <w:shd w:val="clear" w:color="auto" w:fill="auto"/>
            <w:hideMark/>
          </w:tcPr>
          <w:p w14:paraId="0A49052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w:t>
            </w:r>
          </w:p>
        </w:tc>
        <w:tc>
          <w:tcPr>
            <w:tcW w:w="1500" w:type="dxa"/>
            <w:tcBorders>
              <w:top w:val="nil"/>
              <w:left w:val="nil"/>
              <w:bottom w:val="nil"/>
              <w:right w:val="nil"/>
            </w:tcBorders>
            <w:shd w:val="clear" w:color="auto" w:fill="auto"/>
            <w:hideMark/>
          </w:tcPr>
          <w:p w14:paraId="2E56DD1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1.4</w:t>
            </w:r>
          </w:p>
        </w:tc>
      </w:tr>
      <w:tr w:rsidR="00407CA7" w:rsidRPr="004268BB" w14:paraId="047B267E" w14:textId="77777777" w:rsidTr="00675823">
        <w:trPr>
          <w:trHeight w:val="259"/>
        </w:trPr>
        <w:tc>
          <w:tcPr>
            <w:tcW w:w="6300" w:type="dxa"/>
            <w:tcBorders>
              <w:top w:val="nil"/>
              <w:left w:val="nil"/>
              <w:bottom w:val="nil"/>
              <w:right w:val="nil"/>
            </w:tcBorders>
            <w:shd w:val="clear" w:color="000000" w:fill="FFFFFF"/>
            <w:noWrap/>
            <w:vAlign w:val="center"/>
            <w:hideMark/>
          </w:tcPr>
          <w:p w14:paraId="30A5E492"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Other</w:t>
            </w:r>
          </w:p>
        </w:tc>
        <w:tc>
          <w:tcPr>
            <w:tcW w:w="1500" w:type="dxa"/>
            <w:tcBorders>
              <w:top w:val="nil"/>
              <w:left w:val="nil"/>
              <w:bottom w:val="nil"/>
              <w:right w:val="nil"/>
            </w:tcBorders>
            <w:shd w:val="clear" w:color="auto" w:fill="auto"/>
            <w:hideMark/>
          </w:tcPr>
          <w:p w14:paraId="673E91A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19</w:t>
            </w:r>
          </w:p>
        </w:tc>
        <w:tc>
          <w:tcPr>
            <w:tcW w:w="1500" w:type="dxa"/>
            <w:tcBorders>
              <w:top w:val="nil"/>
              <w:left w:val="nil"/>
              <w:bottom w:val="nil"/>
              <w:right w:val="nil"/>
            </w:tcBorders>
            <w:shd w:val="clear" w:color="auto" w:fill="auto"/>
            <w:hideMark/>
          </w:tcPr>
          <w:p w14:paraId="66667A9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13.1</w:t>
            </w:r>
          </w:p>
        </w:tc>
      </w:tr>
      <w:tr w:rsidR="00407CA7" w:rsidRPr="004268BB" w14:paraId="65EA9202" w14:textId="77777777" w:rsidTr="00675823">
        <w:trPr>
          <w:trHeight w:val="259"/>
        </w:trPr>
        <w:tc>
          <w:tcPr>
            <w:tcW w:w="6300" w:type="dxa"/>
            <w:tcBorders>
              <w:top w:val="nil"/>
              <w:left w:val="nil"/>
              <w:bottom w:val="nil"/>
              <w:right w:val="nil"/>
            </w:tcBorders>
            <w:shd w:val="clear" w:color="000000" w:fill="FFFFFF"/>
            <w:noWrap/>
            <w:vAlign w:val="center"/>
            <w:hideMark/>
          </w:tcPr>
          <w:p w14:paraId="03806580"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Telephone and television</w:t>
            </w:r>
          </w:p>
        </w:tc>
        <w:tc>
          <w:tcPr>
            <w:tcW w:w="1500" w:type="dxa"/>
            <w:tcBorders>
              <w:top w:val="nil"/>
              <w:left w:val="nil"/>
              <w:bottom w:val="nil"/>
              <w:right w:val="nil"/>
            </w:tcBorders>
            <w:shd w:val="clear" w:color="auto" w:fill="auto"/>
            <w:hideMark/>
          </w:tcPr>
          <w:p w14:paraId="6FC29C0A"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11</w:t>
            </w:r>
          </w:p>
        </w:tc>
        <w:tc>
          <w:tcPr>
            <w:tcW w:w="1500" w:type="dxa"/>
            <w:tcBorders>
              <w:top w:val="nil"/>
              <w:left w:val="nil"/>
              <w:bottom w:val="nil"/>
              <w:right w:val="nil"/>
            </w:tcBorders>
            <w:shd w:val="clear" w:color="auto" w:fill="auto"/>
            <w:hideMark/>
          </w:tcPr>
          <w:p w14:paraId="17E922D9"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7.6</w:t>
            </w:r>
          </w:p>
        </w:tc>
      </w:tr>
      <w:tr w:rsidR="00407CA7" w:rsidRPr="004268BB" w14:paraId="74930C96" w14:textId="77777777" w:rsidTr="00675823">
        <w:trPr>
          <w:trHeight w:val="259"/>
        </w:trPr>
        <w:tc>
          <w:tcPr>
            <w:tcW w:w="6300" w:type="dxa"/>
            <w:tcBorders>
              <w:top w:val="nil"/>
              <w:left w:val="nil"/>
              <w:bottom w:val="nil"/>
              <w:right w:val="nil"/>
            </w:tcBorders>
            <w:shd w:val="clear" w:color="000000" w:fill="FFFFFF"/>
            <w:noWrap/>
            <w:vAlign w:val="center"/>
            <w:hideMark/>
          </w:tcPr>
          <w:p w14:paraId="72F032E3"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Utilities</w:t>
            </w:r>
          </w:p>
        </w:tc>
        <w:tc>
          <w:tcPr>
            <w:tcW w:w="1500" w:type="dxa"/>
            <w:tcBorders>
              <w:top w:val="nil"/>
              <w:left w:val="nil"/>
              <w:bottom w:val="nil"/>
              <w:right w:val="nil"/>
            </w:tcBorders>
            <w:shd w:val="clear" w:color="auto" w:fill="auto"/>
            <w:hideMark/>
          </w:tcPr>
          <w:p w14:paraId="03DD185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14</w:t>
            </w:r>
          </w:p>
        </w:tc>
        <w:tc>
          <w:tcPr>
            <w:tcW w:w="1500" w:type="dxa"/>
            <w:tcBorders>
              <w:top w:val="nil"/>
              <w:left w:val="nil"/>
              <w:bottom w:val="nil"/>
              <w:right w:val="nil"/>
            </w:tcBorders>
            <w:shd w:val="clear" w:color="auto" w:fill="auto"/>
            <w:hideMark/>
          </w:tcPr>
          <w:p w14:paraId="53FB8E6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9.7</w:t>
            </w:r>
          </w:p>
        </w:tc>
      </w:tr>
      <w:tr w:rsidR="00407CA7" w:rsidRPr="004268BB" w14:paraId="35B385B7" w14:textId="77777777" w:rsidTr="00675823">
        <w:trPr>
          <w:trHeight w:val="259"/>
        </w:trPr>
        <w:tc>
          <w:tcPr>
            <w:tcW w:w="6300" w:type="dxa"/>
            <w:tcBorders>
              <w:top w:val="nil"/>
              <w:left w:val="nil"/>
              <w:bottom w:val="single" w:sz="4" w:space="0" w:color="auto"/>
              <w:right w:val="nil"/>
            </w:tcBorders>
            <w:shd w:val="clear" w:color="000000" w:fill="FFFFFF"/>
            <w:noWrap/>
            <w:vAlign w:val="center"/>
            <w:hideMark/>
          </w:tcPr>
          <w:p w14:paraId="4856CA68" w14:textId="139466CE"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Wholesale</w:t>
            </w:r>
            <w:r w:rsidR="00952026">
              <w:rPr>
                <w:rFonts w:ascii="Times New Roman" w:eastAsia="Times New Roman" w:hAnsi="Times New Roman" w:cs="Times New Roman"/>
                <w:color w:val="000000"/>
                <w:szCs w:val="24"/>
              </w:rPr>
              <w:t xml:space="preserve"> and</w:t>
            </w:r>
            <w:r w:rsidRPr="004268BB">
              <w:rPr>
                <w:rFonts w:ascii="Times New Roman" w:eastAsia="Times New Roman" w:hAnsi="Times New Roman" w:cs="Times New Roman"/>
                <w:color w:val="000000"/>
                <w:szCs w:val="24"/>
              </w:rPr>
              <w:t xml:space="preserve"> retail</w:t>
            </w:r>
          </w:p>
        </w:tc>
        <w:tc>
          <w:tcPr>
            <w:tcW w:w="1500" w:type="dxa"/>
            <w:tcBorders>
              <w:top w:val="nil"/>
              <w:left w:val="nil"/>
              <w:bottom w:val="single" w:sz="4" w:space="0" w:color="auto"/>
              <w:right w:val="nil"/>
            </w:tcBorders>
            <w:shd w:val="clear" w:color="auto" w:fill="auto"/>
            <w:hideMark/>
          </w:tcPr>
          <w:p w14:paraId="449FD19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28</w:t>
            </w:r>
          </w:p>
        </w:tc>
        <w:tc>
          <w:tcPr>
            <w:tcW w:w="1500" w:type="dxa"/>
            <w:tcBorders>
              <w:top w:val="nil"/>
              <w:left w:val="nil"/>
              <w:bottom w:val="single" w:sz="4" w:space="0" w:color="auto"/>
              <w:right w:val="nil"/>
            </w:tcBorders>
            <w:shd w:val="clear" w:color="auto" w:fill="auto"/>
            <w:hideMark/>
          </w:tcPr>
          <w:p w14:paraId="4239926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19.3</w:t>
            </w:r>
          </w:p>
        </w:tc>
      </w:tr>
      <w:tr w:rsidR="00407CA7" w:rsidRPr="004268BB" w14:paraId="555AB0C6" w14:textId="77777777" w:rsidTr="00675823">
        <w:trPr>
          <w:trHeight w:val="259"/>
        </w:trPr>
        <w:tc>
          <w:tcPr>
            <w:tcW w:w="6300" w:type="dxa"/>
            <w:tcBorders>
              <w:top w:val="single" w:sz="12" w:space="0" w:color="auto"/>
              <w:left w:val="nil"/>
              <w:bottom w:val="single" w:sz="12" w:space="0" w:color="auto"/>
              <w:right w:val="nil"/>
            </w:tcBorders>
            <w:shd w:val="clear" w:color="auto" w:fill="auto"/>
            <w:hideMark/>
          </w:tcPr>
          <w:p w14:paraId="431D8BB5"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 xml:space="preserve">Panel C: Country of </w:t>
            </w:r>
            <w:r>
              <w:rPr>
                <w:rFonts w:ascii="Times New Roman" w:eastAsia="Times New Roman" w:hAnsi="Times New Roman" w:cs="Times New Roman"/>
                <w:color w:val="000000"/>
                <w:szCs w:val="24"/>
              </w:rPr>
              <w:t>i</w:t>
            </w:r>
            <w:r w:rsidRPr="004268BB">
              <w:rPr>
                <w:rFonts w:ascii="Times New Roman" w:eastAsia="Times New Roman" w:hAnsi="Times New Roman" w:cs="Times New Roman"/>
                <w:color w:val="000000"/>
                <w:szCs w:val="24"/>
              </w:rPr>
              <w:t>ncorporation</w:t>
            </w:r>
          </w:p>
        </w:tc>
        <w:tc>
          <w:tcPr>
            <w:tcW w:w="1500" w:type="dxa"/>
            <w:tcBorders>
              <w:top w:val="single" w:sz="12" w:space="0" w:color="auto"/>
              <w:left w:val="nil"/>
              <w:bottom w:val="single" w:sz="12" w:space="0" w:color="auto"/>
              <w:right w:val="nil"/>
            </w:tcBorders>
            <w:shd w:val="clear" w:color="auto" w:fill="auto"/>
            <w:vAlign w:val="bottom"/>
          </w:tcPr>
          <w:p w14:paraId="5F856A8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p>
        </w:tc>
        <w:tc>
          <w:tcPr>
            <w:tcW w:w="1500" w:type="dxa"/>
            <w:tcBorders>
              <w:top w:val="single" w:sz="12" w:space="0" w:color="auto"/>
              <w:left w:val="nil"/>
              <w:bottom w:val="single" w:sz="12" w:space="0" w:color="auto"/>
              <w:right w:val="nil"/>
            </w:tcBorders>
            <w:shd w:val="clear" w:color="auto" w:fill="auto"/>
            <w:vAlign w:val="bottom"/>
          </w:tcPr>
          <w:p w14:paraId="1C53C935"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p>
        </w:tc>
      </w:tr>
      <w:tr w:rsidR="00407CA7" w:rsidRPr="004268BB" w14:paraId="5592320D" w14:textId="77777777" w:rsidTr="00675823">
        <w:trPr>
          <w:trHeight w:val="259"/>
        </w:trPr>
        <w:tc>
          <w:tcPr>
            <w:tcW w:w="6300" w:type="dxa"/>
            <w:tcBorders>
              <w:top w:val="single" w:sz="12" w:space="0" w:color="auto"/>
              <w:left w:val="nil"/>
              <w:bottom w:val="nil"/>
              <w:right w:val="nil"/>
            </w:tcBorders>
            <w:shd w:val="clear" w:color="auto" w:fill="auto"/>
            <w:hideMark/>
          </w:tcPr>
          <w:p w14:paraId="133C707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Bahamas</w:t>
            </w:r>
          </w:p>
        </w:tc>
        <w:tc>
          <w:tcPr>
            <w:tcW w:w="1500" w:type="dxa"/>
            <w:tcBorders>
              <w:top w:val="single" w:sz="12" w:space="0" w:color="auto"/>
              <w:left w:val="nil"/>
              <w:bottom w:val="nil"/>
              <w:right w:val="nil"/>
            </w:tcBorders>
            <w:shd w:val="clear" w:color="auto" w:fill="auto"/>
            <w:hideMark/>
          </w:tcPr>
          <w:p w14:paraId="10B2C16C"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single" w:sz="12" w:space="0" w:color="auto"/>
              <w:left w:val="nil"/>
              <w:bottom w:val="nil"/>
              <w:right w:val="nil"/>
            </w:tcBorders>
            <w:shd w:val="clear" w:color="auto" w:fill="auto"/>
            <w:hideMark/>
          </w:tcPr>
          <w:p w14:paraId="34B31750"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3464AC07" w14:textId="77777777" w:rsidTr="00675823">
        <w:trPr>
          <w:trHeight w:val="259"/>
        </w:trPr>
        <w:tc>
          <w:tcPr>
            <w:tcW w:w="6300" w:type="dxa"/>
            <w:tcBorders>
              <w:top w:val="nil"/>
              <w:left w:val="nil"/>
              <w:bottom w:val="nil"/>
              <w:right w:val="nil"/>
            </w:tcBorders>
            <w:shd w:val="clear" w:color="auto" w:fill="auto"/>
            <w:hideMark/>
          </w:tcPr>
          <w:p w14:paraId="6496FC54"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Bermuda</w:t>
            </w:r>
          </w:p>
        </w:tc>
        <w:tc>
          <w:tcPr>
            <w:tcW w:w="1500" w:type="dxa"/>
            <w:tcBorders>
              <w:top w:val="nil"/>
              <w:left w:val="nil"/>
              <w:bottom w:val="nil"/>
              <w:right w:val="nil"/>
            </w:tcBorders>
            <w:shd w:val="clear" w:color="auto" w:fill="auto"/>
            <w:hideMark/>
          </w:tcPr>
          <w:p w14:paraId="0F5B1A0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3</w:t>
            </w:r>
          </w:p>
        </w:tc>
        <w:tc>
          <w:tcPr>
            <w:tcW w:w="1500" w:type="dxa"/>
            <w:tcBorders>
              <w:top w:val="nil"/>
              <w:left w:val="nil"/>
              <w:bottom w:val="nil"/>
              <w:right w:val="nil"/>
            </w:tcBorders>
            <w:shd w:val="clear" w:color="auto" w:fill="auto"/>
            <w:hideMark/>
          </w:tcPr>
          <w:p w14:paraId="35024D85"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2.1</w:t>
            </w:r>
          </w:p>
        </w:tc>
      </w:tr>
      <w:tr w:rsidR="00407CA7" w:rsidRPr="004268BB" w14:paraId="1C1FDA4D" w14:textId="77777777" w:rsidTr="00675823">
        <w:trPr>
          <w:trHeight w:val="259"/>
        </w:trPr>
        <w:tc>
          <w:tcPr>
            <w:tcW w:w="6300" w:type="dxa"/>
            <w:tcBorders>
              <w:top w:val="nil"/>
              <w:left w:val="nil"/>
              <w:bottom w:val="nil"/>
              <w:right w:val="nil"/>
            </w:tcBorders>
            <w:shd w:val="clear" w:color="auto" w:fill="auto"/>
            <w:hideMark/>
          </w:tcPr>
          <w:p w14:paraId="152851AD"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British Virgin Islands</w:t>
            </w:r>
          </w:p>
        </w:tc>
        <w:tc>
          <w:tcPr>
            <w:tcW w:w="1500" w:type="dxa"/>
            <w:tcBorders>
              <w:top w:val="nil"/>
              <w:left w:val="nil"/>
              <w:bottom w:val="nil"/>
              <w:right w:val="nil"/>
            </w:tcBorders>
            <w:shd w:val="clear" w:color="auto" w:fill="auto"/>
            <w:hideMark/>
          </w:tcPr>
          <w:p w14:paraId="46D2181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4</w:t>
            </w:r>
          </w:p>
        </w:tc>
        <w:tc>
          <w:tcPr>
            <w:tcW w:w="1500" w:type="dxa"/>
            <w:tcBorders>
              <w:top w:val="nil"/>
              <w:left w:val="nil"/>
              <w:bottom w:val="nil"/>
              <w:right w:val="nil"/>
            </w:tcBorders>
            <w:shd w:val="clear" w:color="auto" w:fill="auto"/>
            <w:hideMark/>
          </w:tcPr>
          <w:p w14:paraId="04F3E835"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2.7</w:t>
            </w:r>
          </w:p>
        </w:tc>
      </w:tr>
      <w:tr w:rsidR="00407CA7" w:rsidRPr="004268BB" w14:paraId="0CF4DB99" w14:textId="77777777" w:rsidTr="00675823">
        <w:trPr>
          <w:trHeight w:val="259"/>
        </w:trPr>
        <w:tc>
          <w:tcPr>
            <w:tcW w:w="6300" w:type="dxa"/>
            <w:tcBorders>
              <w:top w:val="nil"/>
              <w:left w:val="nil"/>
              <w:bottom w:val="nil"/>
              <w:right w:val="nil"/>
            </w:tcBorders>
            <w:shd w:val="clear" w:color="auto" w:fill="auto"/>
            <w:hideMark/>
          </w:tcPr>
          <w:p w14:paraId="0D06736C"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Canada</w:t>
            </w:r>
          </w:p>
        </w:tc>
        <w:tc>
          <w:tcPr>
            <w:tcW w:w="1500" w:type="dxa"/>
            <w:tcBorders>
              <w:top w:val="nil"/>
              <w:left w:val="nil"/>
              <w:bottom w:val="nil"/>
              <w:right w:val="nil"/>
            </w:tcBorders>
            <w:shd w:val="clear" w:color="auto" w:fill="auto"/>
            <w:hideMark/>
          </w:tcPr>
          <w:p w14:paraId="4B86B99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0A8AE160"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169A9BC4" w14:textId="77777777" w:rsidTr="00675823">
        <w:trPr>
          <w:trHeight w:val="259"/>
        </w:trPr>
        <w:tc>
          <w:tcPr>
            <w:tcW w:w="6300" w:type="dxa"/>
            <w:tcBorders>
              <w:top w:val="nil"/>
              <w:left w:val="nil"/>
              <w:bottom w:val="nil"/>
              <w:right w:val="nil"/>
            </w:tcBorders>
            <w:shd w:val="clear" w:color="auto" w:fill="auto"/>
            <w:hideMark/>
          </w:tcPr>
          <w:p w14:paraId="28992725"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Cayman Islands</w:t>
            </w:r>
          </w:p>
        </w:tc>
        <w:tc>
          <w:tcPr>
            <w:tcW w:w="1500" w:type="dxa"/>
            <w:tcBorders>
              <w:top w:val="nil"/>
              <w:left w:val="nil"/>
              <w:bottom w:val="nil"/>
              <w:right w:val="nil"/>
            </w:tcBorders>
            <w:shd w:val="clear" w:color="auto" w:fill="auto"/>
            <w:hideMark/>
          </w:tcPr>
          <w:p w14:paraId="167F708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17</w:t>
            </w:r>
          </w:p>
        </w:tc>
        <w:tc>
          <w:tcPr>
            <w:tcW w:w="1500" w:type="dxa"/>
            <w:tcBorders>
              <w:top w:val="nil"/>
              <w:left w:val="nil"/>
              <w:bottom w:val="nil"/>
              <w:right w:val="nil"/>
            </w:tcBorders>
            <w:shd w:val="clear" w:color="auto" w:fill="auto"/>
            <w:hideMark/>
          </w:tcPr>
          <w:p w14:paraId="320C22AA"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11.7</w:t>
            </w:r>
          </w:p>
        </w:tc>
      </w:tr>
      <w:tr w:rsidR="00407CA7" w:rsidRPr="004268BB" w14:paraId="7E8C5DC9" w14:textId="77777777" w:rsidTr="00675823">
        <w:trPr>
          <w:trHeight w:val="259"/>
        </w:trPr>
        <w:tc>
          <w:tcPr>
            <w:tcW w:w="6300" w:type="dxa"/>
            <w:tcBorders>
              <w:top w:val="nil"/>
              <w:left w:val="nil"/>
              <w:bottom w:val="nil"/>
              <w:right w:val="nil"/>
            </w:tcBorders>
            <w:shd w:val="clear" w:color="auto" w:fill="auto"/>
            <w:hideMark/>
          </w:tcPr>
          <w:p w14:paraId="44567709"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India</w:t>
            </w:r>
          </w:p>
        </w:tc>
        <w:tc>
          <w:tcPr>
            <w:tcW w:w="1500" w:type="dxa"/>
            <w:tcBorders>
              <w:top w:val="nil"/>
              <w:left w:val="nil"/>
              <w:bottom w:val="nil"/>
              <w:right w:val="nil"/>
            </w:tcBorders>
            <w:shd w:val="clear" w:color="auto" w:fill="auto"/>
            <w:hideMark/>
          </w:tcPr>
          <w:p w14:paraId="44215D06"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4EFA975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629E65C3" w14:textId="77777777" w:rsidTr="00675823">
        <w:trPr>
          <w:trHeight w:val="259"/>
        </w:trPr>
        <w:tc>
          <w:tcPr>
            <w:tcW w:w="6300" w:type="dxa"/>
            <w:tcBorders>
              <w:top w:val="nil"/>
              <w:left w:val="nil"/>
              <w:bottom w:val="nil"/>
              <w:right w:val="nil"/>
            </w:tcBorders>
            <w:shd w:val="clear" w:color="auto" w:fill="auto"/>
            <w:hideMark/>
          </w:tcPr>
          <w:p w14:paraId="69F6D3EA"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Ireland</w:t>
            </w:r>
          </w:p>
        </w:tc>
        <w:tc>
          <w:tcPr>
            <w:tcW w:w="1500" w:type="dxa"/>
            <w:tcBorders>
              <w:top w:val="nil"/>
              <w:left w:val="nil"/>
              <w:bottom w:val="nil"/>
              <w:right w:val="nil"/>
            </w:tcBorders>
            <w:shd w:val="clear" w:color="auto" w:fill="auto"/>
            <w:hideMark/>
          </w:tcPr>
          <w:p w14:paraId="3D2CA76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751FDE4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080F1334" w14:textId="77777777" w:rsidTr="00675823">
        <w:trPr>
          <w:trHeight w:val="259"/>
        </w:trPr>
        <w:tc>
          <w:tcPr>
            <w:tcW w:w="6300" w:type="dxa"/>
            <w:tcBorders>
              <w:top w:val="nil"/>
              <w:left w:val="nil"/>
              <w:bottom w:val="nil"/>
              <w:right w:val="nil"/>
            </w:tcBorders>
            <w:shd w:val="clear" w:color="auto" w:fill="auto"/>
            <w:hideMark/>
          </w:tcPr>
          <w:p w14:paraId="71B2D74F"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Mexico</w:t>
            </w:r>
          </w:p>
        </w:tc>
        <w:tc>
          <w:tcPr>
            <w:tcW w:w="1500" w:type="dxa"/>
            <w:tcBorders>
              <w:top w:val="nil"/>
              <w:left w:val="nil"/>
              <w:bottom w:val="nil"/>
              <w:right w:val="nil"/>
            </w:tcBorders>
            <w:shd w:val="clear" w:color="auto" w:fill="auto"/>
            <w:hideMark/>
          </w:tcPr>
          <w:p w14:paraId="74FAD9FF"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568A05D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65A8BDE6" w14:textId="77777777" w:rsidTr="00675823">
        <w:trPr>
          <w:trHeight w:val="259"/>
        </w:trPr>
        <w:tc>
          <w:tcPr>
            <w:tcW w:w="6300" w:type="dxa"/>
            <w:tcBorders>
              <w:top w:val="nil"/>
              <w:left w:val="nil"/>
              <w:bottom w:val="nil"/>
              <w:right w:val="nil"/>
            </w:tcBorders>
            <w:shd w:val="clear" w:color="auto" w:fill="auto"/>
            <w:vAlign w:val="center"/>
            <w:hideMark/>
          </w:tcPr>
          <w:p w14:paraId="45605C4D"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Marshall Islands</w:t>
            </w:r>
          </w:p>
        </w:tc>
        <w:tc>
          <w:tcPr>
            <w:tcW w:w="1500" w:type="dxa"/>
            <w:tcBorders>
              <w:top w:val="nil"/>
              <w:left w:val="nil"/>
              <w:bottom w:val="nil"/>
              <w:right w:val="nil"/>
            </w:tcBorders>
            <w:shd w:val="clear" w:color="auto" w:fill="auto"/>
            <w:hideMark/>
          </w:tcPr>
          <w:p w14:paraId="1CC1C879"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51347CE8"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0CB7C46D" w14:textId="77777777" w:rsidTr="00675823">
        <w:trPr>
          <w:trHeight w:val="259"/>
        </w:trPr>
        <w:tc>
          <w:tcPr>
            <w:tcW w:w="6300" w:type="dxa"/>
            <w:tcBorders>
              <w:top w:val="nil"/>
              <w:left w:val="nil"/>
              <w:bottom w:val="nil"/>
              <w:right w:val="nil"/>
            </w:tcBorders>
            <w:shd w:val="clear" w:color="auto" w:fill="auto"/>
            <w:hideMark/>
          </w:tcPr>
          <w:p w14:paraId="158A16CB"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Netherlands</w:t>
            </w:r>
          </w:p>
        </w:tc>
        <w:tc>
          <w:tcPr>
            <w:tcW w:w="1500" w:type="dxa"/>
            <w:tcBorders>
              <w:top w:val="nil"/>
              <w:left w:val="nil"/>
              <w:bottom w:val="nil"/>
              <w:right w:val="nil"/>
            </w:tcBorders>
            <w:shd w:val="clear" w:color="auto" w:fill="auto"/>
            <w:hideMark/>
          </w:tcPr>
          <w:p w14:paraId="6D993559"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2</w:t>
            </w:r>
          </w:p>
        </w:tc>
        <w:tc>
          <w:tcPr>
            <w:tcW w:w="1500" w:type="dxa"/>
            <w:tcBorders>
              <w:top w:val="nil"/>
              <w:left w:val="nil"/>
              <w:bottom w:val="nil"/>
              <w:right w:val="nil"/>
            </w:tcBorders>
            <w:shd w:val="clear" w:color="auto" w:fill="auto"/>
            <w:hideMark/>
          </w:tcPr>
          <w:p w14:paraId="29A07BB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1.4</w:t>
            </w:r>
          </w:p>
        </w:tc>
      </w:tr>
      <w:tr w:rsidR="00407CA7" w:rsidRPr="004268BB" w14:paraId="323BF00D" w14:textId="77777777" w:rsidTr="00675823">
        <w:trPr>
          <w:trHeight w:val="259"/>
        </w:trPr>
        <w:tc>
          <w:tcPr>
            <w:tcW w:w="6300" w:type="dxa"/>
            <w:tcBorders>
              <w:top w:val="nil"/>
              <w:left w:val="nil"/>
              <w:bottom w:val="nil"/>
              <w:right w:val="nil"/>
            </w:tcBorders>
            <w:shd w:val="clear" w:color="auto" w:fill="auto"/>
            <w:hideMark/>
          </w:tcPr>
          <w:p w14:paraId="00F73702"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Switzerland</w:t>
            </w:r>
          </w:p>
        </w:tc>
        <w:tc>
          <w:tcPr>
            <w:tcW w:w="1500" w:type="dxa"/>
            <w:tcBorders>
              <w:top w:val="nil"/>
              <w:left w:val="nil"/>
              <w:bottom w:val="nil"/>
              <w:right w:val="nil"/>
            </w:tcBorders>
            <w:shd w:val="clear" w:color="auto" w:fill="auto"/>
            <w:hideMark/>
          </w:tcPr>
          <w:p w14:paraId="2705FE0D"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2BF006A7"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080DE946" w14:textId="77777777" w:rsidTr="00675823">
        <w:trPr>
          <w:trHeight w:val="259"/>
        </w:trPr>
        <w:tc>
          <w:tcPr>
            <w:tcW w:w="6300" w:type="dxa"/>
            <w:tcBorders>
              <w:top w:val="nil"/>
              <w:left w:val="nil"/>
              <w:bottom w:val="nil"/>
              <w:right w:val="nil"/>
            </w:tcBorders>
            <w:shd w:val="clear" w:color="auto" w:fill="auto"/>
            <w:hideMark/>
          </w:tcPr>
          <w:p w14:paraId="4074E778"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United Kingdom</w:t>
            </w:r>
          </w:p>
        </w:tc>
        <w:tc>
          <w:tcPr>
            <w:tcW w:w="1500" w:type="dxa"/>
            <w:tcBorders>
              <w:top w:val="nil"/>
              <w:left w:val="nil"/>
              <w:bottom w:val="nil"/>
              <w:right w:val="nil"/>
            </w:tcBorders>
            <w:shd w:val="clear" w:color="auto" w:fill="auto"/>
            <w:hideMark/>
          </w:tcPr>
          <w:p w14:paraId="5FE0C663"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w:t>
            </w:r>
          </w:p>
        </w:tc>
        <w:tc>
          <w:tcPr>
            <w:tcW w:w="1500" w:type="dxa"/>
            <w:tcBorders>
              <w:top w:val="nil"/>
              <w:left w:val="nil"/>
              <w:bottom w:val="nil"/>
              <w:right w:val="nil"/>
            </w:tcBorders>
            <w:shd w:val="clear" w:color="auto" w:fill="auto"/>
            <w:hideMark/>
          </w:tcPr>
          <w:p w14:paraId="4D27B9C0"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0.7</w:t>
            </w:r>
          </w:p>
        </w:tc>
      </w:tr>
      <w:tr w:rsidR="00407CA7" w:rsidRPr="004268BB" w14:paraId="6FEFD0D1" w14:textId="77777777" w:rsidTr="00675823">
        <w:trPr>
          <w:trHeight w:val="259"/>
        </w:trPr>
        <w:tc>
          <w:tcPr>
            <w:tcW w:w="6300" w:type="dxa"/>
            <w:tcBorders>
              <w:top w:val="nil"/>
              <w:left w:val="nil"/>
              <w:bottom w:val="single" w:sz="12" w:space="0" w:color="auto"/>
              <w:right w:val="nil"/>
            </w:tcBorders>
            <w:shd w:val="clear" w:color="auto" w:fill="auto"/>
            <w:hideMark/>
          </w:tcPr>
          <w:p w14:paraId="18BAD2D6" w14:textId="77777777" w:rsidR="00407CA7" w:rsidRPr="004268BB" w:rsidRDefault="00407CA7" w:rsidP="00675823">
            <w:pPr>
              <w:spacing w:after="0" w:line="240" w:lineRule="auto"/>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United States</w:t>
            </w:r>
          </w:p>
        </w:tc>
        <w:tc>
          <w:tcPr>
            <w:tcW w:w="1500" w:type="dxa"/>
            <w:tcBorders>
              <w:top w:val="nil"/>
              <w:left w:val="nil"/>
              <w:bottom w:val="single" w:sz="12" w:space="0" w:color="auto"/>
              <w:right w:val="nil"/>
            </w:tcBorders>
            <w:shd w:val="clear" w:color="auto" w:fill="auto"/>
            <w:hideMark/>
          </w:tcPr>
          <w:p w14:paraId="52371C41"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111</w:t>
            </w:r>
          </w:p>
        </w:tc>
        <w:tc>
          <w:tcPr>
            <w:tcW w:w="1500" w:type="dxa"/>
            <w:tcBorders>
              <w:top w:val="nil"/>
              <w:left w:val="nil"/>
              <w:bottom w:val="single" w:sz="12" w:space="0" w:color="auto"/>
              <w:right w:val="nil"/>
            </w:tcBorders>
            <w:shd w:val="clear" w:color="auto" w:fill="auto"/>
            <w:hideMark/>
          </w:tcPr>
          <w:p w14:paraId="2743D284" w14:textId="77777777" w:rsidR="00407CA7" w:rsidRPr="004268BB" w:rsidRDefault="00407CA7" w:rsidP="00675823">
            <w:pPr>
              <w:spacing w:after="0" w:line="240" w:lineRule="auto"/>
              <w:jc w:val="center"/>
              <w:rPr>
                <w:rFonts w:ascii="Times New Roman" w:eastAsia="Times New Roman" w:hAnsi="Times New Roman" w:cs="Times New Roman"/>
                <w:color w:val="000000"/>
                <w:szCs w:val="24"/>
              </w:rPr>
            </w:pPr>
            <w:r w:rsidRPr="004268BB">
              <w:rPr>
                <w:rFonts w:ascii="Times New Roman" w:eastAsia="Times New Roman" w:hAnsi="Times New Roman" w:cs="Times New Roman"/>
                <w:color w:val="000000"/>
                <w:szCs w:val="24"/>
              </w:rPr>
              <w:t>76.6</w:t>
            </w:r>
          </w:p>
        </w:tc>
      </w:tr>
    </w:tbl>
    <w:p w14:paraId="5E2ACAF9" w14:textId="3AAAE051" w:rsidR="00407CA7" w:rsidRPr="004268BB" w:rsidRDefault="00407CA7" w:rsidP="00407CA7">
      <w:pPr>
        <w:spacing w:after="0" w:line="240" w:lineRule="auto"/>
        <w:jc w:val="both"/>
        <w:outlineLvl w:val="0"/>
        <w:rPr>
          <w:rFonts w:ascii="Times New Roman" w:eastAsia="Times New Roman" w:hAnsi="Times New Roman" w:cs="Times New Roman"/>
          <w:bCs/>
          <w:kern w:val="36"/>
        </w:rPr>
      </w:pPr>
      <w:r w:rsidRPr="004268BB">
        <w:rPr>
          <w:rFonts w:ascii="Times New Roman" w:hAnsi="Times New Roman" w:cs="Times New Roman"/>
          <w:szCs w:val="24"/>
        </w:rPr>
        <w:t>For the sample of 145 SPAC-IPO</w:t>
      </w:r>
      <w:r>
        <w:rPr>
          <w:rFonts w:ascii="Times New Roman" w:hAnsi="Times New Roman" w:cs="Times New Roman"/>
          <w:szCs w:val="24"/>
        </w:rPr>
        <w:t xml:space="preserve"> firms</w:t>
      </w:r>
      <w:r w:rsidRPr="004268BB">
        <w:rPr>
          <w:rFonts w:ascii="Times New Roman" w:hAnsi="Times New Roman" w:cs="Times New Roman"/>
          <w:szCs w:val="24"/>
        </w:rPr>
        <w:t>, the table presents the annual distribution of SPAC-IPOs, i.e., the year a private company is acquired by a SPAC and the private target company starts trading as a public company  (</w:t>
      </w:r>
      <w:r>
        <w:rPr>
          <w:rFonts w:ascii="Times New Roman" w:hAnsi="Times New Roman" w:cs="Times New Roman"/>
          <w:szCs w:val="24"/>
        </w:rPr>
        <w:t>d</w:t>
      </w:r>
      <w:r w:rsidRPr="004268BB">
        <w:rPr>
          <w:rFonts w:ascii="Times New Roman" w:hAnsi="Times New Roman" w:cs="Times New Roman"/>
          <w:szCs w:val="24"/>
        </w:rPr>
        <w:t>e</w:t>
      </w:r>
      <w:r w:rsidR="00135C45">
        <w:rPr>
          <w:rFonts w:ascii="Times New Roman" w:hAnsi="Times New Roman" w:cs="Times New Roman"/>
          <w:szCs w:val="24"/>
        </w:rPr>
        <w:t>-</w:t>
      </w:r>
      <w:r w:rsidRPr="004268BB">
        <w:rPr>
          <w:rFonts w:ascii="Times New Roman" w:hAnsi="Times New Roman" w:cs="Times New Roman"/>
          <w:szCs w:val="24"/>
        </w:rPr>
        <w:t>SPAC year), as well as the distribution by industry and by the country of incorporation.</w:t>
      </w:r>
    </w:p>
    <w:p w14:paraId="2AB9A5C6" w14:textId="77777777" w:rsidR="00407CA7" w:rsidRDefault="00407CA7" w:rsidP="00407CA7">
      <w:r>
        <w:br w:type="page"/>
      </w:r>
    </w:p>
    <w:tbl>
      <w:tblPr>
        <w:tblW w:w="5064" w:type="pct"/>
        <w:tblLook w:val="04A0" w:firstRow="1" w:lastRow="0" w:firstColumn="1" w:lastColumn="0" w:noHBand="0" w:noVBand="1"/>
      </w:tblPr>
      <w:tblGrid>
        <w:gridCol w:w="1970"/>
        <w:gridCol w:w="641"/>
        <w:gridCol w:w="569"/>
        <w:gridCol w:w="9"/>
        <w:gridCol w:w="980"/>
        <w:gridCol w:w="239"/>
        <w:gridCol w:w="766"/>
        <w:gridCol w:w="406"/>
        <w:gridCol w:w="275"/>
        <w:gridCol w:w="277"/>
        <w:gridCol w:w="275"/>
        <w:gridCol w:w="677"/>
        <w:gridCol w:w="320"/>
        <w:gridCol w:w="157"/>
        <w:gridCol w:w="753"/>
        <w:gridCol w:w="93"/>
        <w:gridCol w:w="235"/>
        <w:gridCol w:w="720"/>
        <w:gridCol w:w="118"/>
      </w:tblGrid>
      <w:tr w:rsidR="00D652C8" w:rsidRPr="004268BB" w14:paraId="2729EDBC" w14:textId="77777777" w:rsidTr="000669E5">
        <w:trPr>
          <w:gridAfter w:val="1"/>
          <w:wAfter w:w="62" w:type="pct"/>
          <w:trHeight w:val="315"/>
        </w:trPr>
        <w:tc>
          <w:tcPr>
            <w:tcW w:w="4938" w:type="pct"/>
            <w:gridSpan w:val="18"/>
            <w:tcBorders>
              <w:top w:val="nil"/>
              <w:left w:val="nil"/>
              <w:bottom w:val="nil"/>
              <w:right w:val="nil"/>
            </w:tcBorders>
            <w:shd w:val="clear" w:color="auto" w:fill="auto"/>
            <w:noWrap/>
            <w:vAlign w:val="bottom"/>
            <w:hideMark/>
          </w:tcPr>
          <w:p w14:paraId="29D68E9D" w14:textId="77777777" w:rsidR="00D652C8" w:rsidRPr="004268BB" w:rsidRDefault="00D652C8" w:rsidP="000669E5">
            <w:pPr>
              <w:spacing w:after="0" w:line="240" w:lineRule="auto"/>
              <w:rPr>
                <w:rFonts w:ascii="Times New Roman" w:eastAsia="Times New Roman" w:hAnsi="Times New Roman" w:cs="Times New Roman"/>
                <w:b/>
                <w:bCs/>
                <w:color w:val="000000"/>
              </w:rPr>
            </w:pPr>
            <w:r w:rsidRPr="004268BB">
              <w:rPr>
                <w:rFonts w:ascii="Times New Roman" w:eastAsia="Times New Roman" w:hAnsi="Times New Roman" w:cs="Times New Roman"/>
                <w:b/>
                <w:bCs/>
                <w:color w:val="000000"/>
              </w:rPr>
              <w:lastRenderedPageBreak/>
              <w:t>Table 2</w:t>
            </w:r>
          </w:p>
        </w:tc>
      </w:tr>
      <w:tr w:rsidR="00D652C8" w:rsidRPr="004268BB" w14:paraId="4B1FD53D" w14:textId="77777777" w:rsidTr="00EA6EAA">
        <w:trPr>
          <w:gridAfter w:val="1"/>
          <w:wAfter w:w="62" w:type="pct"/>
          <w:trHeight w:val="20"/>
        </w:trPr>
        <w:tc>
          <w:tcPr>
            <w:tcW w:w="4938" w:type="pct"/>
            <w:gridSpan w:val="18"/>
            <w:tcBorders>
              <w:top w:val="nil"/>
              <w:left w:val="nil"/>
              <w:bottom w:val="single" w:sz="8" w:space="0" w:color="auto"/>
              <w:right w:val="nil"/>
            </w:tcBorders>
            <w:shd w:val="clear" w:color="auto" w:fill="auto"/>
            <w:noWrap/>
            <w:vAlign w:val="bottom"/>
            <w:hideMark/>
          </w:tcPr>
          <w:p w14:paraId="0E9210D4" w14:textId="77777777" w:rsidR="00D652C8"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Descriptive </w:t>
            </w:r>
            <w:r>
              <w:rPr>
                <w:rFonts w:ascii="Times New Roman" w:eastAsia="Times New Roman" w:hAnsi="Times New Roman" w:cs="Times New Roman"/>
                <w:color w:val="000000"/>
              </w:rPr>
              <w:t>S</w:t>
            </w:r>
            <w:r w:rsidRPr="004268BB">
              <w:rPr>
                <w:rFonts w:ascii="Times New Roman" w:eastAsia="Times New Roman" w:hAnsi="Times New Roman" w:cs="Times New Roman"/>
                <w:color w:val="000000"/>
              </w:rPr>
              <w:t>tatistics.</w:t>
            </w:r>
          </w:p>
          <w:p w14:paraId="149C4C17" w14:textId="77777777" w:rsidR="00D652C8" w:rsidRPr="004268BB" w:rsidRDefault="00D652C8" w:rsidP="000669E5">
            <w:pPr>
              <w:spacing w:after="0" w:line="240" w:lineRule="auto"/>
              <w:rPr>
                <w:rFonts w:ascii="Times New Roman" w:eastAsia="Times New Roman" w:hAnsi="Times New Roman" w:cs="Times New Roman"/>
                <w:color w:val="000000"/>
              </w:rPr>
            </w:pPr>
          </w:p>
        </w:tc>
      </w:tr>
      <w:tr w:rsidR="00D652C8" w:rsidRPr="004268BB" w14:paraId="1C061FCC" w14:textId="77777777" w:rsidTr="00EA6EAA">
        <w:trPr>
          <w:gridAfter w:val="1"/>
          <w:wAfter w:w="62" w:type="pct"/>
          <w:trHeight w:val="20"/>
        </w:trPr>
        <w:tc>
          <w:tcPr>
            <w:tcW w:w="4938" w:type="pct"/>
            <w:gridSpan w:val="18"/>
            <w:tcBorders>
              <w:top w:val="single" w:sz="12" w:space="0" w:color="auto"/>
              <w:left w:val="nil"/>
              <w:bottom w:val="nil"/>
              <w:right w:val="nil"/>
            </w:tcBorders>
            <w:shd w:val="clear" w:color="auto" w:fill="auto"/>
            <w:noWrap/>
            <w:vAlign w:val="bottom"/>
          </w:tcPr>
          <w:p w14:paraId="1F44588F" w14:textId="2E862853" w:rsidR="00D652C8" w:rsidRPr="004268BB" w:rsidRDefault="00D652C8" w:rsidP="000669E5">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Panel A: Univariate comparisons between SPAC- </w:t>
            </w:r>
            <w:r w:rsidR="00EF6D58">
              <w:rPr>
                <w:rFonts w:ascii="Times New Roman" w:eastAsia="Times New Roman" w:hAnsi="Times New Roman" w:cs="Times New Roman"/>
                <w:bCs/>
                <w:color w:val="000000"/>
              </w:rPr>
              <w:t xml:space="preserve">and </w:t>
            </w:r>
            <w:r>
              <w:rPr>
                <w:rFonts w:ascii="Times New Roman" w:eastAsia="Times New Roman" w:hAnsi="Times New Roman" w:cs="Times New Roman"/>
                <w:bCs/>
                <w:color w:val="000000"/>
              </w:rPr>
              <w:t>non-SPAC-IPOs</w:t>
            </w:r>
          </w:p>
        </w:tc>
      </w:tr>
      <w:tr w:rsidR="00D652C8" w:rsidRPr="004268BB" w14:paraId="4C98E105" w14:textId="77777777" w:rsidTr="00EA6EAA">
        <w:trPr>
          <w:gridAfter w:val="1"/>
          <w:wAfter w:w="62" w:type="pct"/>
          <w:trHeight w:val="20"/>
        </w:trPr>
        <w:tc>
          <w:tcPr>
            <w:tcW w:w="1377" w:type="pct"/>
            <w:gridSpan w:val="2"/>
            <w:tcBorders>
              <w:top w:val="single" w:sz="12" w:space="0" w:color="auto"/>
              <w:left w:val="nil"/>
              <w:bottom w:val="nil"/>
              <w:right w:val="nil"/>
            </w:tcBorders>
            <w:shd w:val="clear" w:color="auto" w:fill="auto"/>
            <w:noWrap/>
            <w:vAlign w:val="bottom"/>
            <w:hideMark/>
          </w:tcPr>
          <w:p w14:paraId="31FE9147"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305" w:type="pct"/>
            <w:gridSpan w:val="2"/>
            <w:tcBorders>
              <w:top w:val="single" w:sz="12" w:space="0" w:color="auto"/>
              <w:left w:val="nil"/>
              <w:bottom w:val="nil"/>
              <w:right w:val="nil"/>
            </w:tcBorders>
            <w:shd w:val="clear" w:color="auto" w:fill="auto"/>
            <w:noWrap/>
            <w:vAlign w:val="bottom"/>
            <w:hideMark/>
          </w:tcPr>
          <w:p w14:paraId="0E18252A" w14:textId="77777777" w:rsidR="00D652C8" w:rsidRPr="004268BB" w:rsidRDefault="00D652C8" w:rsidP="000669E5">
            <w:pPr>
              <w:spacing w:after="0" w:line="240" w:lineRule="auto"/>
              <w:rPr>
                <w:rFonts w:ascii="Times New Roman" w:eastAsia="Times New Roman" w:hAnsi="Times New Roman" w:cs="Times New Roman"/>
              </w:rPr>
            </w:pPr>
          </w:p>
        </w:tc>
        <w:tc>
          <w:tcPr>
            <w:tcW w:w="1552" w:type="pct"/>
            <w:gridSpan w:val="6"/>
            <w:tcBorders>
              <w:top w:val="single" w:sz="12" w:space="0" w:color="auto"/>
              <w:left w:val="nil"/>
              <w:bottom w:val="single" w:sz="4" w:space="0" w:color="auto"/>
              <w:right w:val="nil"/>
            </w:tcBorders>
            <w:shd w:val="clear" w:color="auto" w:fill="auto"/>
            <w:noWrap/>
            <w:vAlign w:val="bottom"/>
            <w:hideMark/>
          </w:tcPr>
          <w:p w14:paraId="4F5683F7"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SPAC-IPOs</w:t>
            </w:r>
          </w:p>
        </w:tc>
        <w:tc>
          <w:tcPr>
            <w:tcW w:w="145" w:type="pct"/>
            <w:tcBorders>
              <w:top w:val="single" w:sz="12" w:space="0" w:color="auto"/>
              <w:left w:val="nil"/>
              <w:bottom w:val="nil"/>
              <w:right w:val="nil"/>
            </w:tcBorders>
            <w:shd w:val="clear" w:color="auto" w:fill="auto"/>
            <w:noWrap/>
            <w:vAlign w:val="bottom"/>
            <w:hideMark/>
          </w:tcPr>
          <w:p w14:paraId="45116E0D"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p>
        </w:tc>
        <w:tc>
          <w:tcPr>
            <w:tcW w:w="1559" w:type="pct"/>
            <w:gridSpan w:val="7"/>
            <w:tcBorders>
              <w:top w:val="single" w:sz="12" w:space="0" w:color="auto"/>
              <w:left w:val="nil"/>
              <w:bottom w:val="single" w:sz="4" w:space="0" w:color="auto"/>
              <w:right w:val="nil"/>
            </w:tcBorders>
            <w:shd w:val="clear" w:color="auto" w:fill="auto"/>
            <w:noWrap/>
            <w:vAlign w:val="bottom"/>
            <w:hideMark/>
          </w:tcPr>
          <w:p w14:paraId="48B7C1F6"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Non-SPAC-IPOs</w:t>
            </w:r>
          </w:p>
        </w:tc>
      </w:tr>
      <w:tr w:rsidR="00D652C8" w:rsidRPr="004268BB" w14:paraId="6A85179F" w14:textId="77777777" w:rsidTr="00EA6EAA">
        <w:trPr>
          <w:gridAfter w:val="1"/>
          <w:wAfter w:w="62" w:type="pct"/>
          <w:trHeight w:val="20"/>
        </w:trPr>
        <w:tc>
          <w:tcPr>
            <w:tcW w:w="1377" w:type="pct"/>
            <w:gridSpan w:val="2"/>
            <w:tcBorders>
              <w:top w:val="nil"/>
              <w:left w:val="nil"/>
              <w:bottom w:val="single" w:sz="12" w:space="0" w:color="auto"/>
              <w:right w:val="nil"/>
            </w:tcBorders>
            <w:shd w:val="clear" w:color="auto" w:fill="auto"/>
            <w:vAlign w:val="bottom"/>
            <w:hideMark/>
          </w:tcPr>
          <w:p w14:paraId="1FFD50D0" w14:textId="77777777" w:rsidR="00D652C8" w:rsidRPr="004268BB" w:rsidRDefault="00D652C8" w:rsidP="000669E5">
            <w:pPr>
              <w:spacing w:after="0" w:line="240" w:lineRule="auto"/>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Variable</w:t>
            </w:r>
          </w:p>
        </w:tc>
        <w:tc>
          <w:tcPr>
            <w:tcW w:w="305" w:type="pct"/>
            <w:gridSpan w:val="2"/>
            <w:tcBorders>
              <w:top w:val="nil"/>
              <w:left w:val="nil"/>
              <w:bottom w:val="single" w:sz="12" w:space="0" w:color="auto"/>
              <w:right w:val="nil"/>
            </w:tcBorders>
            <w:shd w:val="clear" w:color="auto" w:fill="auto"/>
            <w:vAlign w:val="bottom"/>
            <w:hideMark/>
          </w:tcPr>
          <w:p w14:paraId="541206CA"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N</w:t>
            </w:r>
          </w:p>
        </w:tc>
        <w:tc>
          <w:tcPr>
            <w:tcW w:w="517" w:type="pct"/>
            <w:tcBorders>
              <w:top w:val="nil"/>
              <w:left w:val="nil"/>
              <w:bottom w:val="single" w:sz="12" w:space="0" w:color="auto"/>
              <w:right w:val="nil"/>
            </w:tcBorders>
            <w:shd w:val="clear" w:color="auto" w:fill="auto"/>
            <w:vAlign w:val="bottom"/>
            <w:hideMark/>
          </w:tcPr>
          <w:p w14:paraId="529B5B4F"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Mean</w:t>
            </w:r>
          </w:p>
        </w:tc>
        <w:tc>
          <w:tcPr>
            <w:tcW w:w="530" w:type="pct"/>
            <w:gridSpan w:val="2"/>
            <w:tcBorders>
              <w:top w:val="nil"/>
              <w:left w:val="nil"/>
              <w:bottom w:val="single" w:sz="12" w:space="0" w:color="auto"/>
              <w:right w:val="nil"/>
            </w:tcBorders>
            <w:shd w:val="clear" w:color="auto" w:fill="auto"/>
            <w:vAlign w:val="bottom"/>
            <w:hideMark/>
          </w:tcPr>
          <w:p w14:paraId="2D0ABD11"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Median</w:t>
            </w:r>
          </w:p>
        </w:tc>
        <w:tc>
          <w:tcPr>
            <w:tcW w:w="505" w:type="pct"/>
            <w:gridSpan w:val="3"/>
            <w:tcBorders>
              <w:top w:val="nil"/>
              <w:left w:val="nil"/>
              <w:bottom w:val="single" w:sz="12" w:space="0" w:color="auto"/>
              <w:right w:val="nil"/>
            </w:tcBorders>
            <w:shd w:val="clear" w:color="auto" w:fill="auto"/>
            <w:vAlign w:val="bottom"/>
            <w:hideMark/>
          </w:tcPr>
          <w:p w14:paraId="10040713"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 xml:space="preserve">Std. </w:t>
            </w:r>
          </w:p>
        </w:tc>
        <w:tc>
          <w:tcPr>
            <w:tcW w:w="145" w:type="pct"/>
            <w:tcBorders>
              <w:top w:val="nil"/>
              <w:left w:val="nil"/>
              <w:bottom w:val="single" w:sz="12" w:space="0" w:color="auto"/>
              <w:right w:val="nil"/>
            </w:tcBorders>
            <w:shd w:val="clear" w:color="auto" w:fill="auto"/>
            <w:vAlign w:val="bottom"/>
            <w:hideMark/>
          </w:tcPr>
          <w:p w14:paraId="05902BD6"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 </w:t>
            </w:r>
          </w:p>
        </w:tc>
        <w:tc>
          <w:tcPr>
            <w:tcW w:w="526" w:type="pct"/>
            <w:gridSpan w:val="2"/>
            <w:tcBorders>
              <w:top w:val="nil"/>
              <w:left w:val="nil"/>
              <w:bottom w:val="single" w:sz="12" w:space="0" w:color="auto"/>
              <w:right w:val="nil"/>
            </w:tcBorders>
            <w:shd w:val="clear" w:color="auto" w:fill="auto"/>
            <w:vAlign w:val="bottom"/>
            <w:hideMark/>
          </w:tcPr>
          <w:p w14:paraId="06EE729C"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Mean</w:t>
            </w:r>
          </w:p>
        </w:tc>
        <w:tc>
          <w:tcPr>
            <w:tcW w:w="529" w:type="pct"/>
            <w:gridSpan w:val="3"/>
            <w:tcBorders>
              <w:top w:val="nil"/>
              <w:left w:val="nil"/>
              <w:bottom w:val="single" w:sz="8" w:space="0" w:color="auto"/>
              <w:right w:val="nil"/>
            </w:tcBorders>
            <w:shd w:val="clear" w:color="auto" w:fill="auto"/>
            <w:vAlign w:val="bottom"/>
            <w:hideMark/>
          </w:tcPr>
          <w:p w14:paraId="04AF7130"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Median</w:t>
            </w:r>
          </w:p>
        </w:tc>
        <w:tc>
          <w:tcPr>
            <w:tcW w:w="504" w:type="pct"/>
            <w:gridSpan w:val="2"/>
            <w:tcBorders>
              <w:top w:val="nil"/>
              <w:left w:val="nil"/>
              <w:bottom w:val="single" w:sz="8" w:space="0" w:color="auto"/>
              <w:right w:val="nil"/>
            </w:tcBorders>
            <w:shd w:val="clear" w:color="auto" w:fill="auto"/>
            <w:vAlign w:val="bottom"/>
            <w:hideMark/>
          </w:tcPr>
          <w:p w14:paraId="5995FFD9" w14:textId="77777777" w:rsidR="00D652C8" w:rsidRPr="004268BB" w:rsidRDefault="00D652C8" w:rsidP="000669E5">
            <w:pPr>
              <w:spacing w:after="0" w:line="240" w:lineRule="auto"/>
              <w:jc w:val="center"/>
              <w:rPr>
                <w:rFonts w:ascii="Times New Roman" w:eastAsia="Times New Roman" w:hAnsi="Times New Roman" w:cs="Times New Roman"/>
                <w:bCs/>
                <w:color w:val="000000"/>
              </w:rPr>
            </w:pPr>
            <w:r w:rsidRPr="004268BB">
              <w:rPr>
                <w:rFonts w:ascii="Times New Roman" w:eastAsia="Times New Roman" w:hAnsi="Times New Roman" w:cs="Times New Roman"/>
                <w:bCs/>
                <w:color w:val="000000"/>
              </w:rPr>
              <w:t xml:space="preserve">Std. </w:t>
            </w:r>
          </w:p>
        </w:tc>
      </w:tr>
      <w:tr w:rsidR="00D652C8" w:rsidRPr="004268BB" w14:paraId="18C3BD49" w14:textId="77777777" w:rsidTr="00EA6EAA">
        <w:trPr>
          <w:gridAfter w:val="1"/>
          <w:wAfter w:w="62" w:type="pct"/>
          <w:trHeight w:val="20"/>
        </w:trPr>
        <w:tc>
          <w:tcPr>
            <w:tcW w:w="1377" w:type="pct"/>
            <w:gridSpan w:val="2"/>
            <w:tcBorders>
              <w:top w:val="single" w:sz="12" w:space="0" w:color="auto"/>
              <w:left w:val="nil"/>
              <w:bottom w:val="nil"/>
              <w:right w:val="nil"/>
            </w:tcBorders>
            <w:shd w:val="clear" w:color="auto" w:fill="auto"/>
            <w:noWrap/>
            <w:vAlign w:val="bottom"/>
          </w:tcPr>
          <w:p w14:paraId="0EE82F44" w14:textId="77777777" w:rsidR="00D652C8" w:rsidRPr="004268BB" w:rsidRDefault="00D652C8" w:rsidP="000669E5">
            <w:pPr>
              <w:spacing w:after="0" w:line="240" w:lineRule="auto"/>
              <w:rPr>
                <w:rFonts w:ascii="Times New Roman" w:eastAsia="Times New Roman" w:hAnsi="Times New Roman" w:cs="Times New Roman"/>
                <w:i/>
                <w:iCs/>
                <w:color w:val="000000"/>
              </w:rPr>
            </w:pPr>
          </w:p>
        </w:tc>
        <w:tc>
          <w:tcPr>
            <w:tcW w:w="305" w:type="pct"/>
            <w:gridSpan w:val="2"/>
            <w:tcBorders>
              <w:top w:val="single" w:sz="12" w:space="0" w:color="auto"/>
              <w:left w:val="nil"/>
              <w:bottom w:val="nil"/>
              <w:right w:val="nil"/>
            </w:tcBorders>
            <w:shd w:val="clear" w:color="auto" w:fill="auto"/>
          </w:tcPr>
          <w:p w14:paraId="7C6A0AE2"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517" w:type="pct"/>
            <w:tcBorders>
              <w:top w:val="single" w:sz="12" w:space="0" w:color="auto"/>
              <w:left w:val="nil"/>
              <w:bottom w:val="nil"/>
              <w:right w:val="nil"/>
            </w:tcBorders>
            <w:shd w:val="clear" w:color="auto" w:fill="auto"/>
          </w:tcPr>
          <w:p w14:paraId="0B306F60"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530" w:type="pct"/>
            <w:gridSpan w:val="2"/>
            <w:tcBorders>
              <w:top w:val="single" w:sz="12" w:space="0" w:color="auto"/>
              <w:left w:val="nil"/>
              <w:bottom w:val="nil"/>
              <w:right w:val="nil"/>
            </w:tcBorders>
            <w:shd w:val="clear" w:color="auto" w:fill="auto"/>
          </w:tcPr>
          <w:p w14:paraId="5C2D5F4F"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505" w:type="pct"/>
            <w:gridSpan w:val="3"/>
            <w:tcBorders>
              <w:top w:val="single" w:sz="12" w:space="0" w:color="auto"/>
              <w:left w:val="nil"/>
              <w:bottom w:val="nil"/>
              <w:right w:val="nil"/>
            </w:tcBorders>
            <w:shd w:val="clear" w:color="auto" w:fill="auto"/>
          </w:tcPr>
          <w:p w14:paraId="53AE44B2"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145" w:type="pct"/>
            <w:tcBorders>
              <w:top w:val="single" w:sz="12" w:space="0" w:color="auto"/>
              <w:left w:val="nil"/>
              <w:bottom w:val="nil"/>
              <w:right w:val="nil"/>
            </w:tcBorders>
            <w:shd w:val="clear" w:color="auto" w:fill="auto"/>
          </w:tcPr>
          <w:p w14:paraId="5F8E4930"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tcPr>
          <w:p w14:paraId="709A9F2F"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570" w:type="pct"/>
            <w:gridSpan w:val="3"/>
            <w:tcBorders>
              <w:top w:val="single" w:sz="12" w:space="0" w:color="auto"/>
              <w:left w:val="nil"/>
              <w:bottom w:val="nil"/>
              <w:right w:val="nil"/>
            </w:tcBorders>
            <w:shd w:val="clear" w:color="auto" w:fill="auto"/>
          </w:tcPr>
          <w:p w14:paraId="76D9CBBA"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380" w:type="pct"/>
            <w:tcBorders>
              <w:top w:val="single" w:sz="12" w:space="0" w:color="auto"/>
              <w:left w:val="nil"/>
              <w:bottom w:val="nil"/>
              <w:right w:val="nil"/>
            </w:tcBorders>
            <w:shd w:val="clear" w:color="auto" w:fill="auto"/>
          </w:tcPr>
          <w:p w14:paraId="1C698FF0"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r>
      <w:tr w:rsidR="00D652C8" w:rsidRPr="004268BB" w14:paraId="2EE05883"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28415DDB"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PROCEEDS</w:t>
            </w:r>
            <w:r w:rsidRPr="004268BB">
              <w:rPr>
                <w:rFonts w:ascii="Times New Roman" w:eastAsia="Times New Roman" w:hAnsi="Times New Roman" w:cs="Times New Roman"/>
                <w:color w:val="000000"/>
              </w:rPr>
              <w:t xml:space="preserve"> ($ million)</w:t>
            </w:r>
          </w:p>
        </w:tc>
        <w:tc>
          <w:tcPr>
            <w:tcW w:w="305" w:type="pct"/>
            <w:gridSpan w:val="2"/>
            <w:tcBorders>
              <w:top w:val="nil"/>
              <w:left w:val="nil"/>
              <w:bottom w:val="nil"/>
              <w:right w:val="nil"/>
            </w:tcBorders>
            <w:shd w:val="clear" w:color="auto" w:fill="auto"/>
            <w:hideMark/>
          </w:tcPr>
          <w:p w14:paraId="6EBA6735"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0016557E"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220</w:t>
            </w:r>
          </w:p>
        </w:tc>
        <w:tc>
          <w:tcPr>
            <w:tcW w:w="530" w:type="pct"/>
            <w:gridSpan w:val="2"/>
            <w:tcBorders>
              <w:top w:val="nil"/>
              <w:left w:val="nil"/>
              <w:bottom w:val="nil"/>
              <w:right w:val="nil"/>
            </w:tcBorders>
            <w:shd w:val="clear" w:color="auto" w:fill="auto"/>
            <w:hideMark/>
          </w:tcPr>
          <w:p w14:paraId="73DA725A"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176</w:t>
            </w:r>
          </w:p>
        </w:tc>
        <w:tc>
          <w:tcPr>
            <w:tcW w:w="505" w:type="pct"/>
            <w:gridSpan w:val="3"/>
            <w:tcBorders>
              <w:top w:val="nil"/>
              <w:left w:val="nil"/>
              <w:bottom w:val="nil"/>
              <w:right w:val="nil"/>
            </w:tcBorders>
            <w:shd w:val="clear" w:color="auto" w:fill="auto"/>
            <w:hideMark/>
          </w:tcPr>
          <w:p w14:paraId="1E61CDA7"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171</w:t>
            </w:r>
          </w:p>
        </w:tc>
        <w:tc>
          <w:tcPr>
            <w:tcW w:w="145" w:type="pct"/>
            <w:tcBorders>
              <w:top w:val="nil"/>
              <w:left w:val="nil"/>
              <w:bottom w:val="nil"/>
              <w:right w:val="nil"/>
            </w:tcBorders>
            <w:shd w:val="clear" w:color="auto" w:fill="auto"/>
            <w:hideMark/>
          </w:tcPr>
          <w:p w14:paraId="291B3099"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13242883"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21</w:t>
            </w:r>
            <w:r>
              <w:rPr>
                <w:rFonts w:ascii="Times New Roman" w:eastAsia="Times New Roman" w:hAnsi="Times New Roman" w:cs="Times New Roman"/>
                <w:color w:val="000000"/>
              </w:rPr>
              <w:t>8</w:t>
            </w:r>
          </w:p>
        </w:tc>
        <w:tc>
          <w:tcPr>
            <w:tcW w:w="570" w:type="pct"/>
            <w:gridSpan w:val="3"/>
            <w:tcBorders>
              <w:top w:val="nil"/>
              <w:left w:val="nil"/>
              <w:bottom w:val="nil"/>
              <w:right w:val="nil"/>
            </w:tcBorders>
            <w:shd w:val="clear" w:color="auto" w:fill="auto"/>
            <w:hideMark/>
          </w:tcPr>
          <w:p w14:paraId="6D32F5A4"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176</w:t>
            </w:r>
          </w:p>
        </w:tc>
        <w:tc>
          <w:tcPr>
            <w:tcW w:w="380" w:type="pct"/>
            <w:tcBorders>
              <w:top w:val="nil"/>
              <w:left w:val="nil"/>
              <w:bottom w:val="nil"/>
              <w:right w:val="nil"/>
            </w:tcBorders>
            <w:shd w:val="clear" w:color="auto" w:fill="auto"/>
            <w:hideMark/>
          </w:tcPr>
          <w:p w14:paraId="57067C6D"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164</w:t>
            </w:r>
          </w:p>
        </w:tc>
      </w:tr>
      <w:tr w:rsidR="00D652C8" w:rsidRPr="004268BB" w14:paraId="05022F7D"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center"/>
            <w:hideMark/>
          </w:tcPr>
          <w:p w14:paraId="6FB0572E"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ASSETS</w:t>
            </w:r>
            <w:r w:rsidRPr="004268BB">
              <w:rPr>
                <w:rFonts w:ascii="Times New Roman" w:eastAsia="Times New Roman" w:hAnsi="Times New Roman" w:cs="Times New Roman"/>
                <w:color w:val="000000"/>
              </w:rPr>
              <w:t xml:space="preserve"> ($ million)</w:t>
            </w:r>
          </w:p>
        </w:tc>
        <w:tc>
          <w:tcPr>
            <w:tcW w:w="305" w:type="pct"/>
            <w:gridSpan w:val="2"/>
            <w:tcBorders>
              <w:top w:val="nil"/>
              <w:left w:val="nil"/>
              <w:bottom w:val="nil"/>
              <w:right w:val="nil"/>
            </w:tcBorders>
            <w:shd w:val="clear" w:color="auto" w:fill="auto"/>
            <w:hideMark/>
          </w:tcPr>
          <w:p w14:paraId="5B0D6563"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2BF7738A"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71</w:t>
            </w:r>
            <w:r>
              <w:rPr>
                <w:rFonts w:ascii="Times New Roman" w:eastAsia="Times New Roman" w:hAnsi="Times New Roman" w:cs="Times New Roman"/>
                <w:color w:val="000000"/>
              </w:rPr>
              <w:t>3</w:t>
            </w:r>
          </w:p>
        </w:tc>
        <w:tc>
          <w:tcPr>
            <w:tcW w:w="530" w:type="pct"/>
            <w:gridSpan w:val="2"/>
            <w:tcBorders>
              <w:top w:val="nil"/>
              <w:left w:val="nil"/>
              <w:bottom w:val="nil"/>
              <w:right w:val="nil"/>
            </w:tcBorders>
            <w:shd w:val="clear" w:color="auto" w:fill="auto"/>
            <w:hideMark/>
          </w:tcPr>
          <w:p w14:paraId="4F18302D"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31</w:t>
            </w:r>
            <w:r>
              <w:rPr>
                <w:rFonts w:ascii="Times New Roman" w:eastAsia="Times New Roman" w:hAnsi="Times New Roman" w:cs="Times New Roman"/>
                <w:color w:val="000000"/>
              </w:rPr>
              <w:t>0</w:t>
            </w:r>
          </w:p>
        </w:tc>
        <w:tc>
          <w:tcPr>
            <w:tcW w:w="505" w:type="pct"/>
            <w:gridSpan w:val="3"/>
            <w:tcBorders>
              <w:top w:val="nil"/>
              <w:left w:val="nil"/>
              <w:bottom w:val="nil"/>
              <w:right w:val="nil"/>
            </w:tcBorders>
            <w:shd w:val="clear" w:color="auto" w:fill="auto"/>
            <w:hideMark/>
          </w:tcPr>
          <w:p w14:paraId="6DFD0D48"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1,143</w:t>
            </w:r>
          </w:p>
        </w:tc>
        <w:tc>
          <w:tcPr>
            <w:tcW w:w="145" w:type="pct"/>
            <w:tcBorders>
              <w:top w:val="nil"/>
              <w:left w:val="nil"/>
              <w:bottom w:val="nil"/>
              <w:right w:val="nil"/>
            </w:tcBorders>
            <w:shd w:val="clear" w:color="auto" w:fill="auto"/>
            <w:hideMark/>
          </w:tcPr>
          <w:p w14:paraId="1FF36251"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570F8B46"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79</w:t>
            </w:r>
          </w:p>
        </w:tc>
        <w:tc>
          <w:tcPr>
            <w:tcW w:w="570" w:type="pct"/>
            <w:gridSpan w:val="3"/>
            <w:tcBorders>
              <w:top w:val="nil"/>
              <w:left w:val="nil"/>
              <w:bottom w:val="nil"/>
              <w:right w:val="nil"/>
            </w:tcBorders>
            <w:shd w:val="clear" w:color="auto" w:fill="auto"/>
            <w:hideMark/>
          </w:tcPr>
          <w:p w14:paraId="0A5EF212"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447**</w:t>
            </w:r>
          </w:p>
        </w:tc>
        <w:tc>
          <w:tcPr>
            <w:tcW w:w="380" w:type="pct"/>
            <w:tcBorders>
              <w:top w:val="nil"/>
              <w:left w:val="nil"/>
              <w:bottom w:val="nil"/>
              <w:right w:val="nil"/>
            </w:tcBorders>
            <w:shd w:val="clear" w:color="auto" w:fill="auto"/>
            <w:hideMark/>
          </w:tcPr>
          <w:p w14:paraId="777956C1"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1,315</w:t>
            </w:r>
          </w:p>
        </w:tc>
      </w:tr>
      <w:tr w:rsidR="00D652C8" w:rsidRPr="004268BB" w14:paraId="173926F7"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3FE48E2D"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ASSETTURNOVER</w:t>
            </w:r>
          </w:p>
        </w:tc>
        <w:tc>
          <w:tcPr>
            <w:tcW w:w="305" w:type="pct"/>
            <w:gridSpan w:val="2"/>
            <w:tcBorders>
              <w:top w:val="nil"/>
              <w:left w:val="nil"/>
              <w:bottom w:val="nil"/>
              <w:right w:val="nil"/>
            </w:tcBorders>
            <w:shd w:val="clear" w:color="auto" w:fill="auto"/>
            <w:hideMark/>
          </w:tcPr>
          <w:p w14:paraId="3E2F1DED"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309BF52D"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0.8</w:t>
            </w:r>
            <w:r>
              <w:rPr>
                <w:rFonts w:ascii="Times New Roman" w:eastAsia="Times New Roman" w:hAnsi="Times New Roman" w:cs="Times New Roman"/>
                <w:color w:val="000000"/>
              </w:rPr>
              <w:t>1</w:t>
            </w:r>
          </w:p>
        </w:tc>
        <w:tc>
          <w:tcPr>
            <w:tcW w:w="530" w:type="pct"/>
            <w:gridSpan w:val="2"/>
            <w:tcBorders>
              <w:top w:val="nil"/>
              <w:left w:val="nil"/>
              <w:bottom w:val="nil"/>
              <w:right w:val="nil"/>
            </w:tcBorders>
            <w:shd w:val="clear" w:color="auto" w:fill="auto"/>
            <w:hideMark/>
          </w:tcPr>
          <w:p w14:paraId="6A197E4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0.47</w:t>
            </w:r>
          </w:p>
        </w:tc>
        <w:tc>
          <w:tcPr>
            <w:tcW w:w="505" w:type="pct"/>
            <w:gridSpan w:val="3"/>
            <w:tcBorders>
              <w:top w:val="nil"/>
              <w:left w:val="nil"/>
              <w:bottom w:val="nil"/>
              <w:right w:val="nil"/>
            </w:tcBorders>
            <w:shd w:val="clear" w:color="auto" w:fill="auto"/>
            <w:hideMark/>
          </w:tcPr>
          <w:p w14:paraId="6F0EA68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1.14</w:t>
            </w:r>
          </w:p>
        </w:tc>
        <w:tc>
          <w:tcPr>
            <w:tcW w:w="145" w:type="pct"/>
            <w:tcBorders>
              <w:top w:val="nil"/>
              <w:left w:val="nil"/>
              <w:bottom w:val="nil"/>
              <w:right w:val="nil"/>
            </w:tcBorders>
            <w:shd w:val="clear" w:color="auto" w:fill="auto"/>
            <w:hideMark/>
          </w:tcPr>
          <w:p w14:paraId="2017C4D1"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4AE640E5"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51</w:t>
            </w:r>
            <w:r w:rsidRPr="004268BB">
              <w:rPr>
                <w:rFonts w:ascii="Times New Roman" w:eastAsia="Times New Roman" w:hAnsi="Times New Roman" w:cs="Times New Roman"/>
                <w:color w:val="000000"/>
              </w:rPr>
              <w:t>***</w:t>
            </w:r>
          </w:p>
        </w:tc>
        <w:tc>
          <w:tcPr>
            <w:tcW w:w="570" w:type="pct"/>
            <w:gridSpan w:val="3"/>
            <w:tcBorders>
              <w:top w:val="nil"/>
              <w:left w:val="nil"/>
              <w:bottom w:val="nil"/>
              <w:right w:val="nil"/>
            </w:tcBorders>
            <w:shd w:val="clear" w:color="auto" w:fill="auto"/>
            <w:hideMark/>
          </w:tcPr>
          <w:p w14:paraId="7E546927"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0.3</w:t>
            </w:r>
            <w:r>
              <w:rPr>
                <w:rFonts w:ascii="Times New Roman" w:eastAsia="Times New Roman" w:hAnsi="Times New Roman" w:cs="Times New Roman"/>
                <w:color w:val="000000"/>
              </w:rPr>
              <w:t>2</w:t>
            </w:r>
            <w:r w:rsidRPr="004268BB">
              <w:rPr>
                <w:rFonts w:ascii="Times New Roman" w:eastAsia="Times New Roman" w:hAnsi="Times New Roman" w:cs="Times New Roman"/>
                <w:color w:val="000000"/>
              </w:rPr>
              <w:t>***</w:t>
            </w:r>
          </w:p>
        </w:tc>
        <w:tc>
          <w:tcPr>
            <w:tcW w:w="380" w:type="pct"/>
            <w:tcBorders>
              <w:top w:val="nil"/>
              <w:left w:val="nil"/>
              <w:bottom w:val="nil"/>
              <w:right w:val="nil"/>
            </w:tcBorders>
            <w:shd w:val="clear" w:color="auto" w:fill="auto"/>
            <w:hideMark/>
          </w:tcPr>
          <w:p w14:paraId="075306D1"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0.75</w:t>
            </w:r>
          </w:p>
        </w:tc>
      </w:tr>
      <w:tr w:rsidR="00D652C8" w:rsidRPr="004268BB" w14:paraId="69C34DEE"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06989D90"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CURRATIO</w:t>
            </w:r>
          </w:p>
        </w:tc>
        <w:tc>
          <w:tcPr>
            <w:tcW w:w="305" w:type="pct"/>
            <w:gridSpan w:val="2"/>
            <w:tcBorders>
              <w:top w:val="nil"/>
              <w:left w:val="nil"/>
              <w:bottom w:val="nil"/>
              <w:right w:val="nil"/>
            </w:tcBorders>
            <w:shd w:val="clear" w:color="auto" w:fill="auto"/>
            <w:hideMark/>
          </w:tcPr>
          <w:p w14:paraId="27E149E6"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08DCB2F5"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4.</w:t>
            </w:r>
            <w:r>
              <w:rPr>
                <w:rFonts w:ascii="Times New Roman" w:eastAsia="Times New Roman" w:hAnsi="Times New Roman" w:cs="Times New Roman"/>
                <w:color w:val="000000"/>
              </w:rPr>
              <w:t>23</w:t>
            </w:r>
          </w:p>
        </w:tc>
        <w:tc>
          <w:tcPr>
            <w:tcW w:w="530" w:type="pct"/>
            <w:gridSpan w:val="2"/>
            <w:tcBorders>
              <w:top w:val="nil"/>
              <w:left w:val="nil"/>
              <w:bottom w:val="nil"/>
              <w:right w:val="nil"/>
            </w:tcBorders>
            <w:shd w:val="clear" w:color="auto" w:fill="auto"/>
            <w:hideMark/>
          </w:tcPr>
          <w:p w14:paraId="15CA0F8A"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1.49</w:t>
            </w:r>
          </w:p>
        </w:tc>
        <w:tc>
          <w:tcPr>
            <w:tcW w:w="505" w:type="pct"/>
            <w:gridSpan w:val="3"/>
            <w:tcBorders>
              <w:top w:val="nil"/>
              <w:left w:val="nil"/>
              <w:bottom w:val="nil"/>
              <w:right w:val="nil"/>
            </w:tcBorders>
            <w:shd w:val="clear" w:color="auto" w:fill="auto"/>
            <w:hideMark/>
          </w:tcPr>
          <w:p w14:paraId="03C2CCE5"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10.41</w:t>
            </w:r>
          </w:p>
        </w:tc>
        <w:tc>
          <w:tcPr>
            <w:tcW w:w="145" w:type="pct"/>
            <w:tcBorders>
              <w:top w:val="nil"/>
              <w:left w:val="nil"/>
              <w:bottom w:val="nil"/>
              <w:right w:val="nil"/>
            </w:tcBorders>
            <w:shd w:val="clear" w:color="auto" w:fill="auto"/>
            <w:hideMark/>
          </w:tcPr>
          <w:p w14:paraId="633B23AA"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6ED40C9E"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6.</w:t>
            </w:r>
            <w:r>
              <w:rPr>
                <w:rFonts w:ascii="Times New Roman" w:eastAsia="Times New Roman" w:hAnsi="Times New Roman" w:cs="Times New Roman"/>
                <w:color w:val="000000"/>
              </w:rPr>
              <w:t>06</w:t>
            </w:r>
            <w:r w:rsidRPr="004268BB">
              <w:rPr>
                <w:rFonts w:ascii="Times New Roman" w:eastAsia="Times New Roman" w:hAnsi="Times New Roman" w:cs="Times New Roman"/>
                <w:color w:val="000000"/>
              </w:rPr>
              <w:t>*</w:t>
            </w:r>
          </w:p>
        </w:tc>
        <w:tc>
          <w:tcPr>
            <w:tcW w:w="570" w:type="pct"/>
            <w:gridSpan w:val="3"/>
            <w:tcBorders>
              <w:top w:val="nil"/>
              <w:left w:val="nil"/>
              <w:bottom w:val="nil"/>
              <w:right w:val="nil"/>
            </w:tcBorders>
            <w:shd w:val="clear" w:color="auto" w:fill="auto"/>
            <w:hideMark/>
          </w:tcPr>
          <w:p w14:paraId="57F4FDC3"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2.6</w:t>
            </w:r>
            <w:r>
              <w:rPr>
                <w:rFonts w:ascii="Times New Roman" w:eastAsia="Times New Roman" w:hAnsi="Times New Roman" w:cs="Times New Roman"/>
                <w:color w:val="000000"/>
              </w:rPr>
              <w:t>6</w:t>
            </w:r>
            <w:r w:rsidRPr="004268BB">
              <w:rPr>
                <w:rFonts w:ascii="Times New Roman" w:eastAsia="Times New Roman" w:hAnsi="Times New Roman" w:cs="Times New Roman"/>
                <w:color w:val="000000"/>
              </w:rPr>
              <w:t>***</w:t>
            </w:r>
          </w:p>
        </w:tc>
        <w:tc>
          <w:tcPr>
            <w:tcW w:w="380" w:type="pct"/>
            <w:tcBorders>
              <w:top w:val="nil"/>
              <w:left w:val="nil"/>
              <w:bottom w:val="nil"/>
              <w:right w:val="nil"/>
            </w:tcBorders>
            <w:shd w:val="clear" w:color="auto" w:fill="auto"/>
            <w:hideMark/>
          </w:tcPr>
          <w:p w14:paraId="6CB7FF20"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10.29</w:t>
            </w:r>
          </w:p>
        </w:tc>
      </w:tr>
      <w:tr w:rsidR="00D652C8" w:rsidRPr="004268BB" w14:paraId="60D15A18"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0491A577"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ROA</w:t>
            </w:r>
          </w:p>
        </w:tc>
        <w:tc>
          <w:tcPr>
            <w:tcW w:w="305" w:type="pct"/>
            <w:gridSpan w:val="2"/>
            <w:tcBorders>
              <w:top w:val="nil"/>
              <w:left w:val="nil"/>
              <w:bottom w:val="nil"/>
              <w:right w:val="nil"/>
            </w:tcBorders>
            <w:shd w:val="clear" w:color="auto" w:fill="auto"/>
            <w:hideMark/>
          </w:tcPr>
          <w:p w14:paraId="62857F53"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36727CBA"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-0.20</w:t>
            </w:r>
          </w:p>
        </w:tc>
        <w:tc>
          <w:tcPr>
            <w:tcW w:w="530" w:type="pct"/>
            <w:gridSpan w:val="2"/>
            <w:tcBorders>
              <w:top w:val="nil"/>
              <w:left w:val="nil"/>
              <w:bottom w:val="nil"/>
              <w:right w:val="nil"/>
            </w:tcBorders>
            <w:shd w:val="clear" w:color="auto" w:fill="auto"/>
            <w:hideMark/>
          </w:tcPr>
          <w:p w14:paraId="6127C2C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w:t>
            </w:r>
            <w:r>
              <w:rPr>
                <w:rFonts w:ascii="Times New Roman" w:eastAsia="Times New Roman" w:hAnsi="Times New Roman" w:cs="Times New Roman"/>
                <w:color w:val="000000"/>
              </w:rPr>
              <w:t>5</w:t>
            </w:r>
          </w:p>
        </w:tc>
        <w:tc>
          <w:tcPr>
            <w:tcW w:w="505" w:type="pct"/>
            <w:gridSpan w:val="3"/>
            <w:tcBorders>
              <w:top w:val="nil"/>
              <w:left w:val="nil"/>
              <w:bottom w:val="nil"/>
              <w:right w:val="nil"/>
            </w:tcBorders>
            <w:shd w:val="clear" w:color="auto" w:fill="auto"/>
            <w:hideMark/>
          </w:tcPr>
          <w:p w14:paraId="4D688358"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0.48</w:t>
            </w:r>
          </w:p>
        </w:tc>
        <w:tc>
          <w:tcPr>
            <w:tcW w:w="145" w:type="pct"/>
            <w:tcBorders>
              <w:top w:val="nil"/>
              <w:left w:val="nil"/>
              <w:bottom w:val="nil"/>
              <w:right w:val="nil"/>
            </w:tcBorders>
            <w:shd w:val="clear" w:color="auto" w:fill="auto"/>
            <w:hideMark/>
          </w:tcPr>
          <w:p w14:paraId="3D839724"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7C4A278D"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-0.1</w:t>
            </w:r>
            <w:r>
              <w:rPr>
                <w:rFonts w:ascii="Times New Roman" w:eastAsia="Times New Roman" w:hAnsi="Times New Roman" w:cs="Times New Roman"/>
                <w:color w:val="000000"/>
              </w:rPr>
              <w:t>4</w:t>
            </w:r>
          </w:p>
        </w:tc>
        <w:tc>
          <w:tcPr>
            <w:tcW w:w="570" w:type="pct"/>
            <w:gridSpan w:val="3"/>
            <w:tcBorders>
              <w:top w:val="nil"/>
              <w:left w:val="nil"/>
              <w:bottom w:val="nil"/>
              <w:right w:val="nil"/>
            </w:tcBorders>
            <w:shd w:val="clear" w:color="auto" w:fill="auto"/>
            <w:hideMark/>
          </w:tcPr>
          <w:p w14:paraId="43DC4681"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-0.0</w:t>
            </w:r>
            <w:r>
              <w:rPr>
                <w:rFonts w:ascii="Times New Roman" w:eastAsia="Times New Roman" w:hAnsi="Times New Roman" w:cs="Times New Roman"/>
                <w:color w:val="000000"/>
              </w:rPr>
              <w:t>8</w:t>
            </w:r>
          </w:p>
        </w:tc>
        <w:tc>
          <w:tcPr>
            <w:tcW w:w="380" w:type="pct"/>
            <w:tcBorders>
              <w:top w:val="nil"/>
              <w:left w:val="nil"/>
              <w:bottom w:val="nil"/>
              <w:right w:val="nil"/>
            </w:tcBorders>
            <w:shd w:val="clear" w:color="auto" w:fill="auto"/>
            <w:hideMark/>
          </w:tcPr>
          <w:p w14:paraId="7489AD7C"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0.25</w:t>
            </w:r>
          </w:p>
        </w:tc>
      </w:tr>
      <w:tr w:rsidR="00D652C8" w:rsidRPr="004268BB" w14:paraId="6A03E087"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tcPr>
          <w:p w14:paraId="6EA965E5" w14:textId="1E4997FA" w:rsidR="00D652C8" w:rsidRPr="004268BB" w:rsidRDefault="00D652C8" w:rsidP="000669E5">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LOSS</w:t>
            </w:r>
          </w:p>
        </w:tc>
        <w:tc>
          <w:tcPr>
            <w:tcW w:w="305" w:type="pct"/>
            <w:gridSpan w:val="2"/>
            <w:tcBorders>
              <w:top w:val="nil"/>
              <w:left w:val="nil"/>
              <w:bottom w:val="nil"/>
              <w:right w:val="nil"/>
            </w:tcBorders>
            <w:shd w:val="clear" w:color="auto" w:fill="auto"/>
          </w:tcPr>
          <w:p w14:paraId="73B702EA" w14:textId="349A9118" w:rsidR="00D652C8" w:rsidRPr="00D652C8" w:rsidRDefault="00D652C8" w:rsidP="000669E5">
            <w:pPr>
              <w:spacing w:after="0" w:line="240" w:lineRule="auto"/>
              <w:jc w:val="center"/>
              <w:rPr>
                <w:rFonts w:ascii="Times New Roman" w:eastAsia="Times New Roman" w:hAnsi="Times New Roman" w:cs="Times New Roman"/>
                <w:iCs/>
                <w:color w:val="000000"/>
              </w:rPr>
            </w:pPr>
            <w:r w:rsidRPr="00D652C8">
              <w:rPr>
                <w:rFonts w:ascii="Times New Roman" w:eastAsia="Times New Roman" w:hAnsi="Times New Roman" w:cs="Times New Roman"/>
                <w:iCs/>
                <w:color w:val="000000"/>
              </w:rPr>
              <w:t>145</w:t>
            </w:r>
          </w:p>
        </w:tc>
        <w:tc>
          <w:tcPr>
            <w:tcW w:w="517" w:type="pct"/>
            <w:tcBorders>
              <w:top w:val="nil"/>
              <w:left w:val="nil"/>
              <w:bottom w:val="nil"/>
              <w:right w:val="nil"/>
            </w:tcBorders>
            <w:shd w:val="clear" w:color="auto" w:fill="auto"/>
          </w:tcPr>
          <w:p w14:paraId="4EF7CD9B" w14:textId="4EAEE6BD" w:rsidR="00D652C8" w:rsidRPr="00D652C8" w:rsidRDefault="00D652C8" w:rsidP="00D652C8">
            <w:pPr>
              <w:spacing w:after="0" w:line="240" w:lineRule="auto"/>
              <w:jc w:val="right"/>
              <w:rPr>
                <w:rFonts w:ascii="Times New Roman" w:eastAsia="Times New Roman" w:hAnsi="Times New Roman" w:cs="Times New Roman"/>
                <w:iCs/>
                <w:color w:val="000000"/>
              </w:rPr>
            </w:pPr>
            <w:r w:rsidRPr="00D652C8">
              <w:rPr>
                <w:rFonts w:ascii="Times New Roman" w:eastAsia="Times New Roman" w:hAnsi="Times New Roman" w:cs="Times New Roman"/>
                <w:iCs/>
                <w:color w:val="000000"/>
              </w:rPr>
              <w:t>0.7</w:t>
            </w:r>
            <w:r>
              <w:rPr>
                <w:rFonts w:ascii="Times New Roman" w:eastAsia="Times New Roman" w:hAnsi="Times New Roman" w:cs="Times New Roman"/>
                <w:iCs/>
                <w:color w:val="000000"/>
              </w:rPr>
              <w:t>4</w:t>
            </w:r>
          </w:p>
        </w:tc>
        <w:tc>
          <w:tcPr>
            <w:tcW w:w="530" w:type="pct"/>
            <w:gridSpan w:val="2"/>
            <w:tcBorders>
              <w:top w:val="nil"/>
              <w:left w:val="nil"/>
              <w:bottom w:val="nil"/>
              <w:right w:val="nil"/>
            </w:tcBorders>
            <w:shd w:val="clear" w:color="auto" w:fill="auto"/>
          </w:tcPr>
          <w:p w14:paraId="1397A43B" w14:textId="2903C14C" w:rsidR="00D652C8" w:rsidRPr="00D652C8" w:rsidRDefault="00D652C8" w:rsidP="000669E5">
            <w:pPr>
              <w:spacing w:after="0" w:line="240" w:lineRule="auto"/>
              <w:jc w:val="right"/>
              <w:rPr>
                <w:rFonts w:ascii="Times New Roman" w:eastAsia="Times New Roman" w:hAnsi="Times New Roman" w:cs="Times New Roman"/>
                <w:iCs/>
                <w:color w:val="000000"/>
              </w:rPr>
            </w:pPr>
            <w:r>
              <w:rPr>
                <w:rFonts w:ascii="Times New Roman" w:eastAsia="Times New Roman" w:hAnsi="Times New Roman" w:cs="Times New Roman"/>
                <w:iCs/>
                <w:color w:val="000000"/>
              </w:rPr>
              <w:t>1.00</w:t>
            </w:r>
          </w:p>
        </w:tc>
        <w:tc>
          <w:tcPr>
            <w:tcW w:w="505" w:type="pct"/>
            <w:gridSpan w:val="3"/>
            <w:tcBorders>
              <w:top w:val="nil"/>
              <w:left w:val="nil"/>
              <w:bottom w:val="nil"/>
              <w:right w:val="nil"/>
            </w:tcBorders>
            <w:shd w:val="clear" w:color="auto" w:fill="auto"/>
          </w:tcPr>
          <w:p w14:paraId="3B8414A5" w14:textId="0E574B3A" w:rsidR="00D652C8" w:rsidRPr="00D652C8" w:rsidRDefault="00D652C8" w:rsidP="000669E5">
            <w:pPr>
              <w:spacing w:after="0" w:line="240" w:lineRule="auto"/>
              <w:jc w:val="right"/>
              <w:rPr>
                <w:rFonts w:ascii="Times New Roman" w:eastAsia="Times New Roman" w:hAnsi="Times New Roman" w:cs="Times New Roman"/>
                <w:iCs/>
                <w:color w:val="000000"/>
              </w:rPr>
            </w:pPr>
            <w:r>
              <w:rPr>
                <w:rFonts w:ascii="Times New Roman" w:eastAsia="Times New Roman" w:hAnsi="Times New Roman" w:cs="Times New Roman"/>
                <w:iCs/>
                <w:color w:val="000000"/>
              </w:rPr>
              <w:t>0.44</w:t>
            </w:r>
          </w:p>
        </w:tc>
        <w:tc>
          <w:tcPr>
            <w:tcW w:w="145" w:type="pct"/>
            <w:tcBorders>
              <w:top w:val="nil"/>
              <w:left w:val="nil"/>
              <w:bottom w:val="nil"/>
              <w:right w:val="nil"/>
            </w:tcBorders>
            <w:shd w:val="clear" w:color="auto" w:fill="auto"/>
          </w:tcPr>
          <w:p w14:paraId="5518D408" w14:textId="77777777" w:rsidR="00D652C8" w:rsidRPr="00D652C8" w:rsidRDefault="00D652C8" w:rsidP="000669E5">
            <w:pPr>
              <w:spacing w:after="0" w:line="240" w:lineRule="auto"/>
              <w:rPr>
                <w:rFonts w:ascii="Times New Roman" w:eastAsia="Times New Roman" w:hAnsi="Times New Roman" w:cs="Times New Roman"/>
                <w:iCs/>
                <w:color w:val="000000"/>
              </w:rPr>
            </w:pPr>
          </w:p>
        </w:tc>
        <w:tc>
          <w:tcPr>
            <w:tcW w:w="609" w:type="pct"/>
            <w:gridSpan w:val="3"/>
            <w:tcBorders>
              <w:top w:val="nil"/>
              <w:left w:val="nil"/>
              <w:bottom w:val="nil"/>
              <w:right w:val="nil"/>
            </w:tcBorders>
            <w:shd w:val="clear" w:color="auto" w:fill="auto"/>
          </w:tcPr>
          <w:p w14:paraId="348B2BCC" w14:textId="02907F15" w:rsidR="00D652C8" w:rsidRPr="00D652C8" w:rsidRDefault="00D652C8" w:rsidP="000669E5">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0.70</w:t>
            </w:r>
          </w:p>
        </w:tc>
        <w:tc>
          <w:tcPr>
            <w:tcW w:w="570" w:type="pct"/>
            <w:gridSpan w:val="3"/>
            <w:tcBorders>
              <w:top w:val="nil"/>
              <w:left w:val="nil"/>
              <w:bottom w:val="nil"/>
              <w:right w:val="nil"/>
            </w:tcBorders>
            <w:shd w:val="clear" w:color="auto" w:fill="auto"/>
          </w:tcPr>
          <w:p w14:paraId="5A1BF25F" w14:textId="22113328" w:rsidR="00D652C8" w:rsidRPr="00D652C8" w:rsidRDefault="00D652C8" w:rsidP="000669E5">
            <w:pPr>
              <w:spacing w:after="0"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 1.00</w:t>
            </w:r>
          </w:p>
        </w:tc>
        <w:tc>
          <w:tcPr>
            <w:tcW w:w="380" w:type="pct"/>
            <w:tcBorders>
              <w:top w:val="nil"/>
              <w:left w:val="nil"/>
              <w:bottom w:val="nil"/>
              <w:right w:val="nil"/>
            </w:tcBorders>
            <w:shd w:val="clear" w:color="auto" w:fill="auto"/>
          </w:tcPr>
          <w:p w14:paraId="7D2E085D" w14:textId="7C89ACF2" w:rsidR="00D652C8" w:rsidRPr="00D652C8" w:rsidRDefault="00D652C8" w:rsidP="000669E5">
            <w:pPr>
              <w:spacing w:after="0" w:line="240" w:lineRule="auto"/>
              <w:jc w:val="right"/>
              <w:rPr>
                <w:rFonts w:ascii="Times New Roman" w:eastAsia="Times New Roman" w:hAnsi="Times New Roman" w:cs="Times New Roman"/>
                <w:iCs/>
                <w:color w:val="000000"/>
              </w:rPr>
            </w:pPr>
            <w:r>
              <w:rPr>
                <w:rFonts w:ascii="Times New Roman" w:eastAsia="Times New Roman" w:hAnsi="Times New Roman" w:cs="Times New Roman"/>
                <w:iCs/>
                <w:color w:val="000000"/>
              </w:rPr>
              <w:t>0.46</w:t>
            </w:r>
          </w:p>
        </w:tc>
      </w:tr>
      <w:tr w:rsidR="00D652C8" w:rsidRPr="004268BB" w14:paraId="318BF5CB"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5A7A21DC"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LEVERAGE</w:t>
            </w:r>
          </w:p>
        </w:tc>
        <w:tc>
          <w:tcPr>
            <w:tcW w:w="305" w:type="pct"/>
            <w:gridSpan w:val="2"/>
            <w:tcBorders>
              <w:top w:val="nil"/>
              <w:left w:val="nil"/>
              <w:bottom w:val="nil"/>
              <w:right w:val="nil"/>
            </w:tcBorders>
            <w:shd w:val="clear" w:color="auto" w:fill="auto"/>
            <w:hideMark/>
          </w:tcPr>
          <w:p w14:paraId="1A71D848"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1C82F017"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0.29</w:t>
            </w:r>
          </w:p>
        </w:tc>
        <w:tc>
          <w:tcPr>
            <w:tcW w:w="530" w:type="pct"/>
            <w:gridSpan w:val="2"/>
            <w:tcBorders>
              <w:top w:val="nil"/>
              <w:left w:val="nil"/>
              <w:bottom w:val="nil"/>
              <w:right w:val="nil"/>
            </w:tcBorders>
            <w:shd w:val="clear" w:color="auto" w:fill="auto"/>
            <w:hideMark/>
          </w:tcPr>
          <w:p w14:paraId="66416317"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0.24</w:t>
            </w:r>
          </w:p>
        </w:tc>
        <w:tc>
          <w:tcPr>
            <w:tcW w:w="505" w:type="pct"/>
            <w:gridSpan w:val="3"/>
            <w:tcBorders>
              <w:top w:val="nil"/>
              <w:left w:val="nil"/>
              <w:bottom w:val="nil"/>
              <w:right w:val="nil"/>
            </w:tcBorders>
            <w:shd w:val="clear" w:color="auto" w:fill="auto"/>
            <w:hideMark/>
          </w:tcPr>
          <w:p w14:paraId="75836728"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0.28</w:t>
            </w:r>
          </w:p>
        </w:tc>
        <w:tc>
          <w:tcPr>
            <w:tcW w:w="145" w:type="pct"/>
            <w:tcBorders>
              <w:top w:val="nil"/>
              <w:left w:val="nil"/>
              <w:bottom w:val="nil"/>
              <w:right w:val="nil"/>
            </w:tcBorders>
            <w:shd w:val="clear" w:color="auto" w:fill="auto"/>
            <w:hideMark/>
          </w:tcPr>
          <w:p w14:paraId="4D1968C2"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62D4C4CC"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0.17***</w:t>
            </w:r>
          </w:p>
        </w:tc>
        <w:tc>
          <w:tcPr>
            <w:tcW w:w="570" w:type="pct"/>
            <w:gridSpan w:val="3"/>
            <w:tcBorders>
              <w:top w:val="nil"/>
              <w:left w:val="nil"/>
              <w:bottom w:val="nil"/>
              <w:right w:val="nil"/>
            </w:tcBorders>
            <w:shd w:val="clear" w:color="auto" w:fill="auto"/>
            <w:hideMark/>
          </w:tcPr>
          <w:p w14:paraId="178EBCA6"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0.06***</w:t>
            </w:r>
          </w:p>
        </w:tc>
        <w:tc>
          <w:tcPr>
            <w:tcW w:w="380" w:type="pct"/>
            <w:tcBorders>
              <w:top w:val="nil"/>
              <w:left w:val="nil"/>
              <w:bottom w:val="nil"/>
              <w:right w:val="nil"/>
            </w:tcBorders>
            <w:shd w:val="clear" w:color="auto" w:fill="auto"/>
            <w:hideMark/>
          </w:tcPr>
          <w:p w14:paraId="59E7ED6B"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0.22</w:t>
            </w:r>
          </w:p>
        </w:tc>
      </w:tr>
      <w:tr w:rsidR="00D652C8" w:rsidRPr="004268BB" w14:paraId="0AD13326"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61613101"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SEGMENTS</w:t>
            </w:r>
          </w:p>
        </w:tc>
        <w:tc>
          <w:tcPr>
            <w:tcW w:w="305" w:type="pct"/>
            <w:gridSpan w:val="2"/>
            <w:tcBorders>
              <w:top w:val="nil"/>
              <w:left w:val="nil"/>
              <w:bottom w:val="nil"/>
              <w:right w:val="nil"/>
            </w:tcBorders>
            <w:shd w:val="clear" w:color="auto" w:fill="auto"/>
            <w:hideMark/>
          </w:tcPr>
          <w:p w14:paraId="68A1DF68"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25049623"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0.27</w:t>
            </w:r>
          </w:p>
        </w:tc>
        <w:tc>
          <w:tcPr>
            <w:tcW w:w="530" w:type="pct"/>
            <w:gridSpan w:val="2"/>
            <w:tcBorders>
              <w:top w:val="nil"/>
              <w:left w:val="nil"/>
              <w:bottom w:val="nil"/>
              <w:right w:val="nil"/>
            </w:tcBorders>
            <w:shd w:val="clear" w:color="auto" w:fill="auto"/>
            <w:hideMark/>
          </w:tcPr>
          <w:p w14:paraId="3C009222"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0.00</w:t>
            </w:r>
          </w:p>
        </w:tc>
        <w:tc>
          <w:tcPr>
            <w:tcW w:w="505" w:type="pct"/>
            <w:gridSpan w:val="3"/>
            <w:tcBorders>
              <w:top w:val="nil"/>
              <w:left w:val="nil"/>
              <w:bottom w:val="nil"/>
              <w:right w:val="nil"/>
            </w:tcBorders>
            <w:shd w:val="clear" w:color="auto" w:fill="auto"/>
            <w:hideMark/>
          </w:tcPr>
          <w:p w14:paraId="7CF2FEE2"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0.46</w:t>
            </w:r>
          </w:p>
        </w:tc>
        <w:tc>
          <w:tcPr>
            <w:tcW w:w="145" w:type="pct"/>
            <w:tcBorders>
              <w:top w:val="nil"/>
              <w:left w:val="nil"/>
              <w:bottom w:val="nil"/>
              <w:right w:val="nil"/>
            </w:tcBorders>
            <w:shd w:val="clear" w:color="auto" w:fill="auto"/>
            <w:hideMark/>
          </w:tcPr>
          <w:p w14:paraId="112930D2"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7442A08F"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0.03***</w:t>
            </w:r>
          </w:p>
        </w:tc>
        <w:tc>
          <w:tcPr>
            <w:tcW w:w="570" w:type="pct"/>
            <w:gridSpan w:val="3"/>
            <w:tcBorders>
              <w:top w:val="nil"/>
              <w:left w:val="nil"/>
              <w:bottom w:val="nil"/>
              <w:right w:val="nil"/>
            </w:tcBorders>
            <w:shd w:val="clear" w:color="auto" w:fill="auto"/>
            <w:hideMark/>
          </w:tcPr>
          <w:p w14:paraId="3B167799"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0.00***</w:t>
            </w:r>
          </w:p>
        </w:tc>
        <w:tc>
          <w:tcPr>
            <w:tcW w:w="380" w:type="pct"/>
            <w:tcBorders>
              <w:top w:val="nil"/>
              <w:left w:val="nil"/>
              <w:bottom w:val="nil"/>
              <w:right w:val="nil"/>
            </w:tcBorders>
            <w:shd w:val="clear" w:color="auto" w:fill="auto"/>
            <w:hideMark/>
          </w:tcPr>
          <w:p w14:paraId="67F706EA"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0.19</w:t>
            </w:r>
          </w:p>
        </w:tc>
      </w:tr>
      <w:tr w:rsidR="00D652C8" w:rsidRPr="004268BB" w14:paraId="663B8012"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16A4011D"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DISCONTINUED</w:t>
            </w:r>
          </w:p>
        </w:tc>
        <w:tc>
          <w:tcPr>
            <w:tcW w:w="305" w:type="pct"/>
            <w:gridSpan w:val="2"/>
            <w:tcBorders>
              <w:top w:val="nil"/>
              <w:left w:val="nil"/>
              <w:bottom w:val="nil"/>
              <w:right w:val="nil"/>
            </w:tcBorders>
            <w:shd w:val="clear" w:color="auto" w:fill="auto"/>
            <w:hideMark/>
          </w:tcPr>
          <w:p w14:paraId="2CCB73E1"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14293703"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0.03</w:t>
            </w:r>
          </w:p>
        </w:tc>
        <w:tc>
          <w:tcPr>
            <w:tcW w:w="530" w:type="pct"/>
            <w:gridSpan w:val="2"/>
            <w:tcBorders>
              <w:top w:val="nil"/>
              <w:left w:val="nil"/>
              <w:bottom w:val="nil"/>
              <w:right w:val="nil"/>
            </w:tcBorders>
            <w:shd w:val="clear" w:color="auto" w:fill="auto"/>
            <w:hideMark/>
          </w:tcPr>
          <w:p w14:paraId="0C303161"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0.00</w:t>
            </w:r>
          </w:p>
        </w:tc>
        <w:tc>
          <w:tcPr>
            <w:tcW w:w="505" w:type="pct"/>
            <w:gridSpan w:val="3"/>
            <w:tcBorders>
              <w:top w:val="nil"/>
              <w:left w:val="nil"/>
              <w:bottom w:val="nil"/>
              <w:right w:val="nil"/>
            </w:tcBorders>
            <w:shd w:val="clear" w:color="auto" w:fill="auto"/>
            <w:hideMark/>
          </w:tcPr>
          <w:p w14:paraId="2FE30E10"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0.18</w:t>
            </w:r>
          </w:p>
        </w:tc>
        <w:tc>
          <w:tcPr>
            <w:tcW w:w="145" w:type="pct"/>
            <w:tcBorders>
              <w:top w:val="nil"/>
              <w:left w:val="nil"/>
              <w:bottom w:val="nil"/>
              <w:right w:val="nil"/>
            </w:tcBorders>
            <w:shd w:val="clear" w:color="auto" w:fill="auto"/>
            <w:hideMark/>
          </w:tcPr>
          <w:p w14:paraId="349F3BA7"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5BC04637"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0.00**</w:t>
            </w:r>
          </w:p>
        </w:tc>
        <w:tc>
          <w:tcPr>
            <w:tcW w:w="570" w:type="pct"/>
            <w:gridSpan w:val="3"/>
            <w:tcBorders>
              <w:top w:val="nil"/>
              <w:left w:val="nil"/>
              <w:bottom w:val="nil"/>
              <w:right w:val="nil"/>
            </w:tcBorders>
            <w:shd w:val="clear" w:color="auto" w:fill="auto"/>
            <w:hideMark/>
          </w:tcPr>
          <w:p w14:paraId="7A528FEE"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0.00**</w:t>
            </w:r>
          </w:p>
        </w:tc>
        <w:tc>
          <w:tcPr>
            <w:tcW w:w="380" w:type="pct"/>
            <w:tcBorders>
              <w:top w:val="nil"/>
              <w:left w:val="nil"/>
              <w:bottom w:val="nil"/>
              <w:right w:val="nil"/>
            </w:tcBorders>
            <w:shd w:val="clear" w:color="auto" w:fill="auto"/>
            <w:hideMark/>
          </w:tcPr>
          <w:p w14:paraId="4C68A980"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0.00</w:t>
            </w:r>
          </w:p>
        </w:tc>
      </w:tr>
      <w:tr w:rsidR="00D652C8" w:rsidRPr="004268BB" w14:paraId="1C04EA1C"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13AD13F3"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Z-SCORE</w:t>
            </w:r>
          </w:p>
        </w:tc>
        <w:tc>
          <w:tcPr>
            <w:tcW w:w="305" w:type="pct"/>
            <w:gridSpan w:val="2"/>
            <w:tcBorders>
              <w:top w:val="nil"/>
              <w:left w:val="nil"/>
              <w:bottom w:val="nil"/>
              <w:right w:val="nil"/>
            </w:tcBorders>
            <w:shd w:val="clear" w:color="auto" w:fill="auto"/>
            <w:hideMark/>
          </w:tcPr>
          <w:p w14:paraId="71E309D8"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2DFDA8FE"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0.5</w:t>
            </w:r>
            <w:r>
              <w:rPr>
                <w:rFonts w:ascii="Times New Roman" w:eastAsia="Times New Roman" w:hAnsi="Times New Roman" w:cs="Times New Roman"/>
                <w:color w:val="000000"/>
              </w:rPr>
              <w:t>7</w:t>
            </w:r>
          </w:p>
        </w:tc>
        <w:tc>
          <w:tcPr>
            <w:tcW w:w="530" w:type="pct"/>
            <w:gridSpan w:val="2"/>
            <w:tcBorders>
              <w:top w:val="nil"/>
              <w:left w:val="nil"/>
              <w:bottom w:val="nil"/>
              <w:right w:val="nil"/>
            </w:tcBorders>
            <w:shd w:val="clear" w:color="auto" w:fill="auto"/>
            <w:hideMark/>
          </w:tcPr>
          <w:p w14:paraId="7748E61F"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1.00</w:t>
            </w:r>
          </w:p>
        </w:tc>
        <w:tc>
          <w:tcPr>
            <w:tcW w:w="505" w:type="pct"/>
            <w:gridSpan w:val="3"/>
            <w:tcBorders>
              <w:top w:val="nil"/>
              <w:left w:val="nil"/>
              <w:bottom w:val="nil"/>
              <w:right w:val="nil"/>
            </w:tcBorders>
            <w:shd w:val="clear" w:color="auto" w:fill="auto"/>
            <w:hideMark/>
          </w:tcPr>
          <w:p w14:paraId="42B128E6"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0.50</w:t>
            </w:r>
          </w:p>
        </w:tc>
        <w:tc>
          <w:tcPr>
            <w:tcW w:w="145" w:type="pct"/>
            <w:tcBorders>
              <w:top w:val="nil"/>
              <w:left w:val="nil"/>
              <w:bottom w:val="nil"/>
              <w:right w:val="nil"/>
            </w:tcBorders>
            <w:shd w:val="clear" w:color="auto" w:fill="auto"/>
            <w:hideMark/>
          </w:tcPr>
          <w:p w14:paraId="217AE04A"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01FB3D7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0.28***</w:t>
            </w:r>
          </w:p>
        </w:tc>
        <w:tc>
          <w:tcPr>
            <w:tcW w:w="570" w:type="pct"/>
            <w:gridSpan w:val="3"/>
            <w:tcBorders>
              <w:top w:val="nil"/>
              <w:left w:val="nil"/>
              <w:bottom w:val="nil"/>
              <w:right w:val="nil"/>
            </w:tcBorders>
            <w:shd w:val="clear" w:color="auto" w:fill="auto"/>
            <w:hideMark/>
          </w:tcPr>
          <w:p w14:paraId="1E71DC1E"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0.00***</w:t>
            </w:r>
          </w:p>
        </w:tc>
        <w:tc>
          <w:tcPr>
            <w:tcW w:w="380" w:type="pct"/>
            <w:tcBorders>
              <w:top w:val="nil"/>
              <w:left w:val="nil"/>
              <w:bottom w:val="nil"/>
              <w:right w:val="nil"/>
            </w:tcBorders>
            <w:shd w:val="clear" w:color="auto" w:fill="auto"/>
            <w:hideMark/>
          </w:tcPr>
          <w:p w14:paraId="1116353C"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0.45</w:t>
            </w:r>
          </w:p>
        </w:tc>
      </w:tr>
      <w:tr w:rsidR="00D652C8" w:rsidRPr="004268BB" w14:paraId="3F5635E1" w14:textId="77777777" w:rsidTr="00EA6EAA">
        <w:trPr>
          <w:gridAfter w:val="1"/>
          <w:wAfter w:w="62" w:type="pct"/>
          <w:trHeight w:val="20"/>
        </w:trPr>
        <w:tc>
          <w:tcPr>
            <w:tcW w:w="1377" w:type="pct"/>
            <w:gridSpan w:val="2"/>
            <w:tcBorders>
              <w:top w:val="nil"/>
              <w:left w:val="nil"/>
              <w:bottom w:val="nil"/>
              <w:right w:val="nil"/>
            </w:tcBorders>
            <w:shd w:val="clear" w:color="auto" w:fill="auto"/>
            <w:noWrap/>
            <w:vAlign w:val="bottom"/>
            <w:hideMark/>
          </w:tcPr>
          <w:p w14:paraId="0395E734"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EGC</w:t>
            </w:r>
          </w:p>
        </w:tc>
        <w:tc>
          <w:tcPr>
            <w:tcW w:w="305" w:type="pct"/>
            <w:gridSpan w:val="2"/>
            <w:tcBorders>
              <w:top w:val="nil"/>
              <w:left w:val="nil"/>
              <w:bottom w:val="nil"/>
              <w:right w:val="nil"/>
            </w:tcBorders>
            <w:shd w:val="clear" w:color="auto" w:fill="auto"/>
            <w:hideMark/>
          </w:tcPr>
          <w:p w14:paraId="28D35DC1"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bottom w:val="nil"/>
              <w:right w:val="nil"/>
            </w:tcBorders>
            <w:shd w:val="clear" w:color="auto" w:fill="auto"/>
            <w:hideMark/>
          </w:tcPr>
          <w:p w14:paraId="4FC080DD"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0.66</w:t>
            </w:r>
          </w:p>
        </w:tc>
        <w:tc>
          <w:tcPr>
            <w:tcW w:w="530" w:type="pct"/>
            <w:gridSpan w:val="2"/>
            <w:tcBorders>
              <w:top w:val="nil"/>
              <w:left w:val="nil"/>
              <w:bottom w:val="nil"/>
              <w:right w:val="nil"/>
            </w:tcBorders>
            <w:shd w:val="clear" w:color="auto" w:fill="auto"/>
            <w:hideMark/>
          </w:tcPr>
          <w:p w14:paraId="271C90A1"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1.00</w:t>
            </w:r>
          </w:p>
        </w:tc>
        <w:tc>
          <w:tcPr>
            <w:tcW w:w="505" w:type="pct"/>
            <w:gridSpan w:val="3"/>
            <w:tcBorders>
              <w:top w:val="nil"/>
              <w:left w:val="nil"/>
              <w:bottom w:val="nil"/>
              <w:right w:val="nil"/>
            </w:tcBorders>
            <w:shd w:val="clear" w:color="auto" w:fill="auto"/>
            <w:hideMark/>
          </w:tcPr>
          <w:p w14:paraId="0DE52B03"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0.48</w:t>
            </w:r>
          </w:p>
        </w:tc>
        <w:tc>
          <w:tcPr>
            <w:tcW w:w="145" w:type="pct"/>
            <w:tcBorders>
              <w:top w:val="nil"/>
              <w:left w:val="nil"/>
              <w:bottom w:val="nil"/>
              <w:right w:val="nil"/>
            </w:tcBorders>
            <w:shd w:val="clear" w:color="auto" w:fill="auto"/>
            <w:hideMark/>
          </w:tcPr>
          <w:p w14:paraId="2BAFC03F"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nil"/>
              <w:right w:val="nil"/>
            </w:tcBorders>
            <w:shd w:val="clear" w:color="auto" w:fill="auto"/>
            <w:hideMark/>
          </w:tcPr>
          <w:p w14:paraId="106F068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0.5</w:t>
            </w:r>
            <w:r>
              <w:rPr>
                <w:rFonts w:ascii="Times New Roman" w:eastAsia="Times New Roman" w:hAnsi="Times New Roman" w:cs="Times New Roman"/>
                <w:color w:val="000000"/>
              </w:rPr>
              <w:t>2</w:t>
            </w:r>
            <w:r w:rsidRPr="004268BB">
              <w:rPr>
                <w:rFonts w:ascii="Times New Roman" w:eastAsia="Times New Roman" w:hAnsi="Times New Roman" w:cs="Times New Roman"/>
                <w:color w:val="000000"/>
              </w:rPr>
              <w:t>**</w:t>
            </w:r>
          </w:p>
        </w:tc>
        <w:tc>
          <w:tcPr>
            <w:tcW w:w="570" w:type="pct"/>
            <w:gridSpan w:val="3"/>
            <w:tcBorders>
              <w:top w:val="nil"/>
              <w:left w:val="nil"/>
              <w:bottom w:val="nil"/>
              <w:right w:val="nil"/>
            </w:tcBorders>
            <w:shd w:val="clear" w:color="auto" w:fill="auto"/>
            <w:hideMark/>
          </w:tcPr>
          <w:p w14:paraId="0E5A5A7D"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1.00**</w:t>
            </w:r>
          </w:p>
        </w:tc>
        <w:tc>
          <w:tcPr>
            <w:tcW w:w="380" w:type="pct"/>
            <w:tcBorders>
              <w:top w:val="nil"/>
              <w:left w:val="nil"/>
              <w:bottom w:val="nil"/>
              <w:right w:val="nil"/>
            </w:tcBorders>
            <w:shd w:val="clear" w:color="auto" w:fill="auto"/>
            <w:hideMark/>
          </w:tcPr>
          <w:p w14:paraId="3B4E210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0.50</w:t>
            </w:r>
          </w:p>
        </w:tc>
      </w:tr>
      <w:tr w:rsidR="00D652C8" w:rsidRPr="004268BB" w14:paraId="05B95FDF" w14:textId="77777777" w:rsidTr="00EA6EAA">
        <w:trPr>
          <w:gridAfter w:val="1"/>
          <w:wAfter w:w="62" w:type="pct"/>
          <w:trHeight w:val="20"/>
        </w:trPr>
        <w:tc>
          <w:tcPr>
            <w:tcW w:w="1377" w:type="pct"/>
            <w:gridSpan w:val="2"/>
            <w:tcBorders>
              <w:top w:val="nil"/>
              <w:left w:val="nil"/>
              <w:right w:val="nil"/>
            </w:tcBorders>
            <w:shd w:val="clear" w:color="auto" w:fill="auto"/>
            <w:noWrap/>
            <w:vAlign w:val="bottom"/>
            <w:hideMark/>
          </w:tcPr>
          <w:p w14:paraId="695DC9E2" w14:textId="77777777" w:rsidR="00D652C8" w:rsidRPr="004268BB" w:rsidRDefault="00D652C8" w:rsidP="000669E5">
            <w:pPr>
              <w:spacing w:after="0" w:line="240" w:lineRule="auto"/>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FOREIGNFIRM</w:t>
            </w:r>
          </w:p>
        </w:tc>
        <w:tc>
          <w:tcPr>
            <w:tcW w:w="305" w:type="pct"/>
            <w:gridSpan w:val="2"/>
            <w:tcBorders>
              <w:top w:val="nil"/>
              <w:left w:val="nil"/>
              <w:right w:val="nil"/>
            </w:tcBorders>
            <w:shd w:val="clear" w:color="auto" w:fill="auto"/>
            <w:hideMark/>
          </w:tcPr>
          <w:p w14:paraId="4E16D870"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145</w:t>
            </w:r>
          </w:p>
        </w:tc>
        <w:tc>
          <w:tcPr>
            <w:tcW w:w="517" w:type="pct"/>
            <w:tcBorders>
              <w:top w:val="nil"/>
              <w:left w:val="nil"/>
              <w:right w:val="nil"/>
            </w:tcBorders>
            <w:shd w:val="clear" w:color="auto" w:fill="auto"/>
            <w:hideMark/>
          </w:tcPr>
          <w:p w14:paraId="5D7A2BC2"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0.23</w:t>
            </w:r>
          </w:p>
        </w:tc>
        <w:tc>
          <w:tcPr>
            <w:tcW w:w="530" w:type="pct"/>
            <w:gridSpan w:val="2"/>
            <w:tcBorders>
              <w:top w:val="nil"/>
              <w:left w:val="nil"/>
              <w:right w:val="nil"/>
            </w:tcBorders>
            <w:shd w:val="clear" w:color="auto" w:fill="auto"/>
            <w:hideMark/>
          </w:tcPr>
          <w:p w14:paraId="32EDA0F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0.00</w:t>
            </w:r>
          </w:p>
        </w:tc>
        <w:tc>
          <w:tcPr>
            <w:tcW w:w="505" w:type="pct"/>
            <w:gridSpan w:val="3"/>
            <w:tcBorders>
              <w:top w:val="nil"/>
              <w:left w:val="nil"/>
              <w:right w:val="nil"/>
            </w:tcBorders>
            <w:shd w:val="clear" w:color="auto" w:fill="auto"/>
            <w:hideMark/>
          </w:tcPr>
          <w:p w14:paraId="61452EB9"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0.43</w:t>
            </w:r>
          </w:p>
        </w:tc>
        <w:tc>
          <w:tcPr>
            <w:tcW w:w="145" w:type="pct"/>
            <w:tcBorders>
              <w:top w:val="nil"/>
              <w:left w:val="nil"/>
              <w:right w:val="nil"/>
            </w:tcBorders>
            <w:shd w:val="clear" w:color="auto" w:fill="auto"/>
            <w:hideMark/>
          </w:tcPr>
          <w:p w14:paraId="361E46E0"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609" w:type="pct"/>
            <w:gridSpan w:val="3"/>
            <w:tcBorders>
              <w:top w:val="nil"/>
              <w:left w:val="nil"/>
              <w:right w:val="nil"/>
            </w:tcBorders>
            <w:shd w:val="clear" w:color="auto" w:fill="auto"/>
            <w:hideMark/>
          </w:tcPr>
          <w:p w14:paraId="4291C6C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0.1</w:t>
            </w:r>
            <w:r>
              <w:rPr>
                <w:rFonts w:ascii="Times New Roman" w:eastAsia="Times New Roman" w:hAnsi="Times New Roman" w:cs="Times New Roman"/>
                <w:color w:val="000000"/>
              </w:rPr>
              <w:t>8</w:t>
            </w:r>
          </w:p>
        </w:tc>
        <w:tc>
          <w:tcPr>
            <w:tcW w:w="570" w:type="pct"/>
            <w:gridSpan w:val="3"/>
            <w:tcBorders>
              <w:top w:val="nil"/>
              <w:left w:val="nil"/>
              <w:right w:val="nil"/>
            </w:tcBorders>
            <w:shd w:val="clear" w:color="auto" w:fill="auto"/>
            <w:hideMark/>
          </w:tcPr>
          <w:p w14:paraId="6D83C477"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0.00</w:t>
            </w:r>
          </w:p>
        </w:tc>
        <w:tc>
          <w:tcPr>
            <w:tcW w:w="380" w:type="pct"/>
            <w:tcBorders>
              <w:top w:val="nil"/>
              <w:left w:val="nil"/>
              <w:right w:val="nil"/>
            </w:tcBorders>
            <w:shd w:val="clear" w:color="auto" w:fill="auto"/>
            <w:hideMark/>
          </w:tcPr>
          <w:p w14:paraId="7314F2F4" w14:textId="77777777" w:rsidR="00D652C8" w:rsidRPr="004268BB" w:rsidRDefault="00D652C8" w:rsidP="000669E5">
            <w:pPr>
              <w:spacing w:after="0" w:line="240" w:lineRule="auto"/>
              <w:jc w:val="right"/>
              <w:rPr>
                <w:rFonts w:ascii="Times New Roman" w:eastAsia="Times New Roman" w:hAnsi="Times New Roman" w:cs="Times New Roman"/>
                <w:color w:val="000000"/>
              </w:rPr>
            </w:pPr>
            <w:r w:rsidRPr="004268BB">
              <w:rPr>
                <w:rFonts w:ascii="Times New Roman" w:eastAsia="Times New Roman" w:hAnsi="Times New Roman" w:cs="Times New Roman"/>
                <w:color w:val="000000"/>
              </w:rPr>
              <w:t>0.37</w:t>
            </w:r>
          </w:p>
        </w:tc>
      </w:tr>
      <w:tr w:rsidR="00D652C8" w:rsidRPr="004268BB" w14:paraId="27D105D0" w14:textId="77777777" w:rsidTr="00EA6EAA">
        <w:trPr>
          <w:gridAfter w:val="1"/>
          <w:wAfter w:w="62" w:type="pct"/>
          <w:trHeight w:val="20"/>
        </w:trPr>
        <w:tc>
          <w:tcPr>
            <w:tcW w:w="1377" w:type="pct"/>
            <w:gridSpan w:val="2"/>
            <w:tcBorders>
              <w:top w:val="nil"/>
              <w:left w:val="nil"/>
              <w:bottom w:val="single" w:sz="12" w:space="0" w:color="auto"/>
              <w:right w:val="nil"/>
            </w:tcBorders>
            <w:shd w:val="clear" w:color="auto" w:fill="auto"/>
            <w:noWrap/>
            <w:vAlign w:val="bottom"/>
          </w:tcPr>
          <w:p w14:paraId="339FB0C6" w14:textId="77777777" w:rsidR="00D652C8" w:rsidRPr="004268BB" w:rsidRDefault="00D652C8" w:rsidP="000669E5">
            <w:pPr>
              <w:spacing w:after="0" w:line="240" w:lineRule="auto"/>
              <w:rPr>
                <w:rFonts w:ascii="Times New Roman" w:eastAsia="Times New Roman" w:hAnsi="Times New Roman" w:cs="Times New Roman"/>
                <w:i/>
                <w:iCs/>
                <w:color w:val="000000"/>
              </w:rPr>
            </w:pPr>
          </w:p>
        </w:tc>
        <w:tc>
          <w:tcPr>
            <w:tcW w:w="305" w:type="pct"/>
            <w:gridSpan w:val="2"/>
            <w:tcBorders>
              <w:top w:val="nil"/>
              <w:left w:val="nil"/>
              <w:bottom w:val="single" w:sz="12" w:space="0" w:color="auto"/>
              <w:right w:val="nil"/>
            </w:tcBorders>
            <w:shd w:val="clear" w:color="auto" w:fill="auto"/>
          </w:tcPr>
          <w:p w14:paraId="104D6FB4"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517" w:type="pct"/>
            <w:tcBorders>
              <w:top w:val="nil"/>
              <w:left w:val="nil"/>
              <w:bottom w:val="single" w:sz="12" w:space="0" w:color="auto"/>
              <w:right w:val="nil"/>
            </w:tcBorders>
            <w:shd w:val="clear" w:color="auto" w:fill="auto"/>
          </w:tcPr>
          <w:p w14:paraId="05C302B8"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530" w:type="pct"/>
            <w:gridSpan w:val="2"/>
            <w:tcBorders>
              <w:top w:val="nil"/>
              <w:left w:val="nil"/>
              <w:bottom w:val="single" w:sz="12" w:space="0" w:color="auto"/>
              <w:right w:val="nil"/>
            </w:tcBorders>
            <w:shd w:val="clear" w:color="auto" w:fill="auto"/>
          </w:tcPr>
          <w:p w14:paraId="254BF468"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505" w:type="pct"/>
            <w:gridSpan w:val="3"/>
            <w:tcBorders>
              <w:top w:val="nil"/>
              <w:left w:val="nil"/>
              <w:bottom w:val="single" w:sz="12" w:space="0" w:color="auto"/>
              <w:right w:val="nil"/>
            </w:tcBorders>
            <w:shd w:val="clear" w:color="auto" w:fill="auto"/>
          </w:tcPr>
          <w:p w14:paraId="6DEC1005"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145" w:type="pct"/>
            <w:tcBorders>
              <w:top w:val="nil"/>
              <w:left w:val="nil"/>
              <w:bottom w:val="single" w:sz="12" w:space="0" w:color="auto"/>
              <w:right w:val="nil"/>
            </w:tcBorders>
            <w:shd w:val="clear" w:color="auto" w:fill="auto"/>
          </w:tcPr>
          <w:p w14:paraId="142F92A5"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609" w:type="pct"/>
            <w:gridSpan w:val="3"/>
            <w:tcBorders>
              <w:top w:val="nil"/>
              <w:left w:val="nil"/>
              <w:bottom w:val="single" w:sz="12" w:space="0" w:color="auto"/>
              <w:right w:val="nil"/>
            </w:tcBorders>
            <w:shd w:val="clear" w:color="auto" w:fill="auto"/>
          </w:tcPr>
          <w:p w14:paraId="00197D1E"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570" w:type="pct"/>
            <w:gridSpan w:val="3"/>
            <w:tcBorders>
              <w:top w:val="nil"/>
              <w:left w:val="nil"/>
              <w:bottom w:val="single" w:sz="12" w:space="0" w:color="auto"/>
              <w:right w:val="nil"/>
            </w:tcBorders>
            <w:shd w:val="clear" w:color="auto" w:fill="auto"/>
          </w:tcPr>
          <w:p w14:paraId="6CE18BB6"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380" w:type="pct"/>
            <w:tcBorders>
              <w:top w:val="nil"/>
              <w:left w:val="nil"/>
              <w:bottom w:val="single" w:sz="12" w:space="0" w:color="auto"/>
              <w:right w:val="nil"/>
            </w:tcBorders>
            <w:shd w:val="clear" w:color="auto" w:fill="auto"/>
          </w:tcPr>
          <w:p w14:paraId="23B9BE94"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r>
      <w:tr w:rsidR="00D652C8" w:rsidRPr="00AB31E6" w14:paraId="510DA5F2" w14:textId="77777777" w:rsidTr="00EA6EAA">
        <w:trPr>
          <w:trHeight w:val="20"/>
        </w:trPr>
        <w:tc>
          <w:tcPr>
            <w:tcW w:w="5000" w:type="pct"/>
            <w:gridSpan w:val="19"/>
            <w:tcBorders>
              <w:top w:val="single" w:sz="12" w:space="0" w:color="auto"/>
              <w:left w:val="nil"/>
              <w:bottom w:val="single" w:sz="12" w:space="0" w:color="auto"/>
              <w:right w:val="nil"/>
            </w:tcBorders>
            <w:shd w:val="clear" w:color="auto" w:fill="auto"/>
            <w:noWrap/>
            <w:vAlign w:val="bottom"/>
          </w:tcPr>
          <w:p w14:paraId="18D8D26F" w14:textId="77777777" w:rsidR="00D652C8" w:rsidRPr="000425D7" w:rsidRDefault="00D652C8" w:rsidP="000669E5">
            <w:pPr>
              <w:spacing w:after="0" w:line="240" w:lineRule="auto"/>
              <w:ind w:left="-15" w:firstLine="15"/>
              <w:rPr>
                <w:rFonts w:ascii="Times New Roman" w:eastAsia="Times New Roman" w:hAnsi="Times New Roman" w:cs="Times New Roman"/>
                <w:color w:val="000000"/>
              </w:rPr>
            </w:pPr>
            <w:r w:rsidRPr="000425D7">
              <w:rPr>
                <w:rFonts w:ascii="Times New Roman" w:eastAsia="Times New Roman" w:hAnsi="Times New Roman" w:cs="Times New Roman"/>
                <w:color w:val="000000"/>
              </w:rPr>
              <w:t>Panel B: Univariate comparisons with entropy balancing</w:t>
            </w:r>
          </w:p>
        </w:tc>
      </w:tr>
      <w:tr w:rsidR="00D652C8" w:rsidRPr="00AB31E6" w14:paraId="436AE031" w14:textId="77777777" w:rsidTr="00EA6EAA">
        <w:trPr>
          <w:trHeight w:val="20"/>
        </w:trPr>
        <w:tc>
          <w:tcPr>
            <w:tcW w:w="1039" w:type="pct"/>
            <w:tcBorders>
              <w:top w:val="single" w:sz="12" w:space="0" w:color="auto"/>
              <w:left w:val="nil"/>
              <w:bottom w:val="nil"/>
              <w:right w:val="nil"/>
            </w:tcBorders>
            <w:shd w:val="clear" w:color="auto" w:fill="auto"/>
            <w:noWrap/>
            <w:vAlign w:val="bottom"/>
            <w:hideMark/>
          </w:tcPr>
          <w:p w14:paraId="13A4028B"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904" w:type="pct"/>
            <w:gridSpan w:val="7"/>
            <w:tcBorders>
              <w:left w:val="nil"/>
              <w:right w:val="nil"/>
            </w:tcBorders>
            <w:shd w:val="clear" w:color="auto" w:fill="auto"/>
            <w:noWrap/>
            <w:vAlign w:val="bottom"/>
            <w:hideMark/>
          </w:tcPr>
          <w:p w14:paraId="160248DE"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145" w:type="pct"/>
            <w:tcBorders>
              <w:top w:val="single" w:sz="12" w:space="0" w:color="auto"/>
              <w:left w:val="nil"/>
              <w:bottom w:val="nil"/>
              <w:right w:val="nil"/>
            </w:tcBorders>
            <w:shd w:val="clear" w:color="auto" w:fill="auto"/>
            <w:noWrap/>
            <w:vAlign w:val="bottom"/>
            <w:hideMark/>
          </w:tcPr>
          <w:p w14:paraId="70B2333A"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1912" w:type="pct"/>
            <w:gridSpan w:val="10"/>
            <w:tcBorders>
              <w:top w:val="single" w:sz="12" w:space="0" w:color="auto"/>
              <w:left w:val="nil"/>
              <w:bottom w:val="single" w:sz="4" w:space="0" w:color="auto"/>
              <w:right w:val="nil"/>
            </w:tcBorders>
            <w:shd w:val="clear" w:color="auto" w:fill="auto"/>
            <w:noWrap/>
            <w:vAlign w:val="bottom"/>
            <w:hideMark/>
          </w:tcPr>
          <w:p w14:paraId="7F643C51"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With entropy balancing</w:t>
            </w:r>
          </w:p>
        </w:tc>
      </w:tr>
      <w:tr w:rsidR="00D652C8" w:rsidRPr="00AB31E6" w14:paraId="32C64A27" w14:textId="77777777" w:rsidTr="00EA6EAA">
        <w:trPr>
          <w:trHeight w:val="20"/>
        </w:trPr>
        <w:tc>
          <w:tcPr>
            <w:tcW w:w="1039" w:type="pct"/>
            <w:tcBorders>
              <w:top w:val="nil"/>
              <w:left w:val="nil"/>
              <w:bottom w:val="single" w:sz="12" w:space="0" w:color="auto"/>
              <w:right w:val="nil"/>
            </w:tcBorders>
            <w:shd w:val="clear" w:color="auto" w:fill="auto"/>
            <w:vAlign w:val="bottom"/>
            <w:hideMark/>
          </w:tcPr>
          <w:p w14:paraId="76279FE0" w14:textId="77777777" w:rsidR="00D652C8" w:rsidRPr="000425D7" w:rsidRDefault="00D652C8" w:rsidP="000669E5">
            <w:pPr>
              <w:spacing w:after="0" w:line="240" w:lineRule="auto"/>
              <w:rPr>
                <w:rFonts w:ascii="Times New Roman" w:eastAsia="Times New Roman" w:hAnsi="Times New Roman" w:cs="Times New Roman"/>
                <w:color w:val="000000"/>
              </w:rPr>
            </w:pPr>
            <w:r w:rsidRPr="000425D7">
              <w:rPr>
                <w:rFonts w:ascii="Times New Roman" w:eastAsia="Times New Roman" w:hAnsi="Times New Roman" w:cs="Times New Roman"/>
                <w:color w:val="000000"/>
              </w:rPr>
              <w:t>Variable</w:t>
            </w:r>
          </w:p>
        </w:tc>
        <w:tc>
          <w:tcPr>
            <w:tcW w:w="638" w:type="pct"/>
            <w:gridSpan w:val="2"/>
            <w:tcBorders>
              <w:top w:val="nil"/>
              <w:left w:val="nil"/>
              <w:bottom w:val="single" w:sz="12" w:space="0" w:color="auto"/>
              <w:right w:val="nil"/>
            </w:tcBorders>
            <w:shd w:val="clear" w:color="auto" w:fill="auto"/>
            <w:vAlign w:val="bottom"/>
          </w:tcPr>
          <w:p w14:paraId="692D39AD"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single" w:sz="12" w:space="0" w:color="auto"/>
              <w:right w:val="nil"/>
            </w:tcBorders>
            <w:shd w:val="clear" w:color="auto" w:fill="auto"/>
            <w:vAlign w:val="bottom"/>
          </w:tcPr>
          <w:p w14:paraId="070A91DF"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single" w:sz="12" w:space="0" w:color="auto"/>
              <w:right w:val="nil"/>
            </w:tcBorders>
            <w:shd w:val="clear" w:color="auto" w:fill="auto"/>
            <w:vAlign w:val="bottom"/>
          </w:tcPr>
          <w:p w14:paraId="3B8ABA54"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145" w:type="pct"/>
            <w:tcBorders>
              <w:top w:val="nil"/>
              <w:left w:val="nil"/>
              <w:bottom w:val="single" w:sz="12" w:space="0" w:color="auto"/>
              <w:right w:val="nil"/>
            </w:tcBorders>
            <w:shd w:val="clear" w:color="auto" w:fill="auto"/>
            <w:vAlign w:val="bottom"/>
          </w:tcPr>
          <w:p w14:paraId="541B09B2"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single" w:sz="12" w:space="0" w:color="auto"/>
              <w:right w:val="nil"/>
            </w:tcBorders>
            <w:shd w:val="clear" w:color="auto" w:fill="auto"/>
            <w:vAlign w:val="bottom"/>
            <w:hideMark/>
          </w:tcPr>
          <w:p w14:paraId="2C4FE20F"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SPAC (N=145)</w:t>
            </w:r>
          </w:p>
        </w:tc>
        <w:tc>
          <w:tcPr>
            <w:tcW w:w="649" w:type="pct"/>
            <w:gridSpan w:val="3"/>
            <w:tcBorders>
              <w:top w:val="nil"/>
              <w:left w:val="nil"/>
              <w:bottom w:val="single" w:sz="12" w:space="0" w:color="auto"/>
              <w:right w:val="nil"/>
            </w:tcBorders>
            <w:shd w:val="clear" w:color="auto" w:fill="auto"/>
            <w:vAlign w:val="bottom"/>
            <w:hideMark/>
          </w:tcPr>
          <w:p w14:paraId="0FA01E9C"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Non-SPAC (N=145)</w:t>
            </w:r>
          </w:p>
        </w:tc>
        <w:tc>
          <w:tcPr>
            <w:tcW w:w="615" w:type="pct"/>
            <w:gridSpan w:val="4"/>
            <w:tcBorders>
              <w:top w:val="nil"/>
              <w:left w:val="nil"/>
              <w:bottom w:val="single" w:sz="12" w:space="0" w:color="auto"/>
              <w:right w:val="nil"/>
            </w:tcBorders>
            <w:shd w:val="clear" w:color="auto" w:fill="auto"/>
            <w:vAlign w:val="bottom"/>
            <w:hideMark/>
          </w:tcPr>
          <w:p w14:paraId="0CC31341"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Difference</w:t>
            </w:r>
          </w:p>
        </w:tc>
      </w:tr>
      <w:tr w:rsidR="00D652C8" w:rsidRPr="00AB31E6" w14:paraId="23E70F95" w14:textId="77777777" w:rsidTr="00EA6EAA">
        <w:trPr>
          <w:trHeight w:val="20"/>
        </w:trPr>
        <w:tc>
          <w:tcPr>
            <w:tcW w:w="1039" w:type="pct"/>
            <w:tcBorders>
              <w:top w:val="nil"/>
              <w:left w:val="nil"/>
              <w:bottom w:val="nil"/>
              <w:right w:val="nil"/>
            </w:tcBorders>
            <w:shd w:val="clear" w:color="auto" w:fill="auto"/>
            <w:noWrap/>
            <w:vAlign w:val="bottom"/>
          </w:tcPr>
          <w:p w14:paraId="7C179414" w14:textId="77777777" w:rsidR="00D652C8" w:rsidRPr="000425D7" w:rsidRDefault="00D652C8" w:rsidP="000669E5">
            <w:pPr>
              <w:spacing w:after="0" w:line="240" w:lineRule="auto"/>
              <w:rPr>
                <w:rFonts w:ascii="Times New Roman" w:eastAsia="Times New Roman" w:hAnsi="Times New Roman" w:cs="Times New Roman"/>
                <w:i/>
                <w:iCs/>
                <w:color w:val="000000"/>
              </w:rPr>
            </w:pPr>
          </w:p>
        </w:tc>
        <w:tc>
          <w:tcPr>
            <w:tcW w:w="638" w:type="pct"/>
            <w:gridSpan w:val="2"/>
            <w:tcBorders>
              <w:top w:val="nil"/>
              <w:left w:val="nil"/>
              <w:bottom w:val="nil"/>
              <w:right w:val="nil"/>
            </w:tcBorders>
            <w:shd w:val="clear" w:color="auto" w:fill="auto"/>
          </w:tcPr>
          <w:p w14:paraId="2F98C245"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1261A66A"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4739DFB6"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tcPr>
          <w:p w14:paraId="12483398"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76F005F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9" w:type="pct"/>
            <w:gridSpan w:val="3"/>
            <w:tcBorders>
              <w:top w:val="nil"/>
              <w:left w:val="nil"/>
              <w:bottom w:val="nil"/>
              <w:right w:val="nil"/>
            </w:tcBorders>
            <w:shd w:val="clear" w:color="auto" w:fill="auto"/>
          </w:tcPr>
          <w:p w14:paraId="7121B3F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5" w:type="pct"/>
            <w:gridSpan w:val="4"/>
            <w:tcBorders>
              <w:top w:val="nil"/>
              <w:left w:val="nil"/>
              <w:bottom w:val="nil"/>
              <w:right w:val="nil"/>
            </w:tcBorders>
            <w:shd w:val="clear" w:color="auto" w:fill="auto"/>
          </w:tcPr>
          <w:p w14:paraId="3501DF7A"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r>
      <w:tr w:rsidR="00D652C8" w:rsidRPr="00AB31E6" w14:paraId="0CEA73B8" w14:textId="77777777" w:rsidTr="00EA6EAA">
        <w:trPr>
          <w:trHeight w:val="20"/>
        </w:trPr>
        <w:tc>
          <w:tcPr>
            <w:tcW w:w="1039" w:type="pct"/>
            <w:tcBorders>
              <w:top w:val="nil"/>
              <w:left w:val="nil"/>
              <w:bottom w:val="nil"/>
              <w:right w:val="nil"/>
            </w:tcBorders>
            <w:shd w:val="clear" w:color="auto" w:fill="auto"/>
            <w:noWrap/>
            <w:vAlign w:val="bottom"/>
            <w:hideMark/>
          </w:tcPr>
          <w:p w14:paraId="724D8CCF"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PROCEEDS</w:t>
            </w:r>
          </w:p>
        </w:tc>
        <w:tc>
          <w:tcPr>
            <w:tcW w:w="638" w:type="pct"/>
            <w:gridSpan w:val="2"/>
            <w:tcBorders>
              <w:top w:val="nil"/>
              <w:left w:val="nil"/>
              <w:bottom w:val="nil"/>
              <w:right w:val="nil"/>
            </w:tcBorders>
            <w:shd w:val="clear" w:color="auto" w:fill="auto"/>
          </w:tcPr>
          <w:p w14:paraId="241FDE8E"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75A9C313"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0CADB9C6"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7FBC9CCB"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01D81CF9"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0425D7">
              <w:rPr>
                <w:rFonts w:ascii="Times New Roman" w:eastAsia="Times New Roman" w:hAnsi="Times New Roman" w:cs="Times New Roman"/>
                <w:color w:val="000000"/>
              </w:rPr>
              <w:t>5.08</w:t>
            </w:r>
          </w:p>
        </w:tc>
        <w:tc>
          <w:tcPr>
            <w:tcW w:w="649" w:type="pct"/>
            <w:gridSpan w:val="3"/>
            <w:tcBorders>
              <w:top w:val="nil"/>
              <w:left w:val="nil"/>
              <w:bottom w:val="nil"/>
              <w:right w:val="nil"/>
            </w:tcBorders>
            <w:shd w:val="clear" w:color="auto" w:fill="auto"/>
            <w:hideMark/>
          </w:tcPr>
          <w:p w14:paraId="5ADC2E6F"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 xml:space="preserve"> 5.08</w:t>
            </w:r>
          </w:p>
        </w:tc>
        <w:tc>
          <w:tcPr>
            <w:tcW w:w="615" w:type="pct"/>
            <w:gridSpan w:val="4"/>
            <w:tcBorders>
              <w:top w:val="nil"/>
              <w:left w:val="nil"/>
              <w:bottom w:val="nil"/>
              <w:right w:val="nil"/>
            </w:tcBorders>
            <w:shd w:val="clear" w:color="auto" w:fill="auto"/>
            <w:hideMark/>
          </w:tcPr>
          <w:p w14:paraId="4BEE3816"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39FF164C" w14:textId="77777777" w:rsidTr="00EA6EAA">
        <w:trPr>
          <w:trHeight w:val="20"/>
        </w:trPr>
        <w:tc>
          <w:tcPr>
            <w:tcW w:w="1039" w:type="pct"/>
            <w:tcBorders>
              <w:top w:val="nil"/>
              <w:left w:val="nil"/>
              <w:bottom w:val="nil"/>
              <w:right w:val="nil"/>
            </w:tcBorders>
            <w:shd w:val="clear" w:color="auto" w:fill="auto"/>
            <w:noWrap/>
            <w:vAlign w:val="center"/>
            <w:hideMark/>
          </w:tcPr>
          <w:p w14:paraId="19661783"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ASSETS</w:t>
            </w:r>
          </w:p>
        </w:tc>
        <w:tc>
          <w:tcPr>
            <w:tcW w:w="638" w:type="pct"/>
            <w:gridSpan w:val="2"/>
            <w:tcBorders>
              <w:top w:val="nil"/>
              <w:left w:val="nil"/>
              <w:bottom w:val="nil"/>
              <w:right w:val="nil"/>
            </w:tcBorders>
            <w:shd w:val="clear" w:color="auto" w:fill="auto"/>
          </w:tcPr>
          <w:p w14:paraId="7CA0C2DF"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3E60CD63"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22B429DB"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74B676B2"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16F47717"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0425D7">
              <w:rPr>
                <w:rFonts w:ascii="Times New Roman" w:eastAsia="Times New Roman" w:hAnsi="Times New Roman" w:cs="Times New Roman"/>
                <w:color w:val="000000"/>
              </w:rPr>
              <w:t>5.6</w:t>
            </w:r>
            <w:r>
              <w:rPr>
                <w:rFonts w:ascii="Times New Roman" w:eastAsia="Times New Roman" w:hAnsi="Times New Roman" w:cs="Times New Roman"/>
                <w:color w:val="000000"/>
              </w:rPr>
              <w:t>7</w:t>
            </w:r>
          </w:p>
        </w:tc>
        <w:tc>
          <w:tcPr>
            <w:tcW w:w="649" w:type="pct"/>
            <w:gridSpan w:val="3"/>
            <w:tcBorders>
              <w:top w:val="nil"/>
              <w:left w:val="nil"/>
              <w:bottom w:val="nil"/>
              <w:right w:val="nil"/>
            </w:tcBorders>
            <w:shd w:val="clear" w:color="auto" w:fill="auto"/>
            <w:hideMark/>
          </w:tcPr>
          <w:p w14:paraId="3B895A8A"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 xml:space="preserve"> 5.6</w:t>
            </w:r>
            <w:r>
              <w:rPr>
                <w:rFonts w:ascii="Times New Roman" w:eastAsia="Times New Roman" w:hAnsi="Times New Roman" w:cs="Times New Roman"/>
                <w:color w:val="000000"/>
              </w:rPr>
              <w:t>7</w:t>
            </w:r>
          </w:p>
        </w:tc>
        <w:tc>
          <w:tcPr>
            <w:tcW w:w="615" w:type="pct"/>
            <w:gridSpan w:val="4"/>
            <w:tcBorders>
              <w:top w:val="nil"/>
              <w:left w:val="nil"/>
              <w:bottom w:val="nil"/>
              <w:right w:val="nil"/>
            </w:tcBorders>
            <w:shd w:val="clear" w:color="auto" w:fill="auto"/>
            <w:hideMark/>
          </w:tcPr>
          <w:p w14:paraId="1F6327EB"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6462D0BC" w14:textId="77777777" w:rsidTr="00EA6EAA">
        <w:trPr>
          <w:trHeight w:val="20"/>
        </w:trPr>
        <w:tc>
          <w:tcPr>
            <w:tcW w:w="1039" w:type="pct"/>
            <w:tcBorders>
              <w:top w:val="nil"/>
              <w:left w:val="nil"/>
              <w:bottom w:val="nil"/>
              <w:right w:val="nil"/>
            </w:tcBorders>
            <w:shd w:val="clear" w:color="auto" w:fill="auto"/>
            <w:noWrap/>
            <w:vAlign w:val="bottom"/>
            <w:hideMark/>
          </w:tcPr>
          <w:p w14:paraId="0A0736BB"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ASSETTURNOVER</w:t>
            </w:r>
          </w:p>
        </w:tc>
        <w:tc>
          <w:tcPr>
            <w:tcW w:w="638" w:type="pct"/>
            <w:gridSpan w:val="2"/>
            <w:tcBorders>
              <w:top w:val="nil"/>
              <w:left w:val="nil"/>
              <w:bottom w:val="nil"/>
              <w:right w:val="nil"/>
            </w:tcBorders>
            <w:shd w:val="clear" w:color="auto" w:fill="auto"/>
          </w:tcPr>
          <w:p w14:paraId="51CB6499"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02DF120F"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42C48012"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07721C58"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3FB6125E"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0.8</w:t>
            </w:r>
            <w:r>
              <w:rPr>
                <w:rFonts w:ascii="Times New Roman" w:eastAsia="Times New Roman" w:hAnsi="Times New Roman" w:cs="Times New Roman"/>
                <w:color w:val="000000"/>
              </w:rPr>
              <w:t>1</w:t>
            </w:r>
          </w:p>
        </w:tc>
        <w:tc>
          <w:tcPr>
            <w:tcW w:w="649" w:type="pct"/>
            <w:gridSpan w:val="3"/>
            <w:tcBorders>
              <w:top w:val="nil"/>
              <w:left w:val="nil"/>
              <w:bottom w:val="nil"/>
              <w:right w:val="nil"/>
            </w:tcBorders>
            <w:shd w:val="clear" w:color="auto" w:fill="auto"/>
            <w:hideMark/>
          </w:tcPr>
          <w:p w14:paraId="46EB750B"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0.8</w:t>
            </w:r>
            <w:r>
              <w:rPr>
                <w:rFonts w:ascii="Times New Roman" w:eastAsia="Times New Roman" w:hAnsi="Times New Roman" w:cs="Times New Roman"/>
                <w:color w:val="000000"/>
              </w:rPr>
              <w:t>1</w:t>
            </w:r>
          </w:p>
        </w:tc>
        <w:tc>
          <w:tcPr>
            <w:tcW w:w="615" w:type="pct"/>
            <w:gridSpan w:val="4"/>
            <w:tcBorders>
              <w:top w:val="nil"/>
              <w:left w:val="nil"/>
              <w:bottom w:val="nil"/>
              <w:right w:val="nil"/>
            </w:tcBorders>
            <w:shd w:val="clear" w:color="auto" w:fill="auto"/>
            <w:hideMark/>
          </w:tcPr>
          <w:p w14:paraId="51F5F91E"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13EC8000" w14:textId="77777777" w:rsidTr="00EA6EAA">
        <w:trPr>
          <w:trHeight w:val="20"/>
        </w:trPr>
        <w:tc>
          <w:tcPr>
            <w:tcW w:w="1039" w:type="pct"/>
            <w:tcBorders>
              <w:top w:val="nil"/>
              <w:left w:val="nil"/>
              <w:bottom w:val="nil"/>
              <w:right w:val="nil"/>
            </w:tcBorders>
            <w:shd w:val="clear" w:color="auto" w:fill="auto"/>
            <w:noWrap/>
            <w:vAlign w:val="bottom"/>
            <w:hideMark/>
          </w:tcPr>
          <w:p w14:paraId="3DEE9829"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CURRATIO</w:t>
            </w:r>
          </w:p>
        </w:tc>
        <w:tc>
          <w:tcPr>
            <w:tcW w:w="638" w:type="pct"/>
            <w:gridSpan w:val="2"/>
            <w:tcBorders>
              <w:top w:val="nil"/>
              <w:left w:val="nil"/>
              <w:bottom w:val="nil"/>
              <w:right w:val="nil"/>
            </w:tcBorders>
            <w:shd w:val="clear" w:color="auto" w:fill="auto"/>
          </w:tcPr>
          <w:p w14:paraId="05502AE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6F8A706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2D06F7C3"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7F5BAD4E"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7B1495C0"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4.</w:t>
            </w:r>
            <w:r>
              <w:rPr>
                <w:rFonts w:ascii="Times New Roman" w:eastAsia="Times New Roman" w:hAnsi="Times New Roman" w:cs="Times New Roman"/>
                <w:color w:val="000000"/>
              </w:rPr>
              <w:t>23</w:t>
            </w:r>
          </w:p>
        </w:tc>
        <w:tc>
          <w:tcPr>
            <w:tcW w:w="649" w:type="pct"/>
            <w:gridSpan w:val="3"/>
            <w:tcBorders>
              <w:top w:val="nil"/>
              <w:left w:val="nil"/>
              <w:bottom w:val="nil"/>
              <w:right w:val="nil"/>
            </w:tcBorders>
            <w:shd w:val="clear" w:color="auto" w:fill="auto"/>
            <w:hideMark/>
          </w:tcPr>
          <w:p w14:paraId="5FC1CFDF"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4.</w:t>
            </w:r>
            <w:r>
              <w:rPr>
                <w:rFonts w:ascii="Times New Roman" w:eastAsia="Times New Roman" w:hAnsi="Times New Roman" w:cs="Times New Roman"/>
                <w:color w:val="000000"/>
              </w:rPr>
              <w:t>23</w:t>
            </w:r>
          </w:p>
        </w:tc>
        <w:tc>
          <w:tcPr>
            <w:tcW w:w="615" w:type="pct"/>
            <w:gridSpan w:val="4"/>
            <w:tcBorders>
              <w:top w:val="nil"/>
              <w:left w:val="nil"/>
              <w:bottom w:val="nil"/>
              <w:right w:val="nil"/>
            </w:tcBorders>
            <w:shd w:val="clear" w:color="auto" w:fill="auto"/>
            <w:hideMark/>
          </w:tcPr>
          <w:p w14:paraId="29509839"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567E940D" w14:textId="77777777" w:rsidTr="00EA6EAA">
        <w:trPr>
          <w:trHeight w:val="20"/>
        </w:trPr>
        <w:tc>
          <w:tcPr>
            <w:tcW w:w="1039" w:type="pct"/>
            <w:tcBorders>
              <w:top w:val="nil"/>
              <w:left w:val="nil"/>
              <w:bottom w:val="nil"/>
              <w:right w:val="nil"/>
            </w:tcBorders>
            <w:shd w:val="clear" w:color="auto" w:fill="auto"/>
            <w:noWrap/>
            <w:vAlign w:val="bottom"/>
            <w:hideMark/>
          </w:tcPr>
          <w:p w14:paraId="72F749CD"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ROA</w:t>
            </w:r>
          </w:p>
        </w:tc>
        <w:tc>
          <w:tcPr>
            <w:tcW w:w="638" w:type="pct"/>
            <w:gridSpan w:val="2"/>
            <w:tcBorders>
              <w:top w:val="nil"/>
              <w:left w:val="nil"/>
              <w:bottom w:val="nil"/>
              <w:right w:val="nil"/>
            </w:tcBorders>
            <w:shd w:val="clear" w:color="auto" w:fill="auto"/>
          </w:tcPr>
          <w:p w14:paraId="13D73A75"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42EA4D15"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319BE969"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45561F43"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13FA1713"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-0.20</w:t>
            </w:r>
          </w:p>
        </w:tc>
        <w:tc>
          <w:tcPr>
            <w:tcW w:w="649" w:type="pct"/>
            <w:gridSpan w:val="3"/>
            <w:tcBorders>
              <w:top w:val="nil"/>
              <w:left w:val="nil"/>
              <w:bottom w:val="nil"/>
              <w:right w:val="nil"/>
            </w:tcBorders>
            <w:shd w:val="clear" w:color="auto" w:fill="auto"/>
            <w:hideMark/>
          </w:tcPr>
          <w:p w14:paraId="7C53DD2F"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-0.20</w:t>
            </w:r>
          </w:p>
        </w:tc>
        <w:tc>
          <w:tcPr>
            <w:tcW w:w="615" w:type="pct"/>
            <w:gridSpan w:val="4"/>
            <w:tcBorders>
              <w:top w:val="nil"/>
              <w:left w:val="nil"/>
              <w:bottom w:val="nil"/>
              <w:right w:val="nil"/>
            </w:tcBorders>
            <w:shd w:val="clear" w:color="auto" w:fill="auto"/>
            <w:hideMark/>
          </w:tcPr>
          <w:p w14:paraId="38595780"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24A95707" w14:textId="77777777" w:rsidTr="00EA6EAA">
        <w:trPr>
          <w:trHeight w:val="20"/>
        </w:trPr>
        <w:tc>
          <w:tcPr>
            <w:tcW w:w="1039" w:type="pct"/>
            <w:tcBorders>
              <w:top w:val="nil"/>
              <w:left w:val="nil"/>
              <w:bottom w:val="nil"/>
              <w:right w:val="nil"/>
            </w:tcBorders>
            <w:shd w:val="clear" w:color="auto" w:fill="auto"/>
            <w:noWrap/>
            <w:vAlign w:val="bottom"/>
          </w:tcPr>
          <w:p w14:paraId="0D1BEEE8" w14:textId="7F40F74E" w:rsidR="00D652C8" w:rsidRPr="000425D7" w:rsidRDefault="00D652C8" w:rsidP="000669E5">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LOSS</w:t>
            </w:r>
          </w:p>
        </w:tc>
        <w:tc>
          <w:tcPr>
            <w:tcW w:w="638" w:type="pct"/>
            <w:gridSpan w:val="2"/>
            <w:tcBorders>
              <w:top w:val="nil"/>
              <w:left w:val="nil"/>
              <w:bottom w:val="nil"/>
              <w:right w:val="nil"/>
            </w:tcBorders>
            <w:shd w:val="clear" w:color="auto" w:fill="auto"/>
          </w:tcPr>
          <w:p w14:paraId="03A8E79E"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01CA47C2"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482F8929"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tcPr>
          <w:p w14:paraId="62ADBFC3"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3EA292D4" w14:textId="7B1C4D68" w:rsidR="00D652C8"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0.74</w:t>
            </w:r>
          </w:p>
        </w:tc>
        <w:tc>
          <w:tcPr>
            <w:tcW w:w="649" w:type="pct"/>
            <w:gridSpan w:val="3"/>
            <w:tcBorders>
              <w:top w:val="nil"/>
              <w:left w:val="nil"/>
              <w:bottom w:val="nil"/>
              <w:right w:val="nil"/>
            </w:tcBorders>
            <w:shd w:val="clear" w:color="auto" w:fill="auto"/>
          </w:tcPr>
          <w:p w14:paraId="7DE79392" w14:textId="2293F1AA" w:rsidR="00D652C8"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0.74</w:t>
            </w:r>
          </w:p>
        </w:tc>
        <w:tc>
          <w:tcPr>
            <w:tcW w:w="615" w:type="pct"/>
            <w:gridSpan w:val="4"/>
            <w:tcBorders>
              <w:top w:val="nil"/>
              <w:left w:val="nil"/>
              <w:bottom w:val="nil"/>
              <w:right w:val="nil"/>
            </w:tcBorders>
            <w:shd w:val="clear" w:color="auto" w:fill="auto"/>
          </w:tcPr>
          <w:p w14:paraId="38154FF6" w14:textId="7FFD434A"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D652C8" w:rsidRPr="00AB31E6" w14:paraId="6CC5CD2C" w14:textId="77777777" w:rsidTr="00EA6EAA">
        <w:trPr>
          <w:trHeight w:val="20"/>
        </w:trPr>
        <w:tc>
          <w:tcPr>
            <w:tcW w:w="1039" w:type="pct"/>
            <w:tcBorders>
              <w:top w:val="nil"/>
              <w:left w:val="nil"/>
              <w:bottom w:val="nil"/>
              <w:right w:val="nil"/>
            </w:tcBorders>
            <w:shd w:val="clear" w:color="auto" w:fill="auto"/>
            <w:noWrap/>
            <w:vAlign w:val="bottom"/>
            <w:hideMark/>
          </w:tcPr>
          <w:p w14:paraId="5102ACA9"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LEVERAGE</w:t>
            </w:r>
          </w:p>
        </w:tc>
        <w:tc>
          <w:tcPr>
            <w:tcW w:w="638" w:type="pct"/>
            <w:gridSpan w:val="2"/>
            <w:tcBorders>
              <w:top w:val="nil"/>
              <w:left w:val="nil"/>
              <w:bottom w:val="nil"/>
              <w:right w:val="nil"/>
            </w:tcBorders>
            <w:shd w:val="clear" w:color="auto" w:fill="auto"/>
          </w:tcPr>
          <w:p w14:paraId="6EA6A57C"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0A277AF0"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27A40A74"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5B31BFA2"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1E918C3C"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0.29</w:t>
            </w:r>
          </w:p>
        </w:tc>
        <w:tc>
          <w:tcPr>
            <w:tcW w:w="649" w:type="pct"/>
            <w:gridSpan w:val="3"/>
            <w:tcBorders>
              <w:top w:val="nil"/>
              <w:left w:val="nil"/>
              <w:bottom w:val="nil"/>
              <w:right w:val="nil"/>
            </w:tcBorders>
            <w:shd w:val="clear" w:color="auto" w:fill="auto"/>
            <w:hideMark/>
          </w:tcPr>
          <w:p w14:paraId="50BDA03B"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0.29</w:t>
            </w:r>
          </w:p>
        </w:tc>
        <w:tc>
          <w:tcPr>
            <w:tcW w:w="615" w:type="pct"/>
            <w:gridSpan w:val="4"/>
            <w:tcBorders>
              <w:top w:val="nil"/>
              <w:left w:val="nil"/>
              <w:bottom w:val="nil"/>
              <w:right w:val="nil"/>
            </w:tcBorders>
            <w:shd w:val="clear" w:color="auto" w:fill="auto"/>
            <w:hideMark/>
          </w:tcPr>
          <w:p w14:paraId="15B8C763"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6BDDEE98" w14:textId="77777777" w:rsidTr="00EA6EAA">
        <w:trPr>
          <w:trHeight w:val="20"/>
        </w:trPr>
        <w:tc>
          <w:tcPr>
            <w:tcW w:w="1039" w:type="pct"/>
            <w:tcBorders>
              <w:top w:val="nil"/>
              <w:left w:val="nil"/>
              <w:bottom w:val="nil"/>
              <w:right w:val="nil"/>
            </w:tcBorders>
            <w:shd w:val="clear" w:color="auto" w:fill="auto"/>
            <w:noWrap/>
            <w:vAlign w:val="bottom"/>
            <w:hideMark/>
          </w:tcPr>
          <w:p w14:paraId="7B5CF144"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SEGMENTS</w:t>
            </w:r>
          </w:p>
        </w:tc>
        <w:tc>
          <w:tcPr>
            <w:tcW w:w="638" w:type="pct"/>
            <w:gridSpan w:val="2"/>
            <w:tcBorders>
              <w:top w:val="nil"/>
              <w:left w:val="nil"/>
              <w:bottom w:val="nil"/>
              <w:right w:val="nil"/>
            </w:tcBorders>
            <w:shd w:val="clear" w:color="auto" w:fill="auto"/>
          </w:tcPr>
          <w:p w14:paraId="37A0A747"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293E261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5047E4EB"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7125FDC9"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5985EFDE"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0.27</w:t>
            </w:r>
          </w:p>
        </w:tc>
        <w:tc>
          <w:tcPr>
            <w:tcW w:w="649" w:type="pct"/>
            <w:gridSpan w:val="3"/>
            <w:tcBorders>
              <w:top w:val="nil"/>
              <w:left w:val="nil"/>
              <w:bottom w:val="nil"/>
              <w:right w:val="nil"/>
            </w:tcBorders>
            <w:shd w:val="clear" w:color="auto" w:fill="auto"/>
            <w:hideMark/>
          </w:tcPr>
          <w:p w14:paraId="02500E90"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0.27</w:t>
            </w:r>
          </w:p>
        </w:tc>
        <w:tc>
          <w:tcPr>
            <w:tcW w:w="615" w:type="pct"/>
            <w:gridSpan w:val="4"/>
            <w:tcBorders>
              <w:top w:val="nil"/>
              <w:left w:val="nil"/>
              <w:bottom w:val="nil"/>
              <w:right w:val="nil"/>
            </w:tcBorders>
            <w:shd w:val="clear" w:color="auto" w:fill="auto"/>
            <w:hideMark/>
          </w:tcPr>
          <w:p w14:paraId="544B67E7"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3E0EB160" w14:textId="77777777" w:rsidTr="00EA6EAA">
        <w:trPr>
          <w:trHeight w:val="20"/>
        </w:trPr>
        <w:tc>
          <w:tcPr>
            <w:tcW w:w="1039" w:type="pct"/>
            <w:tcBorders>
              <w:top w:val="nil"/>
              <w:left w:val="nil"/>
              <w:bottom w:val="nil"/>
              <w:right w:val="nil"/>
            </w:tcBorders>
            <w:shd w:val="clear" w:color="auto" w:fill="auto"/>
            <w:noWrap/>
            <w:vAlign w:val="bottom"/>
            <w:hideMark/>
          </w:tcPr>
          <w:p w14:paraId="3C1740B8"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DISCONTINUED</w:t>
            </w:r>
          </w:p>
        </w:tc>
        <w:tc>
          <w:tcPr>
            <w:tcW w:w="638" w:type="pct"/>
            <w:gridSpan w:val="2"/>
            <w:tcBorders>
              <w:top w:val="nil"/>
              <w:left w:val="nil"/>
              <w:bottom w:val="nil"/>
              <w:right w:val="nil"/>
            </w:tcBorders>
            <w:shd w:val="clear" w:color="auto" w:fill="auto"/>
          </w:tcPr>
          <w:p w14:paraId="631AA44A"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101D95BC"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5A060185"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33753C4F"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3397793E"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0.03</w:t>
            </w:r>
          </w:p>
        </w:tc>
        <w:tc>
          <w:tcPr>
            <w:tcW w:w="649" w:type="pct"/>
            <w:gridSpan w:val="3"/>
            <w:tcBorders>
              <w:top w:val="nil"/>
              <w:left w:val="nil"/>
              <w:bottom w:val="nil"/>
              <w:right w:val="nil"/>
            </w:tcBorders>
            <w:shd w:val="clear" w:color="auto" w:fill="auto"/>
            <w:hideMark/>
          </w:tcPr>
          <w:p w14:paraId="5513117E"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0.03</w:t>
            </w:r>
          </w:p>
        </w:tc>
        <w:tc>
          <w:tcPr>
            <w:tcW w:w="615" w:type="pct"/>
            <w:gridSpan w:val="4"/>
            <w:tcBorders>
              <w:top w:val="nil"/>
              <w:left w:val="nil"/>
              <w:bottom w:val="nil"/>
              <w:right w:val="nil"/>
            </w:tcBorders>
            <w:shd w:val="clear" w:color="auto" w:fill="auto"/>
            <w:hideMark/>
          </w:tcPr>
          <w:p w14:paraId="57930409"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1E52FA7B" w14:textId="77777777" w:rsidTr="00EA6EAA">
        <w:trPr>
          <w:trHeight w:val="20"/>
        </w:trPr>
        <w:tc>
          <w:tcPr>
            <w:tcW w:w="1039" w:type="pct"/>
            <w:tcBorders>
              <w:top w:val="nil"/>
              <w:left w:val="nil"/>
              <w:bottom w:val="nil"/>
              <w:right w:val="nil"/>
            </w:tcBorders>
            <w:shd w:val="clear" w:color="auto" w:fill="auto"/>
            <w:noWrap/>
            <w:vAlign w:val="bottom"/>
            <w:hideMark/>
          </w:tcPr>
          <w:p w14:paraId="54B77D20"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Z-SCORE</w:t>
            </w:r>
          </w:p>
        </w:tc>
        <w:tc>
          <w:tcPr>
            <w:tcW w:w="638" w:type="pct"/>
            <w:gridSpan w:val="2"/>
            <w:tcBorders>
              <w:top w:val="nil"/>
              <w:left w:val="nil"/>
              <w:bottom w:val="nil"/>
              <w:right w:val="nil"/>
            </w:tcBorders>
            <w:shd w:val="clear" w:color="auto" w:fill="auto"/>
          </w:tcPr>
          <w:p w14:paraId="1E4818E2"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4EEF4AED"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4D1A421C"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0367081D"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22AEEF25"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0.5</w:t>
            </w:r>
            <w:r>
              <w:rPr>
                <w:rFonts w:ascii="Times New Roman" w:eastAsia="Times New Roman" w:hAnsi="Times New Roman" w:cs="Times New Roman"/>
                <w:color w:val="000000"/>
              </w:rPr>
              <w:t>7</w:t>
            </w:r>
          </w:p>
        </w:tc>
        <w:tc>
          <w:tcPr>
            <w:tcW w:w="649" w:type="pct"/>
            <w:gridSpan w:val="3"/>
            <w:tcBorders>
              <w:top w:val="nil"/>
              <w:left w:val="nil"/>
              <w:bottom w:val="nil"/>
              <w:right w:val="nil"/>
            </w:tcBorders>
            <w:shd w:val="clear" w:color="auto" w:fill="auto"/>
            <w:hideMark/>
          </w:tcPr>
          <w:p w14:paraId="2C19112B"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0.5</w:t>
            </w:r>
            <w:r>
              <w:rPr>
                <w:rFonts w:ascii="Times New Roman" w:eastAsia="Times New Roman" w:hAnsi="Times New Roman" w:cs="Times New Roman"/>
                <w:color w:val="000000"/>
              </w:rPr>
              <w:t>7</w:t>
            </w:r>
          </w:p>
        </w:tc>
        <w:tc>
          <w:tcPr>
            <w:tcW w:w="615" w:type="pct"/>
            <w:gridSpan w:val="4"/>
            <w:tcBorders>
              <w:top w:val="nil"/>
              <w:left w:val="nil"/>
              <w:bottom w:val="nil"/>
              <w:right w:val="nil"/>
            </w:tcBorders>
            <w:shd w:val="clear" w:color="auto" w:fill="auto"/>
            <w:hideMark/>
          </w:tcPr>
          <w:p w14:paraId="58B47756"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1C233E4D" w14:textId="77777777" w:rsidTr="00EA6EAA">
        <w:trPr>
          <w:trHeight w:val="20"/>
        </w:trPr>
        <w:tc>
          <w:tcPr>
            <w:tcW w:w="1039" w:type="pct"/>
            <w:tcBorders>
              <w:top w:val="nil"/>
              <w:left w:val="nil"/>
              <w:bottom w:val="nil"/>
              <w:right w:val="nil"/>
            </w:tcBorders>
            <w:shd w:val="clear" w:color="auto" w:fill="auto"/>
            <w:noWrap/>
            <w:vAlign w:val="bottom"/>
            <w:hideMark/>
          </w:tcPr>
          <w:p w14:paraId="70600B29"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EGC</w:t>
            </w:r>
          </w:p>
        </w:tc>
        <w:tc>
          <w:tcPr>
            <w:tcW w:w="638" w:type="pct"/>
            <w:gridSpan w:val="2"/>
            <w:tcBorders>
              <w:top w:val="nil"/>
              <w:left w:val="nil"/>
              <w:bottom w:val="nil"/>
              <w:right w:val="nil"/>
            </w:tcBorders>
            <w:shd w:val="clear" w:color="auto" w:fill="auto"/>
          </w:tcPr>
          <w:p w14:paraId="2F9912DD"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1E758293"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1D1F1686"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4CAFD358"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104BA772"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0.66</w:t>
            </w:r>
          </w:p>
        </w:tc>
        <w:tc>
          <w:tcPr>
            <w:tcW w:w="649" w:type="pct"/>
            <w:gridSpan w:val="3"/>
            <w:tcBorders>
              <w:top w:val="nil"/>
              <w:left w:val="nil"/>
              <w:bottom w:val="nil"/>
              <w:right w:val="nil"/>
            </w:tcBorders>
            <w:shd w:val="clear" w:color="auto" w:fill="auto"/>
            <w:hideMark/>
          </w:tcPr>
          <w:p w14:paraId="41637709"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0.66</w:t>
            </w:r>
          </w:p>
        </w:tc>
        <w:tc>
          <w:tcPr>
            <w:tcW w:w="615" w:type="pct"/>
            <w:gridSpan w:val="4"/>
            <w:tcBorders>
              <w:top w:val="nil"/>
              <w:left w:val="nil"/>
              <w:bottom w:val="nil"/>
              <w:right w:val="nil"/>
            </w:tcBorders>
            <w:shd w:val="clear" w:color="auto" w:fill="auto"/>
            <w:hideMark/>
          </w:tcPr>
          <w:p w14:paraId="1FDA7E12"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50053E33" w14:textId="77777777" w:rsidTr="00EA6EAA">
        <w:trPr>
          <w:trHeight w:val="20"/>
        </w:trPr>
        <w:tc>
          <w:tcPr>
            <w:tcW w:w="1039" w:type="pct"/>
            <w:tcBorders>
              <w:top w:val="nil"/>
              <w:left w:val="nil"/>
              <w:right w:val="nil"/>
            </w:tcBorders>
            <w:shd w:val="clear" w:color="auto" w:fill="auto"/>
            <w:noWrap/>
            <w:vAlign w:val="bottom"/>
            <w:hideMark/>
          </w:tcPr>
          <w:p w14:paraId="0F19C793"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FOREIGNFIRM</w:t>
            </w:r>
          </w:p>
        </w:tc>
        <w:tc>
          <w:tcPr>
            <w:tcW w:w="638" w:type="pct"/>
            <w:gridSpan w:val="2"/>
            <w:tcBorders>
              <w:top w:val="nil"/>
              <w:left w:val="nil"/>
              <w:right w:val="nil"/>
            </w:tcBorders>
            <w:shd w:val="clear" w:color="auto" w:fill="auto"/>
          </w:tcPr>
          <w:p w14:paraId="6B09FD55"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right w:val="nil"/>
            </w:tcBorders>
            <w:shd w:val="clear" w:color="auto" w:fill="auto"/>
          </w:tcPr>
          <w:p w14:paraId="7948A92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right w:val="nil"/>
            </w:tcBorders>
            <w:shd w:val="clear" w:color="auto" w:fill="auto"/>
          </w:tcPr>
          <w:p w14:paraId="738E1FFF"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right w:val="nil"/>
            </w:tcBorders>
            <w:shd w:val="clear" w:color="auto" w:fill="auto"/>
            <w:hideMark/>
          </w:tcPr>
          <w:p w14:paraId="2E6E69F5"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right w:val="nil"/>
            </w:tcBorders>
            <w:shd w:val="clear" w:color="auto" w:fill="auto"/>
            <w:hideMark/>
          </w:tcPr>
          <w:p w14:paraId="5CE39A45"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0.23</w:t>
            </w:r>
          </w:p>
        </w:tc>
        <w:tc>
          <w:tcPr>
            <w:tcW w:w="649" w:type="pct"/>
            <w:gridSpan w:val="3"/>
            <w:tcBorders>
              <w:top w:val="nil"/>
              <w:left w:val="nil"/>
              <w:right w:val="nil"/>
            </w:tcBorders>
            <w:shd w:val="clear" w:color="auto" w:fill="auto"/>
            <w:hideMark/>
          </w:tcPr>
          <w:p w14:paraId="22A220BC"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0.23</w:t>
            </w:r>
          </w:p>
        </w:tc>
        <w:tc>
          <w:tcPr>
            <w:tcW w:w="615" w:type="pct"/>
            <w:gridSpan w:val="4"/>
            <w:tcBorders>
              <w:top w:val="nil"/>
              <w:left w:val="nil"/>
              <w:right w:val="nil"/>
            </w:tcBorders>
            <w:shd w:val="clear" w:color="auto" w:fill="auto"/>
            <w:hideMark/>
          </w:tcPr>
          <w:p w14:paraId="40CE93B4"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5CBC9B22" w14:textId="77777777" w:rsidTr="00EA6EAA">
        <w:trPr>
          <w:trHeight w:val="20"/>
        </w:trPr>
        <w:tc>
          <w:tcPr>
            <w:tcW w:w="1039" w:type="pct"/>
            <w:tcBorders>
              <w:top w:val="nil"/>
              <w:left w:val="nil"/>
              <w:bottom w:val="nil"/>
              <w:right w:val="nil"/>
            </w:tcBorders>
            <w:shd w:val="clear" w:color="auto" w:fill="auto"/>
            <w:noWrap/>
            <w:vAlign w:val="bottom"/>
            <w:hideMark/>
          </w:tcPr>
          <w:p w14:paraId="74301440" w14:textId="77777777" w:rsidR="00D652C8" w:rsidRPr="000425D7" w:rsidRDefault="00D652C8" w:rsidP="000669E5">
            <w:pPr>
              <w:spacing w:after="0" w:line="240" w:lineRule="auto"/>
              <w:rPr>
                <w:rFonts w:ascii="Times New Roman" w:eastAsia="Times New Roman" w:hAnsi="Times New Roman" w:cs="Times New Roman"/>
                <w:i/>
                <w:iCs/>
                <w:color w:val="000000"/>
              </w:rPr>
            </w:pPr>
            <w:r w:rsidRPr="000425D7">
              <w:rPr>
                <w:rFonts w:ascii="Times New Roman" w:eastAsia="Times New Roman" w:hAnsi="Times New Roman" w:cs="Times New Roman"/>
                <w:i/>
                <w:iCs/>
                <w:color w:val="000000"/>
              </w:rPr>
              <w:t>EARN</w:t>
            </w:r>
            <w:r w:rsidRPr="000425D7">
              <w:rPr>
                <w:rFonts w:ascii="Times New Roman" w:eastAsia="Times New Roman" w:hAnsi="Times New Roman" w:cs="Times New Roman"/>
                <w:i/>
                <w:iCs/>
                <w:color w:val="000000"/>
                <w:vertAlign w:val="subscript"/>
              </w:rPr>
              <w:t>t-1</w:t>
            </w:r>
          </w:p>
        </w:tc>
        <w:tc>
          <w:tcPr>
            <w:tcW w:w="638" w:type="pct"/>
            <w:gridSpan w:val="2"/>
            <w:tcBorders>
              <w:top w:val="nil"/>
              <w:left w:val="nil"/>
              <w:bottom w:val="nil"/>
              <w:right w:val="nil"/>
            </w:tcBorders>
            <w:shd w:val="clear" w:color="auto" w:fill="auto"/>
          </w:tcPr>
          <w:p w14:paraId="7385C06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tcPr>
          <w:p w14:paraId="6D3311A6"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nil"/>
              <w:right w:val="nil"/>
            </w:tcBorders>
            <w:shd w:val="clear" w:color="auto" w:fill="auto"/>
          </w:tcPr>
          <w:p w14:paraId="5B38EC3D"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nil"/>
              <w:right w:val="nil"/>
            </w:tcBorders>
            <w:shd w:val="clear" w:color="auto" w:fill="auto"/>
            <w:hideMark/>
          </w:tcPr>
          <w:p w14:paraId="31CBBF65"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nil"/>
              <w:right w:val="nil"/>
            </w:tcBorders>
            <w:shd w:val="clear" w:color="auto" w:fill="auto"/>
            <w:hideMark/>
          </w:tcPr>
          <w:p w14:paraId="707A5A5C"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930CB1">
              <w:rPr>
                <w:rFonts w:ascii="Times New Roman" w:eastAsia="Times New Roman" w:hAnsi="Times New Roman" w:cs="Times New Roman"/>
                <w:color w:val="000000"/>
              </w:rPr>
              <w:t>-0.26</w:t>
            </w:r>
          </w:p>
        </w:tc>
        <w:tc>
          <w:tcPr>
            <w:tcW w:w="649" w:type="pct"/>
            <w:gridSpan w:val="3"/>
            <w:tcBorders>
              <w:top w:val="nil"/>
              <w:left w:val="nil"/>
              <w:bottom w:val="nil"/>
              <w:right w:val="nil"/>
            </w:tcBorders>
            <w:shd w:val="clear" w:color="auto" w:fill="auto"/>
            <w:hideMark/>
          </w:tcPr>
          <w:p w14:paraId="20E95F01"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-0.26</w:t>
            </w:r>
          </w:p>
        </w:tc>
        <w:tc>
          <w:tcPr>
            <w:tcW w:w="615" w:type="pct"/>
            <w:gridSpan w:val="4"/>
            <w:tcBorders>
              <w:top w:val="nil"/>
              <w:left w:val="nil"/>
              <w:bottom w:val="nil"/>
              <w:right w:val="nil"/>
            </w:tcBorders>
            <w:shd w:val="clear" w:color="auto" w:fill="auto"/>
            <w:hideMark/>
          </w:tcPr>
          <w:p w14:paraId="33EE6C46" w14:textId="77777777" w:rsidR="00D652C8" w:rsidRPr="000425D7" w:rsidRDefault="00D652C8" w:rsidP="000669E5">
            <w:pPr>
              <w:spacing w:after="0" w:line="240" w:lineRule="auto"/>
              <w:jc w:val="center"/>
              <w:rPr>
                <w:rFonts w:ascii="Times New Roman" w:eastAsia="Times New Roman" w:hAnsi="Times New Roman" w:cs="Times New Roman"/>
                <w:color w:val="000000"/>
              </w:rPr>
            </w:pPr>
            <w:r w:rsidRPr="000425D7">
              <w:rPr>
                <w:rFonts w:ascii="Times New Roman" w:eastAsia="Times New Roman" w:hAnsi="Times New Roman" w:cs="Times New Roman"/>
                <w:color w:val="000000"/>
              </w:rPr>
              <w:t>0.00</w:t>
            </w:r>
          </w:p>
        </w:tc>
      </w:tr>
      <w:tr w:rsidR="00D652C8" w:rsidRPr="00AB31E6" w14:paraId="4AD3233B" w14:textId="77777777" w:rsidTr="00EA6EAA">
        <w:trPr>
          <w:trHeight w:val="20"/>
        </w:trPr>
        <w:tc>
          <w:tcPr>
            <w:tcW w:w="1039" w:type="pct"/>
            <w:tcBorders>
              <w:top w:val="nil"/>
              <w:left w:val="nil"/>
              <w:bottom w:val="single" w:sz="12" w:space="0" w:color="auto"/>
              <w:right w:val="nil"/>
            </w:tcBorders>
            <w:shd w:val="clear" w:color="auto" w:fill="auto"/>
            <w:noWrap/>
            <w:vAlign w:val="bottom"/>
          </w:tcPr>
          <w:p w14:paraId="4A986229" w14:textId="77777777" w:rsidR="00D652C8" w:rsidRPr="000425D7" w:rsidRDefault="00D652C8" w:rsidP="000669E5">
            <w:pPr>
              <w:spacing w:after="0" w:line="240" w:lineRule="auto"/>
              <w:rPr>
                <w:rFonts w:ascii="Times New Roman" w:eastAsia="Times New Roman" w:hAnsi="Times New Roman" w:cs="Times New Roman"/>
                <w:i/>
                <w:iCs/>
                <w:color w:val="000000"/>
              </w:rPr>
            </w:pPr>
          </w:p>
        </w:tc>
        <w:tc>
          <w:tcPr>
            <w:tcW w:w="638" w:type="pct"/>
            <w:gridSpan w:val="2"/>
            <w:tcBorders>
              <w:top w:val="nil"/>
              <w:left w:val="nil"/>
              <w:bottom w:val="single" w:sz="12" w:space="0" w:color="auto"/>
              <w:right w:val="nil"/>
            </w:tcBorders>
            <w:shd w:val="clear" w:color="auto" w:fill="auto"/>
          </w:tcPr>
          <w:p w14:paraId="52FA8D92"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48" w:type="pct"/>
            <w:gridSpan w:val="3"/>
            <w:tcBorders>
              <w:top w:val="nil"/>
              <w:left w:val="nil"/>
              <w:bottom w:val="single" w:sz="12" w:space="0" w:color="auto"/>
              <w:right w:val="nil"/>
            </w:tcBorders>
            <w:shd w:val="clear" w:color="auto" w:fill="auto"/>
          </w:tcPr>
          <w:p w14:paraId="7115E93C"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8" w:type="pct"/>
            <w:gridSpan w:val="2"/>
            <w:tcBorders>
              <w:top w:val="nil"/>
              <w:left w:val="nil"/>
              <w:bottom w:val="single" w:sz="12" w:space="0" w:color="auto"/>
              <w:right w:val="nil"/>
            </w:tcBorders>
            <w:shd w:val="clear" w:color="auto" w:fill="auto"/>
          </w:tcPr>
          <w:p w14:paraId="70A1A2C6"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145" w:type="pct"/>
            <w:tcBorders>
              <w:top w:val="nil"/>
              <w:left w:val="nil"/>
              <w:bottom w:val="single" w:sz="12" w:space="0" w:color="auto"/>
              <w:right w:val="nil"/>
            </w:tcBorders>
            <w:shd w:val="clear" w:color="auto" w:fill="auto"/>
          </w:tcPr>
          <w:p w14:paraId="03EE6910" w14:textId="77777777" w:rsidR="00D652C8" w:rsidRPr="000425D7" w:rsidRDefault="00D652C8" w:rsidP="000669E5">
            <w:pPr>
              <w:spacing w:after="0" w:line="240" w:lineRule="auto"/>
              <w:rPr>
                <w:rFonts w:ascii="Times New Roman" w:eastAsia="Times New Roman" w:hAnsi="Times New Roman" w:cs="Times New Roman"/>
                <w:color w:val="000000"/>
              </w:rPr>
            </w:pPr>
          </w:p>
        </w:tc>
        <w:tc>
          <w:tcPr>
            <w:tcW w:w="648" w:type="pct"/>
            <w:gridSpan w:val="3"/>
            <w:tcBorders>
              <w:top w:val="nil"/>
              <w:left w:val="nil"/>
              <w:bottom w:val="single" w:sz="12" w:space="0" w:color="auto"/>
              <w:right w:val="nil"/>
            </w:tcBorders>
            <w:shd w:val="clear" w:color="auto" w:fill="auto"/>
          </w:tcPr>
          <w:p w14:paraId="6C414A46" w14:textId="77777777" w:rsidR="00D652C8" w:rsidRPr="00930CB1" w:rsidRDefault="00D652C8" w:rsidP="000669E5">
            <w:pPr>
              <w:spacing w:after="0" w:line="240" w:lineRule="auto"/>
              <w:jc w:val="center"/>
              <w:rPr>
                <w:rFonts w:ascii="Times New Roman" w:eastAsia="Times New Roman" w:hAnsi="Times New Roman" w:cs="Times New Roman"/>
                <w:color w:val="000000"/>
              </w:rPr>
            </w:pPr>
          </w:p>
        </w:tc>
        <w:tc>
          <w:tcPr>
            <w:tcW w:w="649" w:type="pct"/>
            <w:gridSpan w:val="3"/>
            <w:tcBorders>
              <w:top w:val="nil"/>
              <w:left w:val="nil"/>
              <w:bottom w:val="single" w:sz="12" w:space="0" w:color="auto"/>
              <w:right w:val="nil"/>
            </w:tcBorders>
            <w:shd w:val="clear" w:color="auto" w:fill="auto"/>
          </w:tcPr>
          <w:p w14:paraId="1FCB59DD"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c>
          <w:tcPr>
            <w:tcW w:w="615" w:type="pct"/>
            <w:gridSpan w:val="4"/>
            <w:tcBorders>
              <w:top w:val="nil"/>
              <w:left w:val="nil"/>
              <w:bottom w:val="single" w:sz="12" w:space="0" w:color="auto"/>
              <w:right w:val="nil"/>
            </w:tcBorders>
            <w:shd w:val="clear" w:color="auto" w:fill="auto"/>
          </w:tcPr>
          <w:p w14:paraId="574345A1" w14:textId="77777777" w:rsidR="00D652C8" w:rsidRPr="000425D7" w:rsidRDefault="00D652C8" w:rsidP="000669E5">
            <w:pPr>
              <w:spacing w:after="0" w:line="240" w:lineRule="auto"/>
              <w:jc w:val="center"/>
              <w:rPr>
                <w:rFonts w:ascii="Times New Roman" w:eastAsia="Times New Roman" w:hAnsi="Times New Roman" w:cs="Times New Roman"/>
                <w:color w:val="000000"/>
              </w:rPr>
            </w:pPr>
          </w:p>
        </w:tc>
      </w:tr>
    </w:tbl>
    <w:p w14:paraId="20FB5DEF" w14:textId="57C5B16F" w:rsidR="00D652C8" w:rsidRPr="00D652C8" w:rsidRDefault="00D652C8" w:rsidP="00D652C8">
      <w:pPr>
        <w:spacing w:after="0" w:line="240" w:lineRule="auto"/>
        <w:ind w:right="-90"/>
        <w:jc w:val="both"/>
        <w:outlineLvl w:val="0"/>
        <w:rPr>
          <w:rFonts w:ascii="Times New Roman" w:eastAsia="Times New Roman" w:hAnsi="Times New Roman" w:cs="Times New Roman"/>
          <w:color w:val="000000"/>
          <w:sz w:val="20"/>
          <w:szCs w:val="20"/>
        </w:rPr>
      </w:pPr>
      <w:r w:rsidRPr="00D652C8">
        <w:rPr>
          <w:rFonts w:ascii="Times New Roman" w:eastAsia="Times New Roman" w:hAnsi="Times New Roman" w:cs="Times New Roman"/>
          <w:color w:val="000000"/>
          <w:sz w:val="20"/>
          <w:szCs w:val="20"/>
        </w:rPr>
        <w:t xml:space="preserve">Panel A of the table presents descriptive statistics for private companies that go public via a SPAC transaction compared to traditional IPOs (non-SPAC-IPOs). For each SPAC-IPO observation, we identify a matched company that raised public funds via a traditional IPO. We match on SPAC acquisition year (Year </w:t>
      </w:r>
      <w:r w:rsidR="006112B6">
        <w:rPr>
          <w:rFonts w:ascii="Times New Roman" w:eastAsia="Times New Roman" w:hAnsi="Times New Roman" w:cs="Times New Roman"/>
          <w:color w:val="000000"/>
          <w:sz w:val="20"/>
          <w:szCs w:val="20"/>
        </w:rPr>
        <w:t>t</w:t>
      </w:r>
      <w:r w:rsidRPr="00D652C8">
        <w:rPr>
          <w:rFonts w:ascii="Times New Roman" w:eastAsia="Times New Roman" w:hAnsi="Times New Roman" w:cs="Times New Roman"/>
          <w:color w:val="000000"/>
          <w:sz w:val="20"/>
          <w:szCs w:val="20"/>
        </w:rPr>
        <w:t xml:space="preserve">) and on the amount of funds raised from the public offering (PROCEEDS) without replacement. Panel B presents the means for private companies that go public via a SPAC transaction compared to the 145 matched-pair non-SPAC-IPO firms before and after entropy balancing on the first moment. For the variable </w:t>
      </w:r>
      <w:r w:rsidRPr="00D652C8">
        <w:rPr>
          <w:rFonts w:ascii="Times New Roman" w:eastAsia="Times New Roman" w:hAnsi="Times New Roman" w:cs="Times New Roman"/>
          <w:i/>
          <w:color w:val="000000"/>
          <w:sz w:val="20"/>
          <w:szCs w:val="20"/>
        </w:rPr>
        <w:t>EARN</w:t>
      </w:r>
      <w:r w:rsidRPr="00D652C8">
        <w:rPr>
          <w:rFonts w:ascii="Times New Roman" w:eastAsia="Times New Roman" w:hAnsi="Times New Roman" w:cs="Times New Roman"/>
          <w:color w:val="000000"/>
          <w:sz w:val="20"/>
          <w:szCs w:val="20"/>
          <w:vertAlign w:val="subscript"/>
        </w:rPr>
        <w:t>t-1</w:t>
      </w:r>
      <w:r w:rsidRPr="00D652C8">
        <w:rPr>
          <w:rFonts w:ascii="Times New Roman" w:eastAsia="Times New Roman" w:hAnsi="Times New Roman" w:cs="Times New Roman"/>
          <w:color w:val="000000"/>
          <w:sz w:val="20"/>
          <w:szCs w:val="20"/>
        </w:rPr>
        <w:t>, we limit the SPAC-IPO and non-SPAC-IPO firms to the 141 firms with these variables available. All continuous variables are winsorized at the 1st and 99th percentiles. See Appendix A for variable definitions. *, **, and *** represent statistical significance at the 10%, 5%, and 1% levels, respectively, for a two-tailed test.</w:t>
      </w:r>
      <w:r w:rsidR="00DC40CA">
        <w:rPr>
          <w:rFonts w:ascii="Times New Roman" w:eastAsia="Times New Roman" w:hAnsi="Times New Roman" w:cs="Times New Roman"/>
          <w:color w:val="000000"/>
          <w:sz w:val="20"/>
          <w:szCs w:val="20"/>
        </w:rPr>
        <w:t xml:space="preserve"> In Panel A, the stars </w:t>
      </w:r>
      <w:r w:rsidR="00EA6EAA">
        <w:rPr>
          <w:rFonts w:ascii="Times New Roman" w:eastAsia="Times New Roman" w:hAnsi="Times New Roman" w:cs="Times New Roman"/>
          <w:color w:val="000000"/>
          <w:sz w:val="20"/>
          <w:szCs w:val="20"/>
        </w:rPr>
        <w:t xml:space="preserve">denote whether </w:t>
      </w:r>
      <w:r w:rsidR="00DC40CA">
        <w:rPr>
          <w:rFonts w:ascii="Times New Roman" w:eastAsia="Times New Roman" w:hAnsi="Times New Roman" w:cs="Times New Roman"/>
          <w:color w:val="000000"/>
          <w:sz w:val="20"/>
          <w:szCs w:val="20"/>
        </w:rPr>
        <w:t>differences between SPAC-IPOs and non-SPAC-IPOs</w:t>
      </w:r>
      <w:r w:rsidR="00EA6EAA">
        <w:rPr>
          <w:rFonts w:ascii="Times New Roman" w:eastAsia="Times New Roman" w:hAnsi="Times New Roman" w:cs="Times New Roman"/>
          <w:color w:val="000000"/>
          <w:sz w:val="20"/>
          <w:szCs w:val="20"/>
        </w:rPr>
        <w:t xml:space="preserve"> are statistically signficant</w:t>
      </w:r>
      <w:r w:rsidR="00DC40CA">
        <w:rPr>
          <w:rFonts w:ascii="Times New Roman" w:eastAsia="Times New Roman" w:hAnsi="Times New Roman" w:cs="Times New Roman"/>
          <w:color w:val="000000"/>
          <w:sz w:val="20"/>
          <w:szCs w:val="20"/>
        </w:rPr>
        <w:t>.</w:t>
      </w:r>
    </w:p>
    <w:p w14:paraId="3722E372" w14:textId="77777777" w:rsidR="00EA6EAA" w:rsidRDefault="00EA6EAA">
      <w:r>
        <w:br w:type="page"/>
      </w:r>
    </w:p>
    <w:tbl>
      <w:tblPr>
        <w:tblW w:w="0" w:type="auto"/>
        <w:tblLook w:val="04A0" w:firstRow="1" w:lastRow="0" w:firstColumn="1" w:lastColumn="0" w:noHBand="0" w:noVBand="1"/>
      </w:tblPr>
      <w:tblGrid>
        <w:gridCol w:w="1966"/>
        <w:gridCol w:w="907"/>
        <w:gridCol w:w="217"/>
        <w:gridCol w:w="828"/>
        <w:gridCol w:w="217"/>
        <w:gridCol w:w="927"/>
        <w:gridCol w:w="700"/>
        <w:gridCol w:w="228"/>
        <w:gridCol w:w="700"/>
        <w:gridCol w:w="216"/>
        <w:gridCol w:w="663"/>
        <w:gridCol w:w="216"/>
        <w:gridCol w:w="216"/>
        <w:gridCol w:w="279"/>
        <w:gridCol w:w="254"/>
        <w:gridCol w:w="823"/>
      </w:tblGrid>
      <w:tr w:rsidR="00D652C8" w:rsidRPr="008775BE" w14:paraId="599D86B3" w14:textId="77777777" w:rsidTr="000669E5">
        <w:trPr>
          <w:trHeight w:val="260"/>
        </w:trPr>
        <w:tc>
          <w:tcPr>
            <w:tcW w:w="0" w:type="auto"/>
            <w:tcBorders>
              <w:top w:val="nil"/>
              <w:left w:val="nil"/>
              <w:bottom w:val="nil"/>
              <w:right w:val="nil"/>
            </w:tcBorders>
            <w:shd w:val="clear" w:color="auto" w:fill="auto"/>
            <w:noWrap/>
            <w:vAlign w:val="bottom"/>
            <w:hideMark/>
          </w:tcPr>
          <w:p w14:paraId="664F68F2" w14:textId="1558A2F1" w:rsidR="00D652C8" w:rsidRPr="008775BE" w:rsidRDefault="00D652C8" w:rsidP="000669E5">
            <w:pPr>
              <w:spacing w:after="0" w:line="240" w:lineRule="auto"/>
              <w:rPr>
                <w:rFonts w:ascii="Times New Roman" w:eastAsia="Times New Roman" w:hAnsi="Times New Roman" w:cs="Times New Roman"/>
                <w:b/>
                <w:bCs/>
                <w:color w:val="000000"/>
                <w:sz w:val="18"/>
                <w:szCs w:val="18"/>
              </w:rPr>
            </w:pPr>
            <w:r w:rsidRPr="008775BE">
              <w:rPr>
                <w:rFonts w:ascii="Times New Roman" w:eastAsia="Times New Roman" w:hAnsi="Times New Roman" w:cs="Times New Roman"/>
                <w:b/>
                <w:bCs/>
                <w:color w:val="000000"/>
                <w:sz w:val="18"/>
                <w:szCs w:val="18"/>
              </w:rPr>
              <w:lastRenderedPageBreak/>
              <w:t>Table 3</w:t>
            </w:r>
          </w:p>
        </w:tc>
        <w:tc>
          <w:tcPr>
            <w:tcW w:w="907" w:type="dxa"/>
            <w:tcBorders>
              <w:top w:val="nil"/>
              <w:left w:val="nil"/>
              <w:bottom w:val="nil"/>
              <w:right w:val="nil"/>
            </w:tcBorders>
            <w:shd w:val="clear" w:color="auto" w:fill="auto"/>
            <w:noWrap/>
            <w:vAlign w:val="bottom"/>
            <w:hideMark/>
          </w:tcPr>
          <w:p w14:paraId="0F7A04ED" w14:textId="77777777" w:rsidR="00D652C8" w:rsidRPr="008775BE" w:rsidRDefault="00D652C8" w:rsidP="000669E5">
            <w:pPr>
              <w:spacing w:after="0" w:line="240" w:lineRule="auto"/>
              <w:rPr>
                <w:rFonts w:ascii="Times New Roman" w:eastAsia="Times New Roman" w:hAnsi="Times New Roman" w:cs="Times New Roman"/>
                <w:b/>
                <w:bCs/>
                <w:color w:val="000000"/>
                <w:sz w:val="18"/>
                <w:szCs w:val="18"/>
              </w:rPr>
            </w:pPr>
          </w:p>
        </w:tc>
        <w:tc>
          <w:tcPr>
            <w:tcW w:w="1262" w:type="dxa"/>
            <w:gridSpan w:val="3"/>
            <w:tcBorders>
              <w:top w:val="nil"/>
              <w:left w:val="nil"/>
              <w:bottom w:val="nil"/>
              <w:right w:val="nil"/>
            </w:tcBorders>
            <w:shd w:val="clear" w:color="auto" w:fill="auto"/>
            <w:noWrap/>
            <w:vAlign w:val="bottom"/>
            <w:hideMark/>
          </w:tcPr>
          <w:p w14:paraId="571BB8FC"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927" w:type="dxa"/>
            <w:tcBorders>
              <w:top w:val="nil"/>
              <w:left w:val="nil"/>
              <w:bottom w:val="nil"/>
              <w:right w:val="nil"/>
            </w:tcBorders>
            <w:shd w:val="clear" w:color="auto" w:fill="auto"/>
            <w:noWrap/>
            <w:vAlign w:val="bottom"/>
            <w:hideMark/>
          </w:tcPr>
          <w:p w14:paraId="5D9480EC"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928" w:type="dxa"/>
            <w:gridSpan w:val="2"/>
            <w:tcBorders>
              <w:top w:val="nil"/>
              <w:left w:val="nil"/>
              <w:bottom w:val="nil"/>
              <w:right w:val="nil"/>
            </w:tcBorders>
            <w:shd w:val="clear" w:color="auto" w:fill="auto"/>
            <w:noWrap/>
            <w:vAlign w:val="bottom"/>
            <w:hideMark/>
          </w:tcPr>
          <w:p w14:paraId="2522D4B9"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700" w:type="dxa"/>
            <w:tcBorders>
              <w:top w:val="nil"/>
              <w:left w:val="nil"/>
              <w:bottom w:val="nil"/>
              <w:right w:val="nil"/>
            </w:tcBorders>
            <w:shd w:val="clear" w:color="auto" w:fill="auto"/>
            <w:noWrap/>
            <w:vAlign w:val="bottom"/>
            <w:hideMark/>
          </w:tcPr>
          <w:p w14:paraId="444781C4"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1311" w:type="dxa"/>
            <w:gridSpan w:val="4"/>
            <w:tcBorders>
              <w:top w:val="nil"/>
              <w:left w:val="nil"/>
              <w:bottom w:val="nil"/>
              <w:right w:val="nil"/>
            </w:tcBorders>
            <w:shd w:val="clear" w:color="auto" w:fill="auto"/>
            <w:noWrap/>
            <w:vAlign w:val="bottom"/>
            <w:hideMark/>
          </w:tcPr>
          <w:p w14:paraId="064A1DC3"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279" w:type="dxa"/>
            <w:tcBorders>
              <w:top w:val="nil"/>
              <w:left w:val="nil"/>
              <w:bottom w:val="nil"/>
              <w:right w:val="nil"/>
            </w:tcBorders>
            <w:shd w:val="clear" w:color="auto" w:fill="auto"/>
            <w:noWrap/>
            <w:vAlign w:val="bottom"/>
            <w:hideMark/>
          </w:tcPr>
          <w:p w14:paraId="64648858"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1077" w:type="dxa"/>
            <w:gridSpan w:val="2"/>
            <w:tcBorders>
              <w:top w:val="nil"/>
              <w:left w:val="nil"/>
              <w:bottom w:val="nil"/>
              <w:right w:val="nil"/>
            </w:tcBorders>
            <w:shd w:val="clear" w:color="auto" w:fill="auto"/>
            <w:noWrap/>
            <w:vAlign w:val="bottom"/>
            <w:hideMark/>
          </w:tcPr>
          <w:p w14:paraId="7FCF953F" w14:textId="77777777" w:rsidR="00D652C8" w:rsidRPr="008775BE" w:rsidRDefault="00D652C8" w:rsidP="000669E5">
            <w:pPr>
              <w:spacing w:after="0" w:line="240" w:lineRule="auto"/>
              <w:rPr>
                <w:rFonts w:ascii="Times New Roman" w:eastAsia="Times New Roman" w:hAnsi="Times New Roman" w:cs="Times New Roman"/>
                <w:sz w:val="18"/>
                <w:szCs w:val="18"/>
              </w:rPr>
            </w:pPr>
          </w:p>
        </w:tc>
      </w:tr>
      <w:tr w:rsidR="00D652C8" w:rsidRPr="008775BE" w14:paraId="381315C2" w14:textId="77777777" w:rsidTr="000669E5">
        <w:trPr>
          <w:trHeight w:val="260"/>
        </w:trPr>
        <w:tc>
          <w:tcPr>
            <w:tcW w:w="6690" w:type="dxa"/>
            <w:gridSpan w:val="9"/>
            <w:tcBorders>
              <w:top w:val="nil"/>
              <w:left w:val="nil"/>
              <w:bottom w:val="nil"/>
              <w:right w:val="nil"/>
            </w:tcBorders>
            <w:shd w:val="clear" w:color="auto" w:fill="auto"/>
            <w:noWrap/>
            <w:vAlign w:val="bottom"/>
            <w:hideMark/>
          </w:tcPr>
          <w:p w14:paraId="0B4561C3" w14:textId="5463B063" w:rsidR="00D652C8" w:rsidRPr="008775BE" w:rsidRDefault="00D652C8" w:rsidP="008775BE">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Differences in </w:t>
            </w:r>
            <w:r w:rsidR="008775BE">
              <w:rPr>
                <w:rFonts w:ascii="Times New Roman" w:eastAsia="Times New Roman" w:hAnsi="Times New Roman" w:cs="Times New Roman"/>
                <w:color w:val="000000"/>
                <w:sz w:val="18"/>
                <w:szCs w:val="18"/>
              </w:rPr>
              <w:t xml:space="preserve">Financial Reporting Quality </w:t>
            </w:r>
            <w:r w:rsidRPr="008775BE">
              <w:rPr>
                <w:rFonts w:ascii="Times New Roman" w:eastAsia="Times New Roman" w:hAnsi="Times New Roman" w:cs="Times New Roman"/>
                <w:color w:val="000000"/>
                <w:sz w:val="18"/>
                <w:szCs w:val="18"/>
              </w:rPr>
              <w:t>Between SPAC- and non-SPAC-IPOs.</w:t>
            </w:r>
          </w:p>
        </w:tc>
        <w:tc>
          <w:tcPr>
            <w:tcW w:w="1311" w:type="dxa"/>
            <w:gridSpan w:val="4"/>
            <w:tcBorders>
              <w:top w:val="nil"/>
              <w:left w:val="nil"/>
              <w:bottom w:val="nil"/>
              <w:right w:val="nil"/>
            </w:tcBorders>
            <w:shd w:val="clear" w:color="auto" w:fill="auto"/>
            <w:noWrap/>
            <w:vAlign w:val="bottom"/>
            <w:hideMark/>
          </w:tcPr>
          <w:p w14:paraId="7FC43C6B"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c>
          <w:tcPr>
            <w:tcW w:w="279" w:type="dxa"/>
            <w:tcBorders>
              <w:top w:val="nil"/>
              <w:left w:val="nil"/>
              <w:bottom w:val="nil"/>
              <w:right w:val="nil"/>
            </w:tcBorders>
            <w:shd w:val="clear" w:color="auto" w:fill="auto"/>
            <w:noWrap/>
            <w:vAlign w:val="bottom"/>
            <w:hideMark/>
          </w:tcPr>
          <w:p w14:paraId="264ED91F"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1077" w:type="dxa"/>
            <w:gridSpan w:val="2"/>
            <w:tcBorders>
              <w:top w:val="nil"/>
              <w:left w:val="nil"/>
              <w:bottom w:val="nil"/>
              <w:right w:val="nil"/>
            </w:tcBorders>
            <w:shd w:val="clear" w:color="auto" w:fill="auto"/>
            <w:noWrap/>
            <w:vAlign w:val="bottom"/>
            <w:hideMark/>
          </w:tcPr>
          <w:p w14:paraId="39EC44AB" w14:textId="77777777" w:rsidR="00D652C8" w:rsidRPr="008775BE" w:rsidRDefault="00D652C8" w:rsidP="000669E5">
            <w:pPr>
              <w:spacing w:after="0" w:line="240" w:lineRule="auto"/>
              <w:rPr>
                <w:rFonts w:ascii="Times New Roman" w:eastAsia="Times New Roman" w:hAnsi="Times New Roman" w:cs="Times New Roman"/>
                <w:sz w:val="18"/>
                <w:szCs w:val="18"/>
              </w:rPr>
            </w:pPr>
          </w:p>
        </w:tc>
      </w:tr>
      <w:tr w:rsidR="00D652C8" w:rsidRPr="008775BE" w14:paraId="3A7D19E8" w14:textId="77777777" w:rsidTr="000669E5">
        <w:trPr>
          <w:trHeight w:val="270"/>
        </w:trPr>
        <w:tc>
          <w:tcPr>
            <w:tcW w:w="0" w:type="auto"/>
            <w:tcBorders>
              <w:top w:val="nil"/>
              <w:left w:val="nil"/>
              <w:bottom w:val="single" w:sz="8" w:space="0" w:color="auto"/>
              <w:right w:val="nil"/>
            </w:tcBorders>
            <w:shd w:val="clear" w:color="auto" w:fill="auto"/>
            <w:noWrap/>
            <w:vAlign w:val="bottom"/>
            <w:hideMark/>
          </w:tcPr>
          <w:p w14:paraId="4F3691D0"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07" w:type="dxa"/>
            <w:tcBorders>
              <w:top w:val="nil"/>
              <w:left w:val="nil"/>
              <w:bottom w:val="single" w:sz="8" w:space="0" w:color="auto"/>
              <w:right w:val="nil"/>
            </w:tcBorders>
            <w:shd w:val="clear" w:color="auto" w:fill="auto"/>
            <w:noWrap/>
            <w:vAlign w:val="bottom"/>
            <w:hideMark/>
          </w:tcPr>
          <w:p w14:paraId="7B84A656"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262" w:type="dxa"/>
            <w:gridSpan w:val="3"/>
            <w:tcBorders>
              <w:top w:val="nil"/>
              <w:left w:val="nil"/>
              <w:bottom w:val="single" w:sz="8" w:space="0" w:color="auto"/>
              <w:right w:val="nil"/>
            </w:tcBorders>
            <w:shd w:val="clear" w:color="auto" w:fill="auto"/>
            <w:noWrap/>
            <w:vAlign w:val="bottom"/>
            <w:hideMark/>
          </w:tcPr>
          <w:p w14:paraId="2AEE1FEA"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7" w:type="dxa"/>
            <w:tcBorders>
              <w:top w:val="nil"/>
              <w:left w:val="nil"/>
              <w:bottom w:val="single" w:sz="8" w:space="0" w:color="auto"/>
              <w:right w:val="nil"/>
            </w:tcBorders>
            <w:shd w:val="clear" w:color="auto" w:fill="auto"/>
            <w:noWrap/>
            <w:vAlign w:val="bottom"/>
            <w:hideMark/>
          </w:tcPr>
          <w:p w14:paraId="0C4B126D"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8" w:type="dxa"/>
            <w:gridSpan w:val="2"/>
            <w:tcBorders>
              <w:top w:val="nil"/>
              <w:left w:val="nil"/>
              <w:bottom w:val="single" w:sz="8" w:space="0" w:color="auto"/>
              <w:right w:val="nil"/>
            </w:tcBorders>
            <w:shd w:val="clear" w:color="auto" w:fill="auto"/>
            <w:noWrap/>
            <w:vAlign w:val="bottom"/>
            <w:hideMark/>
          </w:tcPr>
          <w:p w14:paraId="370E9ED7"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nil"/>
            </w:tcBorders>
            <w:shd w:val="clear" w:color="auto" w:fill="auto"/>
            <w:noWrap/>
            <w:vAlign w:val="bottom"/>
            <w:hideMark/>
          </w:tcPr>
          <w:p w14:paraId="46F05D4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311" w:type="dxa"/>
            <w:gridSpan w:val="4"/>
            <w:tcBorders>
              <w:top w:val="nil"/>
              <w:left w:val="nil"/>
              <w:bottom w:val="single" w:sz="8" w:space="0" w:color="auto"/>
              <w:right w:val="nil"/>
            </w:tcBorders>
            <w:shd w:val="clear" w:color="auto" w:fill="auto"/>
            <w:noWrap/>
            <w:vAlign w:val="bottom"/>
            <w:hideMark/>
          </w:tcPr>
          <w:p w14:paraId="0E36FEA1"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279" w:type="dxa"/>
            <w:tcBorders>
              <w:top w:val="nil"/>
              <w:left w:val="nil"/>
              <w:bottom w:val="single" w:sz="8" w:space="0" w:color="auto"/>
              <w:right w:val="nil"/>
            </w:tcBorders>
            <w:shd w:val="clear" w:color="auto" w:fill="auto"/>
            <w:noWrap/>
            <w:vAlign w:val="bottom"/>
            <w:hideMark/>
          </w:tcPr>
          <w:p w14:paraId="6ED322C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077" w:type="dxa"/>
            <w:gridSpan w:val="2"/>
            <w:tcBorders>
              <w:top w:val="nil"/>
              <w:left w:val="nil"/>
              <w:bottom w:val="single" w:sz="8" w:space="0" w:color="auto"/>
              <w:right w:val="nil"/>
            </w:tcBorders>
            <w:shd w:val="clear" w:color="auto" w:fill="auto"/>
            <w:noWrap/>
            <w:vAlign w:val="bottom"/>
            <w:hideMark/>
          </w:tcPr>
          <w:p w14:paraId="34EB1B2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r>
      <w:tr w:rsidR="00D652C8" w:rsidRPr="008775BE" w14:paraId="7AA227E3" w14:textId="77777777" w:rsidTr="000669E5">
        <w:trPr>
          <w:trHeight w:val="270"/>
        </w:trPr>
        <w:tc>
          <w:tcPr>
            <w:tcW w:w="9357" w:type="dxa"/>
            <w:gridSpan w:val="16"/>
            <w:tcBorders>
              <w:top w:val="single" w:sz="8" w:space="0" w:color="auto"/>
              <w:left w:val="nil"/>
              <w:bottom w:val="single" w:sz="8" w:space="0" w:color="auto"/>
              <w:right w:val="nil"/>
            </w:tcBorders>
            <w:shd w:val="clear" w:color="auto" w:fill="auto"/>
            <w:noWrap/>
            <w:vAlign w:val="bottom"/>
            <w:hideMark/>
          </w:tcPr>
          <w:p w14:paraId="6C57AD59"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Panel A: Univariate comparisons of material weaknesses, restatements, and non-timely annual filings</w:t>
            </w:r>
          </w:p>
        </w:tc>
      </w:tr>
      <w:tr w:rsidR="00D652C8" w:rsidRPr="008775BE" w14:paraId="06A5778D" w14:textId="77777777" w:rsidTr="000669E5">
        <w:trPr>
          <w:trHeight w:val="270"/>
        </w:trPr>
        <w:tc>
          <w:tcPr>
            <w:tcW w:w="0" w:type="auto"/>
            <w:tcBorders>
              <w:top w:val="nil"/>
              <w:left w:val="nil"/>
              <w:bottom w:val="single" w:sz="8" w:space="0" w:color="auto"/>
              <w:right w:val="nil"/>
            </w:tcBorders>
            <w:shd w:val="clear" w:color="auto" w:fill="auto"/>
            <w:noWrap/>
            <w:vAlign w:val="bottom"/>
            <w:hideMark/>
          </w:tcPr>
          <w:p w14:paraId="39E139B5"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 </w:t>
            </w:r>
          </w:p>
        </w:tc>
        <w:tc>
          <w:tcPr>
            <w:tcW w:w="2169" w:type="dxa"/>
            <w:gridSpan w:val="4"/>
            <w:tcBorders>
              <w:top w:val="single" w:sz="8" w:space="0" w:color="auto"/>
              <w:left w:val="nil"/>
              <w:bottom w:val="single" w:sz="8" w:space="0" w:color="auto"/>
              <w:right w:val="nil"/>
            </w:tcBorders>
            <w:shd w:val="clear" w:color="auto" w:fill="auto"/>
            <w:noWrap/>
            <w:vAlign w:val="bottom"/>
            <w:hideMark/>
          </w:tcPr>
          <w:p w14:paraId="106FB38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7" w:type="dxa"/>
            <w:tcBorders>
              <w:top w:val="nil"/>
              <w:left w:val="nil"/>
              <w:bottom w:val="single" w:sz="8" w:space="0" w:color="auto"/>
              <w:right w:val="nil"/>
            </w:tcBorders>
            <w:shd w:val="clear" w:color="auto" w:fill="auto"/>
            <w:noWrap/>
            <w:vAlign w:val="bottom"/>
            <w:hideMark/>
          </w:tcPr>
          <w:p w14:paraId="2847865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628" w:type="dxa"/>
            <w:gridSpan w:val="3"/>
            <w:tcBorders>
              <w:top w:val="nil"/>
              <w:left w:val="nil"/>
              <w:bottom w:val="single" w:sz="8" w:space="0" w:color="auto"/>
              <w:right w:val="nil"/>
            </w:tcBorders>
            <w:shd w:val="clear" w:color="auto" w:fill="auto"/>
            <w:noWrap/>
            <w:vAlign w:val="bottom"/>
            <w:hideMark/>
          </w:tcPr>
          <w:p w14:paraId="5AFA2700"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SPAC-IPOs</w:t>
            </w:r>
          </w:p>
        </w:tc>
        <w:tc>
          <w:tcPr>
            <w:tcW w:w="1590" w:type="dxa"/>
            <w:gridSpan w:val="5"/>
            <w:tcBorders>
              <w:top w:val="nil"/>
              <w:left w:val="nil"/>
              <w:bottom w:val="single" w:sz="8" w:space="0" w:color="auto"/>
              <w:right w:val="nil"/>
            </w:tcBorders>
            <w:shd w:val="clear" w:color="auto" w:fill="auto"/>
            <w:noWrap/>
            <w:vAlign w:val="bottom"/>
            <w:hideMark/>
          </w:tcPr>
          <w:p w14:paraId="49B711F4"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Non-SPAC-IPOs</w:t>
            </w:r>
          </w:p>
        </w:tc>
        <w:tc>
          <w:tcPr>
            <w:tcW w:w="1077" w:type="dxa"/>
            <w:gridSpan w:val="2"/>
            <w:tcBorders>
              <w:top w:val="nil"/>
              <w:left w:val="nil"/>
              <w:bottom w:val="single" w:sz="8" w:space="0" w:color="auto"/>
              <w:right w:val="nil"/>
            </w:tcBorders>
            <w:shd w:val="clear" w:color="auto" w:fill="auto"/>
            <w:noWrap/>
            <w:vAlign w:val="bottom"/>
            <w:hideMark/>
          </w:tcPr>
          <w:p w14:paraId="0F388726"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Difference</w:t>
            </w:r>
          </w:p>
        </w:tc>
      </w:tr>
      <w:tr w:rsidR="00D652C8" w:rsidRPr="008775BE" w14:paraId="2F0E3419" w14:textId="77777777" w:rsidTr="000669E5">
        <w:trPr>
          <w:trHeight w:val="260"/>
        </w:trPr>
        <w:tc>
          <w:tcPr>
            <w:tcW w:w="0" w:type="auto"/>
            <w:tcBorders>
              <w:top w:val="nil"/>
              <w:left w:val="nil"/>
              <w:bottom w:val="nil"/>
              <w:right w:val="nil"/>
            </w:tcBorders>
            <w:shd w:val="clear" w:color="auto" w:fill="auto"/>
            <w:noWrap/>
            <w:vAlign w:val="bottom"/>
            <w:hideMark/>
          </w:tcPr>
          <w:p w14:paraId="14E81F49"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MATERIALWEAKNESS</w:t>
            </w:r>
          </w:p>
        </w:tc>
        <w:tc>
          <w:tcPr>
            <w:tcW w:w="907" w:type="dxa"/>
            <w:tcBorders>
              <w:top w:val="nil"/>
              <w:left w:val="nil"/>
              <w:bottom w:val="nil"/>
              <w:right w:val="nil"/>
            </w:tcBorders>
            <w:shd w:val="clear" w:color="auto" w:fill="auto"/>
            <w:noWrap/>
            <w:vAlign w:val="bottom"/>
            <w:hideMark/>
          </w:tcPr>
          <w:p w14:paraId="2804FCCD"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262" w:type="dxa"/>
            <w:gridSpan w:val="3"/>
            <w:tcBorders>
              <w:top w:val="nil"/>
              <w:left w:val="nil"/>
              <w:bottom w:val="nil"/>
              <w:right w:val="nil"/>
            </w:tcBorders>
            <w:shd w:val="clear" w:color="auto" w:fill="auto"/>
            <w:noWrap/>
            <w:vAlign w:val="bottom"/>
            <w:hideMark/>
          </w:tcPr>
          <w:p w14:paraId="626310AC"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7" w:type="dxa"/>
            <w:tcBorders>
              <w:top w:val="nil"/>
              <w:left w:val="nil"/>
              <w:bottom w:val="nil"/>
              <w:right w:val="nil"/>
            </w:tcBorders>
            <w:shd w:val="clear" w:color="auto" w:fill="auto"/>
            <w:noWrap/>
            <w:vAlign w:val="bottom"/>
            <w:hideMark/>
          </w:tcPr>
          <w:p w14:paraId="0D838C46"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628" w:type="dxa"/>
            <w:gridSpan w:val="3"/>
            <w:tcBorders>
              <w:top w:val="nil"/>
              <w:left w:val="nil"/>
              <w:bottom w:val="nil"/>
              <w:right w:val="nil"/>
            </w:tcBorders>
            <w:shd w:val="clear" w:color="auto" w:fill="auto"/>
            <w:noWrap/>
            <w:vAlign w:val="bottom"/>
            <w:hideMark/>
          </w:tcPr>
          <w:p w14:paraId="0AA92197"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0.46</w:t>
            </w:r>
          </w:p>
        </w:tc>
        <w:tc>
          <w:tcPr>
            <w:tcW w:w="1590" w:type="dxa"/>
            <w:gridSpan w:val="5"/>
            <w:tcBorders>
              <w:top w:val="nil"/>
              <w:left w:val="nil"/>
              <w:bottom w:val="nil"/>
              <w:right w:val="nil"/>
            </w:tcBorders>
            <w:shd w:val="clear" w:color="auto" w:fill="auto"/>
            <w:noWrap/>
            <w:vAlign w:val="bottom"/>
            <w:hideMark/>
          </w:tcPr>
          <w:p w14:paraId="157A4E43"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0.23</w:t>
            </w:r>
          </w:p>
        </w:tc>
        <w:tc>
          <w:tcPr>
            <w:tcW w:w="1077" w:type="dxa"/>
            <w:gridSpan w:val="2"/>
            <w:tcBorders>
              <w:top w:val="nil"/>
              <w:left w:val="nil"/>
              <w:bottom w:val="nil"/>
              <w:right w:val="nil"/>
            </w:tcBorders>
            <w:shd w:val="clear" w:color="auto" w:fill="auto"/>
            <w:noWrap/>
            <w:vAlign w:val="bottom"/>
            <w:hideMark/>
          </w:tcPr>
          <w:p w14:paraId="101920D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0.23***</w:t>
            </w:r>
          </w:p>
        </w:tc>
      </w:tr>
      <w:tr w:rsidR="00D652C8" w:rsidRPr="008775BE" w14:paraId="7B877E56" w14:textId="77777777" w:rsidTr="000669E5">
        <w:trPr>
          <w:trHeight w:val="260"/>
        </w:trPr>
        <w:tc>
          <w:tcPr>
            <w:tcW w:w="0" w:type="auto"/>
            <w:tcBorders>
              <w:top w:val="nil"/>
              <w:left w:val="nil"/>
              <w:bottom w:val="nil"/>
              <w:right w:val="nil"/>
            </w:tcBorders>
            <w:shd w:val="clear" w:color="auto" w:fill="auto"/>
            <w:noWrap/>
            <w:vAlign w:val="bottom"/>
            <w:hideMark/>
          </w:tcPr>
          <w:p w14:paraId="4EF161F2"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RESTATE</w:t>
            </w:r>
          </w:p>
        </w:tc>
        <w:tc>
          <w:tcPr>
            <w:tcW w:w="907" w:type="dxa"/>
            <w:tcBorders>
              <w:top w:val="nil"/>
              <w:left w:val="nil"/>
              <w:bottom w:val="nil"/>
              <w:right w:val="nil"/>
            </w:tcBorders>
            <w:shd w:val="clear" w:color="auto" w:fill="auto"/>
            <w:noWrap/>
            <w:vAlign w:val="bottom"/>
            <w:hideMark/>
          </w:tcPr>
          <w:p w14:paraId="1D4769F7"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p>
        </w:tc>
        <w:tc>
          <w:tcPr>
            <w:tcW w:w="1262" w:type="dxa"/>
            <w:gridSpan w:val="3"/>
            <w:tcBorders>
              <w:top w:val="nil"/>
              <w:left w:val="nil"/>
              <w:bottom w:val="nil"/>
              <w:right w:val="nil"/>
            </w:tcBorders>
            <w:shd w:val="clear" w:color="auto" w:fill="auto"/>
            <w:noWrap/>
            <w:vAlign w:val="bottom"/>
            <w:hideMark/>
          </w:tcPr>
          <w:p w14:paraId="57B8F588"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27" w:type="dxa"/>
            <w:tcBorders>
              <w:top w:val="nil"/>
              <w:left w:val="nil"/>
              <w:bottom w:val="nil"/>
              <w:right w:val="nil"/>
            </w:tcBorders>
            <w:shd w:val="clear" w:color="auto" w:fill="auto"/>
            <w:noWrap/>
            <w:vAlign w:val="bottom"/>
            <w:hideMark/>
          </w:tcPr>
          <w:p w14:paraId="6DB04336"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1628" w:type="dxa"/>
            <w:gridSpan w:val="3"/>
            <w:tcBorders>
              <w:top w:val="nil"/>
              <w:left w:val="nil"/>
              <w:bottom w:val="nil"/>
              <w:right w:val="nil"/>
            </w:tcBorders>
            <w:shd w:val="clear" w:color="auto" w:fill="auto"/>
            <w:noWrap/>
            <w:vAlign w:val="bottom"/>
            <w:hideMark/>
          </w:tcPr>
          <w:p w14:paraId="1E0F6289"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0.31</w:t>
            </w:r>
          </w:p>
        </w:tc>
        <w:tc>
          <w:tcPr>
            <w:tcW w:w="1590" w:type="dxa"/>
            <w:gridSpan w:val="5"/>
            <w:tcBorders>
              <w:top w:val="nil"/>
              <w:left w:val="nil"/>
              <w:bottom w:val="nil"/>
              <w:right w:val="nil"/>
            </w:tcBorders>
            <w:shd w:val="clear" w:color="auto" w:fill="auto"/>
            <w:noWrap/>
            <w:vAlign w:val="bottom"/>
            <w:hideMark/>
          </w:tcPr>
          <w:p w14:paraId="4F43D53F"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0.07</w:t>
            </w:r>
          </w:p>
        </w:tc>
        <w:tc>
          <w:tcPr>
            <w:tcW w:w="1077" w:type="dxa"/>
            <w:gridSpan w:val="2"/>
            <w:tcBorders>
              <w:top w:val="nil"/>
              <w:left w:val="nil"/>
              <w:bottom w:val="nil"/>
              <w:right w:val="nil"/>
            </w:tcBorders>
            <w:shd w:val="clear" w:color="auto" w:fill="auto"/>
            <w:noWrap/>
            <w:vAlign w:val="bottom"/>
            <w:hideMark/>
          </w:tcPr>
          <w:p w14:paraId="7858A38E"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0.24***</w:t>
            </w:r>
          </w:p>
        </w:tc>
      </w:tr>
      <w:tr w:rsidR="00D652C8" w:rsidRPr="008775BE" w14:paraId="16920345" w14:textId="77777777" w:rsidTr="000669E5">
        <w:trPr>
          <w:trHeight w:val="260"/>
        </w:trPr>
        <w:tc>
          <w:tcPr>
            <w:tcW w:w="4135" w:type="dxa"/>
            <w:gridSpan w:val="5"/>
            <w:tcBorders>
              <w:top w:val="nil"/>
              <w:left w:val="nil"/>
              <w:bottom w:val="nil"/>
              <w:right w:val="nil"/>
            </w:tcBorders>
            <w:shd w:val="clear" w:color="auto" w:fill="auto"/>
            <w:noWrap/>
            <w:vAlign w:val="bottom"/>
            <w:hideMark/>
          </w:tcPr>
          <w:p w14:paraId="18069DE9"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i/>
                <w:iCs/>
                <w:color w:val="000000"/>
                <w:sz w:val="18"/>
                <w:szCs w:val="18"/>
              </w:rPr>
              <w:t>RESTATE</w:t>
            </w:r>
            <w:r w:rsidRPr="008775BE">
              <w:rPr>
                <w:rFonts w:ascii="Times New Roman" w:eastAsia="Times New Roman" w:hAnsi="Times New Roman" w:cs="Times New Roman"/>
                <w:color w:val="000000"/>
                <w:sz w:val="18"/>
                <w:szCs w:val="18"/>
              </w:rPr>
              <w:t xml:space="preserve"> (Excluding warrant-related)</w:t>
            </w:r>
          </w:p>
        </w:tc>
        <w:tc>
          <w:tcPr>
            <w:tcW w:w="927" w:type="dxa"/>
            <w:tcBorders>
              <w:top w:val="nil"/>
              <w:left w:val="nil"/>
              <w:bottom w:val="nil"/>
              <w:right w:val="nil"/>
            </w:tcBorders>
            <w:shd w:val="clear" w:color="auto" w:fill="auto"/>
            <w:noWrap/>
            <w:vAlign w:val="bottom"/>
            <w:hideMark/>
          </w:tcPr>
          <w:p w14:paraId="50E4A014"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c>
          <w:tcPr>
            <w:tcW w:w="1628" w:type="dxa"/>
            <w:gridSpan w:val="3"/>
            <w:tcBorders>
              <w:top w:val="nil"/>
              <w:left w:val="nil"/>
              <w:bottom w:val="nil"/>
              <w:right w:val="nil"/>
            </w:tcBorders>
            <w:shd w:val="clear" w:color="auto" w:fill="auto"/>
            <w:noWrap/>
            <w:vAlign w:val="bottom"/>
            <w:hideMark/>
          </w:tcPr>
          <w:p w14:paraId="6DDDEE16"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0.22</w:t>
            </w:r>
          </w:p>
        </w:tc>
        <w:tc>
          <w:tcPr>
            <w:tcW w:w="1590" w:type="dxa"/>
            <w:gridSpan w:val="5"/>
            <w:tcBorders>
              <w:top w:val="nil"/>
              <w:left w:val="nil"/>
              <w:bottom w:val="nil"/>
              <w:right w:val="nil"/>
            </w:tcBorders>
            <w:shd w:val="clear" w:color="auto" w:fill="auto"/>
            <w:noWrap/>
            <w:vAlign w:val="bottom"/>
            <w:hideMark/>
          </w:tcPr>
          <w:p w14:paraId="7603C57D"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0.07</w:t>
            </w:r>
          </w:p>
        </w:tc>
        <w:tc>
          <w:tcPr>
            <w:tcW w:w="1077" w:type="dxa"/>
            <w:gridSpan w:val="2"/>
            <w:tcBorders>
              <w:top w:val="nil"/>
              <w:left w:val="nil"/>
              <w:bottom w:val="nil"/>
              <w:right w:val="nil"/>
            </w:tcBorders>
            <w:shd w:val="clear" w:color="auto" w:fill="auto"/>
            <w:noWrap/>
            <w:vAlign w:val="bottom"/>
            <w:hideMark/>
          </w:tcPr>
          <w:p w14:paraId="09BC443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0.15***</w:t>
            </w:r>
          </w:p>
        </w:tc>
      </w:tr>
      <w:tr w:rsidR="00D652C8" w:rsidRPr="008775BE" w14:paraId="10EC12B0" w14:textId="77777777" w:rsidTr="000669E5">
        <w:trPr>
          <w:trHeight w:val="260"/>
        </w:trPr>
        <w:tc>
          <w:tcPr>
            <w:tcW w:w="0" w:type="auto"/>
            <w:tcBorders>
              <w:top w:val="nil"/>
              <w:left w:val="nil"/>
              <w:bottom w:val="nil"/>
              <w:right w:val="nil"/>
            </w:tcBorders>
            <w:shd w:val="clear" w:color="auto" w:fill="auto"/>
            <w:noWrap/>
            <w:vAlign w:val="bottom"/>
            <w:hideMark/>
          </w:tcPr>
          <w:p w14:paraId="7A942942"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NONTIMELY</w:t>
            </w:r>
          </w:p>
        </w:tc>
        <w:tc>
          <w:tcPr>
            <w:tcW w:w="907" w:type="dxa"/>
            <w:tcBorders>
              <w:top w:val="nil"/>
              <w:left w:val="nil"/>
              <w:bottom w:val="nil"/>
              <w:right w:val="nil"/>
            </w:tcBorders>
            <w:shd w:val="clear" w:color="auto" w:fill="auto"/>
            <w:noWrap/>
            <w:vAlign w:val="bottom"/>
            <w:hideMark/>
          </w:tcPr>
          <w:p w14:paraId="20FFB5D9"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p>
        </w:tc>
        <w:tc>
          <w:tcPr>
            <w:tcW w:w="1262" w:type="dxa"/>
            <w:gridSpan w:val="3"/>
            <w:tcBorders>
              <w:top w:val="nil"/>
              <w:left w:val="nil"/>
              <w:bottom w:val="nil"/>
              <w:right w:val="nil"/>
            </w:tcBorders>
            <w:shd w:val="clear" w:color="auto" w:fill="auto"/>
            <w:noWrap/>
            <w:vAlign w:val="bottom"/>
            <w:hideMark/>
          </w:tcPr>
          <w:p w14:paraId="0CF01CD4"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27" w:type="dxa"/>
            <w:tcBorders>
              <w:top w:val="nil"/>
              <w:left w:val="nil"/>
              <w:bottom w:val="nil"/>
              <w:right w:val="nil"/>
            </w:tcBorders>
            <w:shd w:val="clear" w:color="auto" w:fill="auto"/>
            <w:noWrap/>
            <w:vAlign w:val="bottom"/>
            <w:hideMark/>
          </w:tcPr>
          <w:p w14:paraId="728EA011" w14:textId="77777777" w:rsidR="00D652C8" w:rsidRPr="008775BE" w:rsidRDefault="00D652C8" w:rsidP="000669E5">
            <w:pPr>
              <w:spacing w:after="0" w:line="240" w:lineRule="auto"/>
              <w:jc w:val="center"/>
              <w:rPr>
                <w:rFonts w:ascii="Times New Roman" w:eastAsia="Times New Roman" w:hAnsi="Times New Roman" w:cs="Times New Roman"/>
                <w:sz w:val="18"/>
                <w:szCs w:val="18"/>
              </w:rPr>
            </w:pPr>
          </w:p>
        </w:tc>
        <w:tc>
          <w:tcPr>
            <w:tcW w:w="1628" w:type="dxa"/>
            <w:gridSpan w:val="3"/>
            <w:tcBorders>
              <w:top w:val="nil"/>
              <w:left w:val="nil"/>
              <w:bottom w:val="nil"/>
              <w:right w:val="nil"/>
            </w:tcBorders>
            <w:shd w:val="clear" w:color="auto" w:fill="auto"/>
            <w:noWrap/>
            <w:vAlign w:val="bottom"/>
            <w:hideMark/>
          </w:tcPr>
          <w:p w14:paraId="649FAF13"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0.19</w:t>
            </w:r>
          </w:p>
        </w:tc>
        <w:tc>
          <w:tcPr>
            <w:tcW w:w="1590" w:type="dxa"/>
            <w:gridSpan w:val="5"/>
            <w:tcBorders>
              <w:top w:val="nil"/>
              <w:left w:val="nil"/>
              <w:bottom w:val="nil"/>
              <w:right w:val="nil"/>
            </w:tcBorders>
            <w:shd w:val="clear" w:color="auto" w:fill="auto"/>
            <w:noWrap/>
            <w:vAlign w:val="bottom"/>
            <w:hideMark/>
          </w:tcPr>
          <w:p w14:paraId="5D0C5254"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0.00</w:t>
            </w:r>
          </w:p>
        </w:tc>
        <w:tc>
          <w:tcPr>
            <w:tcW w:w="1077" w:type="dxa"/>
            <w:gridSpan w:val="2"/>
            <w:tcBorders>
              <w:top w:val="nil"/>
              <w:left w:val="nil"/>
              <w:bottom w:val="nil"/>
              <w:right w:val="nil"/>
            </w:tcBorders>
            <w:shd w:val="clear" w:color="auto" w:fill="auto"/>
            <w:noWrap/>
            <w:vAlign w:val="bottom"/>
            <w:hideMark/>
          </w:tcPr>
          <w:p w14:paraId="3CBF45F8"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0.19***</w:t>
            </w:r>
          </w:p>
        </w:tc>
      </w:tr>
      <w:tr w:rsidR="00D652C8" w:rsidRPr="008775BE" w14:paraId="143A4FAF" w14:textId="77777777" w:rsidTr="000669E5">
        <w:trPr>
          <w:trHeight w:hRule="exact" w:val="144"/>
        </w:trPr>
        <w:tc>
          <w:tcPr>
            <w:tcW w:w="0" w:type="auto"/>
            <w:tcBorders>
              <w:top w:val="nil"/>
              <w:left w:val="nil"/>
              <w:bottom w:val="single" w:sz="8" w:space="0" w:color="auto"/>
              <w:right w:val="nil"/>
            </w:tcBorders>
            <w:shd w:val="clear" w:color="auto" w:fill="auto"/>
            <w:noWrap/>
            <w:vAlign w:val="bottom"/>
            <w:hideMark/>
          </w:tcPr>
          <w:p w14:paraId="4B95AA60" w14:textId="77777777" w:rsidR="00D652C8" w:rsidRPr="008775BE" w:rsidRDefault="00D652C8" w:rsidP="000669E5">
            <w:pPr>
              <w:spacing w:after="0" w:line="240" w:lineRule="auto"/>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 </w:t>
            </w:r>
          </w:p>
        </w:tc>
        <w:tc>
          <w:tcPr>
            <w:tcW w:w="907" w:type="dxa"/>
            <w:tcBorders>
              <w:top w:val="nil"/>
              <w:left w:val="nil"/>
              <w:bottom w:val="single" w:sz="8" w:space="0" w:color="auto"/>
              <w:right w:val="nil"/>
            </w:tcBorders>
            <w:shd w:val="clear" w:color="auto" w:fill="auto"/>
            <w:noWrap/>
            <w:vAlign w:val="bottom"/>
            <w:hideMark/>
          </w:tcPr>
          <w:p w14:paraId="47B606CE"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262" w:type="dxa"/>
            <w:gridSpan w:val="3"/>
            <w:tcBorders>
              <w:top w:val="nil"/>
              <w:left w:val="nil"/>
              <w:bottom w:val="single" w:sz="8" w:space="0" w:color="auto"/>
              <w:right w:val="nil"/>
            </w:tcBorders>
            <w:shd w:val="clear" w:color="auto" w:fill="auto"/>
            <w:noWrap/>
            <w:vAlign w:val="bottom"/>
            <w:hideMark/>
          </w:tcPr>
          <w:p w14:paraId="2D2FF630"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7" w:type="dxa"/>
            <w:tcBorders>
              <w:top w:val="nil"/>
              <w:left w:val="nil"/>
              <w:bottom w:val="single" w:sz="8" w:space="0" w:color="auto"/>
              <w:right w:val="nil"/>
            </w:tcBorders>
            <w:shd w:val="clear" w:color="auto" w:fill="auto"/>
            <w:noWrap/>
            <w:vAlign w:val="bottom"/>
            <w:hideMark/>
          </w:tcPr>
          <w:p w14:paraId="240451C0"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928" w:type="dxa"/>
            <w:gridSpan w:val="2"/>
            <w:tcBorders>
              <w:top w:val="nil"/>
              <w:left w:val="nil"/>
              <w:bottom w:val="single" w:sz="8" w:space="0" w:color="auto"/>
              <w:right w:val="nil"/>
            </w:tcBorders>
            <w:shd w:val="clear" w:color="auto" w:fill="auto"/>
            <w:noWrap/>
            <w:vAlign w:val="bottom"/>
            <w:hideMark/>
          </w:tcPr>
          <w:p w14:paraId="54C10312"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nil"/>
            </w:tcBorders>
            <w:shd w:val="clear" w:color="auto" w:fill="auto"/>
            <w:noWrap/>
            <w:vAlign w:val="bottom"/>
            <w:hideMark/>
          </w:tcPr>
          <w:p w14:paraId="0B9FBEF5"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311" w:type="dxa"/>
            <w:gridSpan w:val="4"/>
            <w:tcBorders>
              <w:top w:val="nil"/>
              <w:left w:val="nil"/>
              <w:bottom w:val="single" w:sz="8" w:space="0" w:color="auto"/>
              <w:right w:val="nil"/>
            </w:tcBorders>
            <w:shd w:val="clear" w:color="auto" w:fill="auto"/>
            <w:noWrap/>
            <w:vAlign w:val="bottom"/>
            <w:hideMark/>
          </w:tcPr>
          <w:p w14:paraId="0A6D6252"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279" w:type="dxa"/>
            <w:tcBorders>
              <w:top w:val="nil"/>
              <w:left w:val="nil"/>
              <w:bottom w:val="single" w:sz="8" w:space="0" w:color="auto"/>
              <w:right w:val="nil"/>
            </w:tcBorders>
            <w:shd w:val="clear" w:color="auto" w:fill="auto"/>
            <w:noWrap/>
            <w:vAlign w:val="bottom"/>
            <w:hideMark/>
          </w:tcPr>
          <w:p w14:paraId="2161A8CD"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1077" w:type="dxa"/>
            <w:gridSpan w:val="2"/>
            <w:tcBorders>
              <w:top w:val="nil"/>
              <w:left w:val="nil"/>
              <w:bottom w:val="nil"/>
              <w:right w:val="nil"/>
            </w:tcBorders>
            <w:shd w:val="clear" w:color="auto" w:fill="auto"/>
            <w:noWrap/>
            <w:vAlign w:val="bottom"/>
            <w:hideMark/>
          </w:tcPr>
          <w:p w14:paraId="3A957F1D"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r>
      <w:tr w:rsidR="00D652C8" w:rsidRPr="008775BE" w14:paraId="1E620590" w14:textId="77777777" w:rsidTr="000669E5">
        <w:trPr>
          <w:trHeight w:val="270"/>
        </w:trPr>
        <w:tc>
          <w:tcPr>
            <w:tcW w:w="9357" w:type="dxa"/>
            <w:gridSpan w:val="16"/>
            <w:tcBorders>
              <w:top w:val="single" w:sz="8" w:space="0" w:color="auto"/>
              <w:left w:val="nil"/>
              <w:bottom w:val="single" w:sz="8" w:space="0" w:color="auto"/>
              <w:right w:val="nil"/>
            </w:tcBorders>
            <w:shd w:val="clear" w:color="auto" w:fill="auto"/>
            <w:noWrap/>
            <w:vAlign w:val="bottom"/>
            <w:hideMark/>
          </w:tcPr>
          <w:p w14:paraId="1C0F9F61"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Panel B: Logistic regression results estimating the likelihood of material weaknesses and restatements</w:t>
            </w:r>
          </w:p>
        </w:tc>
      </w:tr>
      <w:tr w:rsidR="00D652C8" w:rsidRPr="008775BE" w14:paraId="5B9A52E2" w14:textId="77777777" w:rsidTr="000669E5">
        <w:trPr>
          <w:trHeight w:val="270"/>
        </w:trPr>
        <w:tc>
          <w:tcPr>
            <w:tcW w:w="0" w:type="auto"/>
            <w:tcBorders>
              <w:top w:val="nil"/>
              <w:left w:val="nil"/>
              <w:bottom w:val="nil"/>
              <w:right w:val="nil"/>
            </w:tcBorders>
            <w:shd w:val="clear" w:color="auto" w:fill="auto"/>
            <w:noWrap/>
            <w:vAlign w:val="bottom"/>
            <w:hideMark/>
          </w:tcPr>
          <w:p w14:paraId="317C1711"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w:t>
            </w:r>
          </w:p>
        </w:tc>
        <w:tc>
          <w:tcPr>
            <w:tcW w:w="4024" w:type="dxa"/>
            <w:gridSpan w:val="7"/>
            <w:tcBorders>
              <w:left w:val="nil"/>
              <w:right w:val="nil"/>
            </w:tcBorders>
            <w:shd w:val="clear" w:color="auto" w:fill="auto"/>
            <w:noWrap/>
            <w:vAlign w:val="bottom"/>
            <w:hideMark/>
          </w:tcPr>
          <w:p w14:paraId="008DB209"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u w:val="single"/>
              </w:rPr>
            </w:pPr>
            <w:r w:rsidRPr="008775BE">
              <w:rPr>
                <w:rFonts w:ascii="Times New Roman" w:eastAsia="Times New Roman" w:hAnsi="Times New Roman" w:cs="Times New Roman"/>
                <w:i/>
                <w:iCs/>
                <w:color w:val="000000"/>
                <w:sz w:val="18"/>
                <w:szCs w:val="18"/>
                <w:u w:val="single"/>
              </w:rPr>
              <w:t>MATERIALWEAKNESS</w:t>
            </w:r>
          </w:p>
        </w:tc>
        <w:tc>
          <w:tcPr>
            <w:tcW w:w="3367" w:type="dxa"/>
            <w:gridSpan w:val="8"/>
            <w:tcBorders>
              <w:left w:val="nil"/>
              <w:right w:val="nil"/>
            </w:tcBorders>
            <w:shd w:val="clear" w:color="auto" w:fill="auto"/>
            <w:noWrap/>
            <w:vAlign w:val="bottom"/>
            <w:hideMark/>
          </w:tcPr>
          <w:p w14:paraId="56F3A1FD"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u w:val="single"/>
              </w:rPr>
            </w:pPr>
            <w:r w:rsidRPr="008775BE">
              <w:rPr>
                <w:rFonts w:ascii="Times New Roman" w:eastAsia="Times New Roman" w:hAnsi="Times New Roman" w:cs="Times New Roman"/>
                <w:i/>
                <w:iCs/>
                <w:color w:val="000000"/>
                <w:sz w:val="18"/>
                <w:szCs w:val="18"/>
                <w:u w:val="single"/>
              </w:rPr>
              <w:t>RESTATE</w:t>
            </w:r>
          </w:p>
        </w:tc>
      </w:tr>
      <w:tr w:rsidR="00D652C8" w:rsidRPr="008775BE" w14:paraId="234166F4" w14:textId="77777777" w:rsidTr="000669E5">
        <w:trPr>
          <w:trHeight w:val="270"/>
        </w:trPr>
        <w:tc>
          <w:tcPr>
            <w:tcW w:w="0" w:type="auto"/>
            <w:tcBorders>
              <w:left w:val="nil"/>
              <w:bottom w:val="nil"/>
              <w:right w:val="nil"/>
            </w:tcBorders>
            <w:shd w:val="clear" w:color="auto" w:fill="auto"/>
            <w:noWrap/>
            <w:vAlign w:val="bottom"/>
            <w:hideMark/>
          </w:tcPr>
          <w:p w14:paraId="4A6A8397"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p>
        </w:tc>
        <w:tc>
          <w:tcPr>
            <w:tcW w:w="2169" w:type="dxa"/>
            <w:gridSpan w:val="4"/>
            <w:tcBorders>
              <w:left w:val="nil"/>
              <w:bottom w:val="single" w:sz="8" w:space="0" w:color="auto"/>
              <w:right w:val="nil"/>
            </w:tcBorders>
            <w:shd w:val="clear" w:color="auto" w:fill="auto"/>
            <w:noWrap/>
            <w:vAlign w:val="bottom"/>
            <w:hideMark/>
          </w:tcPr>
          <w:p w14:paraId="73470960"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Proceeds Match</w:t>
            </w:r>
          </w:p>
        </w:tc>
        <w:tc>
          <w:tcPr>
            <w:tcW w:w="1855" w:type="dxa"/>
            <w:gridSpan w:val="3"/>
            <w:tcBorders>
              <w:left w:val="nil"/>
              <w:bottom w:val="single" w:sz="8" w:space="0" w:color="auto"/>
              <w:right w:val="nil"/>
            </w:tcBorders>
            <w:shd w:val="clear" w:color="auto" w:fill="auto"/>
            <w:noWrap/>
            <w:vAlign w:val="bottom"/>
            <w:hideMark/>
          </w:tcPr>
          <w:p w14:paraId="073F99B2"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Entropy Balanced</w:t>
            </w:r>
          </w:p>
        </w:tc>
        <w:tc>
          <w:tcPr>
            <w:tcW w:w="1795" w:type="dxa"/>
            <w:gridSpan w:val="4"/>
            <w:tcBorders>
              <w:left w:val="nil"/>
              <w:bottom w:val="single" w:sz="8" w:space="0" w:color="auto"/>
              <w:right w:val="nil"/>
            </w:tcBorders>
            <w:shd w:val="clear" w:color="auto" w:fill="auto"/>
            <w:noWrap/>
            <w:vAlign w:val="bottom"/>
            <w:hideMark/>
          </w:tcPr>
          <w:p w14:paraId="2DF7F1D8"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Proceeds Match</w:t>
            </w:r>
          </w:p>
        </w:tc>
        <w:tc>
          <w:tcPr>
            <w:tcW w:w="1572" w:type="dxa"/>
            <w:gridSpan w:val="4"/>
            <w:tcBorders>
              <w:left w:val="nil"/>
              <w:bottom w:val="single" w:sz="8" w:space="0" w:color="auto"/>
              <w:right w:val="nil"/>
            </w:tcBorders>
            <w:shd w:val="clear" w:color="auto" w:fill="auto"/>
            <w:noWrap/>
            <w:vAlign w:val="bottom"/>
            <w:hideMark/>
          </w:tcPr>
          <w:p w14:paraId="1C05BD71"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Entropy Balanced</w:t>
            </w:r>
          </w:p>
        </w:tc>
      </w:tr>
      <w:tr w:rsidR="00D652C8" w:rsidRPr="008775BE" w14:paraId="0E3A7E3D" w14:textId="77777777" w:rsidTr="000669E5">
        <w:trPr>
          <w:trHeight w:val="320"/>
        </w:trPr>
        <w:tc>
          <w:tcPr>
            <w:tcW w:w="0" w:type="auto"/>
            <w:tcBorders>
              <w:top w:val="nil"/>
              <w:left w:val="nil"/>
              <w:bottom w:val="single" w:sz="8" w:space="0" w:color="auto"/>
              <w:right w:val="nil"/>
            </w:tcBorders>
            <w:shd w:val="clear" w:color="auto" w:fill="auto"/>
            <w:noWrap/>
            <w:vAlign w:val="bottom"/>
            <w:hideMark/>
          </w:tcPr>
          <w:p w14:paraId="1F175C62"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Variable</w:t>
            </w:r>
          </w:p>
        </w:tc>
        <w:tc>
          <w:tcPr>
            <w:tcW w:w="1124" w:type="dxa"/>
            <w:gridSpan w:val="2"/>
            <w:tcBorders>
              <w:top w:val="nil"/>
              <w:left w:val="nil"/>
              <w:bottom w:val="single" w:sz="8" w:space="0" w:color="auto"/>
              <w:right w:val="nil"/>
            </w:tcBorders>
            <w:shd w:val="clear" w:color="auto" w:fill="auto"/>
            <w:noWrap/>
            <w:vAlign w:val="bottom"/>
            <w:hideMark/>
          </w:tcPr>
          <w:p w14:paraId="5E3FE8DA"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Estimate</w:t>
            </w:r>
          </w:p>
        </w:tc>
        <w:tc>
          <w:tcPr>
            <w:tcW w:w="828" w:type="dxa"/>
            <w:tcBorders>
              <w:top w:val="nil"/>
              <w:left w:val="nil"/>
              <w:bottom w:val="single" w:sz="8" w:space="0" w:color="auto"/>
              <w:right w:val="nil"/>
            </w:tcBorders>
            <w:shd w:val="clear" w:color="auto" w:fill="auto"/>
            <w:noWrap/>
            <w:vAlign w:val="bottom"/>
            <w:hideMark/>
          </w:tcPr>
          <w:p w14:paraId="54D4D773"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χ2</w:t>
            </w:r>
          </w:p>
        </w:tc>
        <w:tc>
          <w:tcPr>
            <w:tcW w:w="1144" w:type="dxa"/>
            <w:gridSpan w:val="2"/>
            <w:tcBorders>
              <w:top w:val="nil"/>
              <w:left w:val="nil"/>
              <w:bottom w:val="single" w:sz="8" w:space="0" w:color="auto"/>
              <w:right w:val="nil"/>
            </w:tcBorders>
            <w:shd w:val="clear" w:color="auto" w:fill="auto"/>
            <w:noWrap/>
            <w:vAlign w:val="bottom"/>
            <w:hideMark/>
          </w:tcPr>
          <w:p w14:paraId="045A31F8"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Estimate</w:t>
            </w:r>
          </w:p>
        </w:tc>
        <w:tc>
          <w:tcPr>
            <w:tcW w:w="700" w:type="dxa"/>
            <w:tcBorders>
              <w:top w:val="nil"/>
              <w:left w:val="nil"/>
              <w:bottom w:val="single" w:sz="8" w:space="0" w:color="auto"/>
              <w:right w:val="nil"/>
            </w:tcBorders>
            <w:shd w:val="clear" w:color="auto" w:fill="auto"/>
            <w:noWrap/>
            <w:vAlign w:val="bottom"/>
            <w:hideMark/>
          </w:tcPr>
          <w:p w14:paraId="133BACBF"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χ2</w:t>
            </w:r>
          </w:p>
        </w:tc>
        <w:tc>
          <w:tcPr>
            <w:tcW w:w="1144" w:type="dxa"/>
            <w:gridSpan w:val="3"/>
            <w:tcBorders>
              <w:top w:val="nil"/>
              <w:left w:val="nil"/>
              <w:bottom w:val="single" w:sz="8" w:space="0" w:color="auto"/>
              <w:right w:val="nil"/>
            </w:tcBorders>
            <w:shd w:val="clear" w:color="auto" w:fill="auto"/>
            <w:noWrap/>
            <w:vAlign w:val="bottom"/>
            <w:hideMark/>
          </w:tcPr>
          <w:p w14:paraId="735ED0F5"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Estimate</w:t>
            </w:r>
          </w:p>
        </w:tc>
        <w:tc>
          <w:tcPr>
            <w:tcW w:w="663" w:type="dxa"/>
            <w:tcBorders>
              <w:top w:val="nil"/>
              <w:left w:val="nil"/>
              <w:bottom w:val="single" w:sz="8" w:space="0" w:color="auto"/>
              <w:right w:val="nil"/>
            </w:tcBorders>
            <w:shd w:val="clear" w:color="auto" w:fill="auto"/>
            <w:noWrap/>
            <w:vAlign w:val="bottom"/>
            <w:hideMark/>
          </w:tcPr>
          <w:p w14:paraId="17834257"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χ2</w:t>
            </w:r>
          </w:p>
        </w:tc>
        <w:tc>
          <w:tcPr>
            <w:tcW w:w="965" w:type="dxa"/>
            <w:gridSpan w:val="4"/>
            <w:tcBorders>
              <w:top w:val="nil"/>
              <w:left w:val="nil"/>
              <w:bottom w:val="single" w:sz="8" w:space="0" w:color="auto"/>
              <w:right w:val="nil"/>
            </w:tcBorders>
            <w:shd w:val="clear" w:color="auto" w:fill="auto"/>
            <w:noWrap/>
            <w:vAlign w:val="bottom"/>
            <w:hideMark/>
          </w:tcPr>
          <w:p w14:paraId="2194B67C"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Estimate</w:t>
            </w:r>
          </w:p>
        </w:tc>
        <w:tc>
          <w:tcPr>
            <w:tcW w:w="823" w:type="dxa"/>
            <w:tcBorders>
              <w:top w:val="nil"/>
              <w:left w:val="nil"/>
              <w:bottom w:val="single" w:sz="8" w:space="0" w:color="auto"/>
              <w:right w:val="nil"/>
            </w:tcBorders>
            <w:shd w:val="clear" w:color="auto" w:fill="auto"/>
            <w:noWrap/>
            <w:vAlign w:val="bottom"/>
            <w:hideMark/>
          </w:tcPr>
          <w:p w14:paraId="61297355"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χ2</w:t>
            </w:r>
          </w:p>
        </w:tc>
      </w:tr>
      <w:tr w:rsidR="00D652C8" w:rsidRPr="008775BE" w14:paraId="752C5EC8" w14:textId="77777777" w:rsidTr="000669E5">
        <w:trPr>
          <w:trHeight w:val="260"/>
        </w:trPr>
        <w:tc>
          <w:tcPr>
            <w:tcW w:w="0" w:type="auto"/>
            <w:tcBorders>
              <w:top w:val="nil"/>
              <w:left w:val="nil"/>
              <w:bottom w:val="nil"/>
              <w:right w:val="nil"/>
            </w:tcBorders>
            <w:shd w:val="clear" w:color="auto" w:fill="auto"/>
            <w:noWrap/>
            <w:vAlign w:val="bottom"/>
            <w:hideMark/>
          </w:tcPr>
          <w:p w14:paraId="7509B56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Intercept</w:t>
            </w:r>
          </w:p>
        </w:tc>
        <w:tc>
          <w:tcPr>
            <w:tcW w:w="1124" w:type="dxa"/>
            <w:gridSpan w:val="2"/>
            <w:tcBorders>
              <w:top w:val="nil"/>
              <w:left w:val="nil"/>
              <w:bottom w:val="nil"/>
              <w:right w:val="nil"/>
            </w:tcBorders>
            <w:shd w:val="clear" w:color="auto" w:fill="auto"/>
            <w:noWrap/>
            <w:vAlign w:val="bottom"/>
            <w:hideMark/>
          </w:tcPr>
          <w:p w14:paraId="10807EE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-2.537*    </w:t>
            </w:r>
          </w:p>
        </w:tc>
        <w:tc>
          <w:tcPr>
            <w:tcW w:w="828" w:type="dxa"/>
            <w:tcBorders>
              <w:top w:val="nil"/>
              <w:left w:val="nil"/>
              <w:bottom w:val="nil"/>
              <w:right w:val="nil"/>
            </w:tcBorders>
            <w:shd w:val="clear" w:color="auto" w:fill="auto"/>
            <w:noWrap/>
            <w:vAlign w:val="bottom"/>
            <w:hideMark/>
          </w:tcPr>
          <w:p w14:paraId="2C90C845"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3.09   </w:t>
            </w:r>
          </w:p>
        </w:tc>
        <w:tc>
          <w:tcPr>
            <w:tcW w:w="1144" w:type="dxa"/>
            <w:gridSpan w:val="2"/>
            <w:tcBorders>
              <w:top w:val="nil"/>
              <w:left w:val="nil"/>
              <w:bottom w:val="nil"/>
              <w:right w:val="nil"/>
            </w:tcBorders>
            <w:shd w:val="clear" w:color="auto" w:fill="auto"/>
            <w:noWrap/>
            <w:vAlign w:val="bottom"/>
            <w:hideMark/>
          </w:tcPr>
          <w:p w14:paraId="495FD7E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-2.296      </w:t>
            </w:r>
          </w:p>
        </w:tc>
        <w:tc>
          <w:tcPr>
            <w:tcW w:w="700" w:type="dxa"/>
            <w:tcBorders>
              <w:top w:val="nil"/>
              <w:left w:val="nil"/>
              <w:bottom w:val="nil"/>
              <w:right w:val="nil"/>
            </w:tcBorders>
            <w:shd w:val="clear" w:color="auto" w:fill="auto"/>
            <w:noWrap/>
            <w:vAlign w:val="bottom"/>
            <w:hideMark/>
          </w:tcPr>
          <w:p w14:paraId="7CEBAFA2"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2.28   </w:t>
            </w:r>
          </w:p>
        </w:tc>
        <w:tc>
          <w:tcPr>
            <w:tcW w:w="1144" w:type="dxa"/>
            <w:gridSpan w:val="3"/>
            <w:tcBorders>
              <w:top w:val="nil"/>
              <w:left w:val="nil"/>
              <w:bottom w:val="nil"/>
              <w:right w:val="nil"/>
            </w:tcBorders>
            <w:shd w:val="clear" w:color="auto" w:fill="auto"/>
            <w:noWrap/>
            <w:vAlign w:val="bottom"/>
            <w:hideMark/>
          </w:tcPr>
          <w:p w14:paraId="78BDC27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0.466</w:t>
            </w:r>
          </w:p>
        </w:tc>
        <w:tc>
          <w:tcPr>
            <w:tcW w:w="663" w:type="dxa"/>
            <w:tcBorders>
              <w:top w:val="nil"/>
              <w:left w:val="nil"/>
              <w:bottom w:val="nil"/>
              <w:right w:val="nil"/>
            </w:tcBorders>
            <w:shd w:val="clear" w:color="auto" w:fill="auto"/>
            <w:noWrap/>
            <w:vAlign w:val="bottom"/>
            <w:hideMark/>
          </w:tcPr>
          <w:p w14:paraId="22D9A57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0.06   </w:t>
            </w:r>
          </w:p>
        </w:tc>
        <w:tc>
          <w:tcPr>
            <w:tcW w:w="965" w:type="dxa"/>
            <w:gridSpan w:val="4"/>
            <w:tcBorders>
              <w:top w:val="nil"/>
              <w:left w:val="nil"/>
              <w:bottom w:val="nil"/>
              <w:right w:val="nil"/>
            </w:tcBorders>
            <w:shd w:val="clear" w:color="auto" w:fill="auto"/>
            <w:noWrap/>
            <w:vAlign w:val="bottom"/>
            <w:hideMark/>
          </w:tcPr>
          <w:p w14:paraId="12AECC6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-0.379      </w:t>
            </w:r>
          </w:p>
        </w:tc>
        <w:tc>
          <w:tcPr>
            <w:tcW w:w="823" w:type="dxa"/>
            <w:tcBorders>
              <w:top w:val="nil"/>
              <w:left w:val="nil"/>
              <w:bottom w:val="nil"/>
              <w:right w:val="nil"/>
            </w:tcBorders>
            <w:shd w:val="clear" w:color="auto" w:fill="auto"/>
            <w:noWrap/>
            <w:vAlign w:val="bottom"/>
            <w:hideMark/>
          </w:tcPr>
          <w:p w14:paraId="56E39DD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0.01     </w:t>
            </w:r>
          </w:p>
        </w:tc>
      </w:tr>
      <w:tr w:rsidR="00D652C8" w:rsidRPr="008775BE" w14:paraId="01068E93" w14:textId="77777777" w:rsidTr="000669E5">
        <w:trPr>
          <w:trHeight w:val="260"/>
        </w:trPr>
        <w:tc>
          <w:tcPr>
            <w:tcW w:w="0" w:type="auto"/>
            <w:tcBorders>
              <w:top w:val="nil"/>
              <w:left w:val="nil"/>
              <w:bottom w:val="nil"/>
              <w:right w:val="nil"/>
            </w:tcBorders>
            <w:shd w:val="clear" w:color="auto" w:fill="auto"/>
            <w:noWrap/>
            <w:vAlign w:val="bottom"/>
            <w:hideMark/>
          </w:tcPr>
          <w:p w14:paraId="423D18A4"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SPAC-IPO</w:t>
            </w:r>
          </w:p>
        </w:tc>
        <w:tc>
          <w:tcPr>
            <w:tcW w:w="1124" w:type="dxa"/>
            <w:gridSpan w:val="2"/>
            <w:tcBorders>
              <w:top w:val="nil"/>
              <w:left w:val="nil"/>
              <w:bottom w:val="nil"/>
              <w:right w:val="nil"/>
            </w:tcBorders>
            <w:shd w:val="clear" w:color="auto" w:fill="auto"/>
            <w:noWrap/>
            <w:vAlign w:val="bottom"/>
            <w:hideMark/>
          </w:tcPr>
          <w:p w14:paraId="3CE71A54"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1.216***</w:t>
            </w:r>
          </w:p>
        </w:tc>
        <w:tc>
          <w:tcPr>
            <w:tcW w:w="828" w:type="dxa"/>
            <w:tcBorders>
              <w:top w:val="nil"/>
              <w:left w:val="nil"/>
              <w:bottom w:val="nil"/>
              <w:right w:val="nil"/>
            </w:tcBorders>
            <w:shd w:val="clear" w:color="auto" w:fill="auto"/>
            <w:noWrap/>
            <w:vAlign w:val="bottom"/>
            <w:hideMark/>
          </w:tcPr>
          <w:p w14:paraId="08E9DEB0"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9.91   </w:t>
            </w:r>
          </w:p>
        </w:tc>
        <w:tc>
          <w:tcPr>
            <w:tcW w:w="1144" w:type="dxa"/>
            <w:gridSpan w:val="2"/>
            <w:tcBorders>
              <w:top w:val="nil"/>
              <w:left w:val="nil"/>
              <w:bottom w:val="nil"/>
              <w:right w:val="nil"/>
            </w:tcBorders>
            <w:shd w:val="clear" w:color="auto" w:fill="auto"/>
            <w:noWrap/>
            <w:vAlign w:val="bottom"/>
            <w:hideMark/>
          </w:tcPr>
          <w:p w14:paraId="0F10B512"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0.827*    </w:t>
            </w:r>
          </w:p>
        </w:tc>
        <w:tc>
          <w:tcPr>
            <w:tcW w:w="700" w:type="dxa"/>
            <w:tcBorders>
              <w:top w:val="nil"/>
              <w:left w:val="nil"/>
              <w:bottom w:val="nil"/>
              <w:right w:val="nil"/>
            </w:tcBorders>
            <w:shd w:val="clear" w:color="auto" w:fill="auto"/>
            <w:noWrap/>
            <w:vAlign w:val="bottom"/>
            <w:hideMark/>
          </w:tcPr>
          <w:p w14:paraId="0EFF30A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3.69   </w:t>
            </w:r>
          </w:p>
        </w:tc>
        <w:tc>
          <w:tcPr>
            <w:tcW w:w="1144" w:type="dxa"/>
            <w:gridSpan w:val="3"/>
            <w:tcBorders>
              <w:top w:val="nil"/>
              <w:left w:val="nil"/>
              <w:bottom w:val="nil"/>
              <w:right w:val="nil"/>
            </w:tcBorders>
            <w:shd w:val="clear" w:color="auto" w:fill="auto"/>
            <w:noWrap/>
            <w:vAlign w:val="bottom"/>
            <w:hideMark/>
          </w:tcPr>
          <w:p w14:paraId="6EFB6570"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2.232***</w:t>
            </w:r>
          </w:p>
        </w:tc>
        <w:tc>
          <w:tcPr>
            <w:tcW w:w="663" w:type="dxa"/>
            <w:tcBorders>
              <w:top w:val="nil"/>
              <w:left w:val="nil"/>
              <w:bottom w:val="nil"/>
              <w:right w:val="nil"/>
            </w:tcBorders>
            <w:shd w:val="clear" w:color="auto" w:fill="auto"/>
            <w:noWrap/>
            <w:vAlign w:val="bottom"/>
            <w:hideMark/>
          </w:tcPr>
          <w:p w14:paraId="3D6F7EE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12.42     </w:t>
            </w:r>
          </w:p>
        </w:tc>
        <w:tc>
          <w:tcPr>
            <w:tcW w:w="965" w:type="dxa"/>
            <w:gridSpan w:val="4"/>
            <w:tcBorders>
              <w:top w:val="nil"/>
              <w:left w:val="nil"/>
              <w:bottom w:val="nil"/>
              <w:right w:val="nil"/>
            </w:tcBorders>
            <w:shd w:val="clear" w:color="auto" w:fill="auto"/>
            <w:noWrap/>
            <w:vAlign w:val="bottom"/>
            <w:hideMark/>
          </w:tcPr>
          <w:p w14:paraId="796488FB"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2.515***</w:t>
            </w:r>
          </w:p>
        </w:tc>
        <w:tc>
          <w:tcPr>
            <w:tcW w:w="823" w:type="dxa"/>
            <w:tcBorders>
              <w:top w:val="nil"/>
              <w:left w:val="nil"/>
              <w:bottom w:val="nil"/>
              <w:right w:val="nil"/>
            </w:tcBorders>
            <w:shd w:val="clear" w:color="auto" w:fill="auto"/>
            <w:noWrap/>
            <w:vAlign w:val="bottom"/>
            <w:hideMark/>
          </w:tcPr>
          <w:p w14:paraId="20E80B4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11.16     </w:t>
            </w:r>
          </w:p>
        </w:tc>
      </w:tr>
      <w:tr w:rsidR="00D652C8" w:rsidRPr="008775BE" w14:paraId="19CED830" w14:textId="77777777" w:rsidTr="000669E5">
        <w:trPr>
          <w:trHeight w:val="260"/>
        </w:trPr>
        <w:tc>
          <w:tcPr>
            <w:tcW w:w="0" w:type="auto"/>
            <w:tcBorders>
              <w:top w:val="nil"/>
              <w:left w:val="nil"/>
              <w:bottom w:val="nil"/>
              <w:right w:val="nil"/>
            </w:tcBorders>
            <w:shd w:val="clear" w:color="auto" w:fill="auto"/>
            <w:noWrap/>
            <w:vAlign w:val="bottom"/>
            <w:hideMark/>
          </w:tcPr>
          <w:p w14:paraId="73984BB5"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PROCEEDS</w:t>
            </w:r>
          </w:p>
        </w:tc>
        <w:tc>
          <w:tcPr>
            <w:tcW w:w="1124" w:type="dxa"/>
            <w:gridSpan w:val="2"/>
            <w:tcBorders>
              <w:top w:val="nil"/>
              <w:left w:val="nil"/>
              <w:bottom w:val="nil"/>
              <w:right w:val="nil"/>
            </w:tcBorders>
            <w:shd w:val="clear" w:color="auto" w:fill="auto"/>
            <w:noWrap/>
            <w:vAlign w:val="bottom"/>
            <w:hideMark/>
          </w:tcPr>
          <w:p w14:paraId="349D4256"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-0.112      </w:t>
            </w:r>
          </w:p>
        </w:tc>
        <w:tc>
          <w:tcPr>
            <w:tcW w:w="828" w:type="dxa"/>
            <w:tcBorders>
              <w:top w:val="nil"/>
              <w:left w:val="nil"/>
              <w:bottom w:val="nil"/>
              <w:right w:val="nil"/>
            </w:tcBorders>
            <w:shd w:val="clear" w:color="auto" w:fill="auto"/>
            <w:noWrap/>
            <w:vAlign w:val="bottom"/>
            <w:hideMark/>
          </w:tcPr>
          <w:p w14:paraId="1006ABB2"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0.14   </w:t>
            </w:r>
          </w:p>
        </w:tc>
        <w:tc>
          <w:tcPr>
            <w:tcW w:w="1144" w:type="dxa"/>
            <w:gridSpan w:val="2"/>
            <w:tcBorders>
              <w:top w:val="nil"/>
              <w:left w:val="nil"/>
              <w:bottom w:val="nil"/>
              <w:right w:val="nil"/>
            </w:tcBorders>
            <w:shd w:val="clear" w:color="auto" w:fill="auto"/>
            <w:noWrap/>
            <w:vAlign w:val="bottom"/>
            <w:hideMark/>
          </w:tcPr>
          <w:p w14:paraId="6AF585F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-0.163      </w:t>
            </w:r>
          </w:p>
        </w:tc>
        <w:tc>
          <w:tcPr>
            <w:tcW w:w="700" w:type="dxa"/>
            <w:tcBorders>
              <w:top w:val="nil"/>
              <w:left w:val="nil"/>
              <w:bottom w:val="nil"/>
              <w:right w:val="nil"/>
            </w:tcBorders>
            <w:shd w:val="clear" w:color="auto" w:fill="auto"/>
            <w:noWrap/>
            <w:vAlign w:val="bottom"/>
            <w:hideMark/>
          </w:tcPr>
          <w:p w14:paraId="6820EDF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0.25   </w:t>
            </w:r>
          </w:p>
        </w:tc>
        <w:tc>
          <w:tcPr>
            <w:tcW w:w="1144" w:type="dxa"/>
            <w:gridSpan w:val="3"/>
            <w:tcBorders>
              <w:top w:val="nil"/>
              <w:left w:val="nil"/>
              <w:bottom w:val="nil"/>
              <w:right w:val="nil"/>
            </w:tcBorders>
            <w:shd w:val="clear" w:color="auto" w:fill="auto"/>
            <w:noWrap/>
            <w:vAlign w:val="bottom"/>
            <w:hideMark/>
          </w:tcPr>
          <w:p w14:paraId="52569844"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-0.384      </w:t>
            </w:r>
          </w:p>
        </w:tc>
        <w:tc>
          <w:tcPr>
            <w:tcW w:w="663" w:type="dxa"/>
            <w:tcBorders>
              <w:top w:val="nil"/>
              <w:left w:val="nil"/>
              <w:bottom w:val="nil"/>
              <w:right w:val="nil"/>
            </w:tcBorders>
            <w:shd w:val="clear" w:color="auto" w:fill="auto"/>
            <w:noWrap/>
            <w:vAlign w:val="bottom"/>
            <w:hideMark/>
          </w:tcPr>
          <w:p w14:paraId="5F1C39A0"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0.72     </w:t>
            </w:r>
          </w:p>
        </w:tc>
        <w:tc>
          <w:tcPr>
            <w:tcW w:w="965" w:type="dxa"/>
            <w:gridSpan w:val="4"/>
            <w:tcBorders>
              <w:top w:val="nil"/>
              <w:left w:val="nil"/>
              <w:bottom w:val="nil"/>
              <w:right w:val="nil"/>
            </w:tcBorders>
            <w:shd w:val="clear" w:color="auto" w:fill="auto"/>
            <w:noWrap/>
            <w:vAlign w:val="bottom"/>
            <w:hideMark/>
          </w:tcPr>
          <w:p w14:paraId="58DB8F8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-0.186      </w:t>
            </w:r>
          </w:p>
        </w:tc>
        <w:tc>
          <w:tcPr>
            <w:tcW w:w="823" w:type="dxa"/>
            <w:tcBorders>
              <w:top w:val="nil"/>
              <w:left w:val="nil"/>
              <w:bottom w:val="nil"/>
              <w:right w:val="nil"/>
            </w:tcBorders>
            <w:shd w:val="clear" w:color="auto" w:fill="auto"/>
            <w:noWrap/>
            <w:vAlign w:val="bottom"/>
            <w:hideMark/>
          </w:tcPr>
          <w:p w14:paraId="7A1F3205"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0.09     </w:t>
            </w:r>
          </w:p>
        </w:tc>
      </w:tr>
      <w:tr w:rsidR="00D652C8" w:rsidRPr="008775BE" w14:paraId="238798B7" w14:textId="77777777" w:rsidTr="000669E5">
        <w:trPr>
          <w:trHeight w:val="260"/>
        </w:trPr>
        <w:tc>
          <w:tcPr>
            <w:tcW w:w="0" w:type="auto"/>
            <w:tcBorders>
              <w:top w:val="nil"/>
              <w:left w:val="nil"/>
              <w:bottom w:val="nil"/>
              <w:right w:val="nil"/>
            </w:tcBorders>
            <w:shd w:val="clear" w:color="auto" w:fill="auto"/>
            <w:noWrap/>
            <w:vAlign w:val="bottom"/>
            <w:hideMark/>
          </w:tcPr>
          <w:p w14:paraId="2F487258"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ASSETS</w:t>
            </w:r>
          </w:p>
        </w:tc>
        <w:tc>
          <w:tcPr>
            <w:tcW w:w="1124" w:type="dxa"/>
            <w:gridSpan w:val="2"/>
            <w:tcBorders>
              <w:top w:val="nil"/>
              <w:left w:val="nil"/>
              <w:bottom w:val="nil"/>
              <w:right w:val="nil"/>
            </w:tcBorders>
            <w:shd w:val="clear" w:color="auto" w:fill="auto"/>
            <w:noWrap/>
            <w:vAlign w:val="bottom"/>
            <w:hideMark/>
          </w:tcPr>
          <w:p w14:paraId="095769B2"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0.072      </w:t>
            </w:r>
          </w:p>
        </w:tc>
        <w:tc>
          <w:tcPr>
            <w:tcW w:w="828" w:type="dxa"/>
            <w:tcBorders>
              <w:top w:val="nil"/>
              <w:left w:val="nil"/>
              <w:bottom w:val="nil"/>
              <w:right w:val="nil"/>
            </w:tcBorders>
            <w:shd w:val="clear" w:color="auto" w:fill="auto"/>
            <w:noWrap/>
            <w:vAlign w:val="bottom"/>
            <w:hideMark/>
          </w:tcPr>
          <w:p w14:paraId="797E8F54"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0.12   </w:t>
            </w:r>
          </w:p>
        </w:tc>
        <w:tc>
          <w:tcPr>
            <w:tcW w:w="1144" w:type="dxa"/>
            <w:gridSpan w:val="2"/>
            <w:tcBorders>
              <w:top w:val="nil"/>
              <w:left w:val="nil"/>
              <w:bottom w:val="nil"/>
              <w:right w:val="nil"/>
            </w:tcBorders>
            <w:shd w:val="clear" w:color="auto" w:fill="auto"/>
            <w:noWrap/>
            <w:vAlign w:val="bottom"/>
            <w:hideMark/>
          </w:tcPr>
          <w:p w14:paraId="074D762A"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0.124      </w:t>
            </w:r>
          </w:p>
        </w:tc>
        <w:tc>
          <w:tcPr>
            <w:tcW w:w="700" w:type="dxa"/>
            <w:tcBorders>
              <w:top w:val="nil"/>
              <w:left w:val="nil"/>
              <w:bottom w:val="nil"/>
              <w:right w:val="nil"/>
            </w:tcBorders>
            <w:shd w:val="clear" w:color="auto" w:fill="auto"/>
            <w:noWrap/>
            <w:vAlign w:val="bottom"/>
            <w:hideMark/>
          </w:tcPr>
          <w:p w14:paraId="41BAEB6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0.30   </w:t>
            </w:r>
          </w:p>
        </w:tc>
        <w:tc>
          <w:tcPr>
            <w:tcW w:w="1144" w:type="dxa"/>
            <w:gridSpan w:val="3"/>
            <w:tcBorders>
              <w:top w:val="nil"/>
              <w:left w:val="nil"/>
              <w:bottom w:val="nil"/>
              <w:right w:val="nil"/>
            </w:tcBorders>
            <w:shd w:val="clear" w:color="auto" w:fill="auto"/>
            <w:noWrap/>
            <w:vAlign w:val="bottom"/>
            <w:hideMark/>
          </w:tcPr>
          <w:p w14:paraId="3AE6509F"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-0.128      </w:t>
            </w:r>
          </w:p>
        </w:tc>
        <w:tc>
          <w:tcPr>
            <w:tcW w:w="663" w:type="dxa"/>
            <w:tcBorders>
              <w:top w:val="nil"/>
              <w:left w:val="nil"/>
              <w:bottom w:val="nil"/>
              <w:right w:val="nil"/>
            </w:tcBorders>
            <w:shd w:val="clear" w:color="auto" w:fill="auto"/>
            <w:noWrap/>
            <w:vAlign w:val="bottom"/>
            <w:hideMark/>
          </w:tcPr>
          <w:p w14:paraId="30AFBB0E"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0.22     </w:t>
            </w:r>
          </w:p>
        </w:tc>
        <w:tc>
          <w:tcPr>
            <w:tcW w:w="965" w:type="dxa"/>
            <w:gridSpan w:val="4"/>
            <w:tcBorders>
              <w:top w:val="nil"/>
              <w:left w:val="nil"/>
              <w:bottom w:val="nil"/>
              <w:right w:val="nil"/>
            </w:tcBorders>
            <w:shd w:val="clear" w:color="auto" w:fill="auto"/>
            <w:noWrap/>
            <w:vAlign w:val="bottom"/>
            <w:hideMark/>
          </w:tcPr>
          <w:p w14:paraId="60A7D30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-0.274      </w:t>
            </w:r>
          </w:p>
        </w:tc>
        <w:tc>
          <w:tcPr>
            <w:tcW w:w="823" w:type="dxa"/>
            <w:tcBorders>
              <w:top w:val="nil"/>
              <w:left w:val="nil"/>
              <w:bottom w:val="nil"/>
              <w:right w:val="nil"/>
            </w:tcBorders>
            <w:shd w:val="clear" w:color="auto" w:fill="auto"/>
            <w:noWrap/>
            <w:vAlign w:val="bottom"/>
            <w:hideMark/>
          </w:tcPr>
          <w:p w14:paraId="21570C82"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0.62     </w:t>
            </w:r>
          </w:p>
        </w:tc>
      </w:tr>
      <w:tr w:rsidR="00D652C8" w:rsidRPr="008775BE" w14:paraId="41460EE3" w14:textId="77777777" w:rsidTr="000669E5">
        <w:trPr>
          <w:trHeight w:val="260"/>
        </w:trPr>
        <w:tc>
          <w:tcPr>
            <w:tcW w:w="0" w:type="auto"/>
            <w:tcBorders>
              <w:top w:val="nil"/>
              <w:left w:val="nil"/>
              <w:bottom w:val="nil"/>
              <w:right w:val="nil"/>
            </w:tcBorders>
            <w:shd w:val="clear" w:color="auto" w:fill="auto"/>
            <w:noWrap/>
            <w:vAlign w:val="bottom"/>
            <w:hideMark/>
          </w:tcPr>
          <w:p w14:paraId="23FA74E1"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ROA</w:t>
            </w:r>
          </w:p>
        </w:tc>
        <w:tc>
          <w:tcPr>
            <w:tcW w:w="1124" w:type="dxa"/>
            <w:gridSpan w:val="2"/>
            <w:tcBorders>
              <w:top w:val="nil"/>
              <w:left w:val="nil"/>
              <w:bottom w:val="nil"/>
              <w:right w:val="nil"/>
            </w:tcBorders>
            <w:shd w:val="clear" w:color="auto" w:fill="auto"/>
            <w:noWrap/>
            <w:vAlign w:val="bottom"/>
            <w:hideMark/>
          </w:tcPr>
          <w:p w14:paraId="5A62B1C1"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-0.501      </w:t>
            </w:r>
          </w:p>
        </w:tc>
        <w:tc>
          <w:tcPr>
            <w:tcW w:w="828" w:type="dxa"/>
            <w:tcBorders>
              <w:top w:val="nil"/>
              <w:left w:val="nil"/>
              <w:bottom w:val="nil"/>
              <w:right w:val="nil"/>
            </w:tcBorders>
            <w:shd w:val="clear" w:color="auto" w:fill="auto"/>
            <w:noWrap/>
            <w:vAlign w:val="bottom"/>
            <w:hideMark/>
          </w:tcPr>
          <w:p w14:paraId="174A270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1.18   </w:t>
            </w:r>
          </w:p>
        </w:tc>
        <w:tc>
          <w:tcPr>
            <w:tcW w:w="1144" w:type="dxa"/>
            <w:gridSpan w:val="2"/>
            <w:tcBorders>
              <w:top w:val="nil"/>
              <w:left w:val="nil"/>
              <w:bottom w:val="nil"/>
              <w:right w:val="nil"/>
            </w:tcBorders>
            <w:shd w:val="clear" w:color="auto" w:fill="auto"/>
            <w:noWrap/>
            <w:vAlign w:val="bottom"/>
            <w:hideMark/>
          </w:tcPr>
          <w:p w14:paraId="12C849A8"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-0.274      </w:t>
            </w:r>
          </w:p>
        </w:tc>
        <w:tc>
          <w:tcPr>
            <w:tcW w:w="700" w:type="dxa"/>
            <w:tcBorders>
              <w:top w:val="nil"/>
              <w:left w:val="nil"/>
              <w:bottom w:val="nil"/>
              <w:right w:val="nil"/>
            </w:tcBorders>
            <w:shd w:val="clear" w:color="auto" w:fill="auto"/>
            <w:noWrap/>
            <w:vAlign w:val="bottom"/>
            <w:hideMark/>
          </w:tcPr>
          <w:p w14:paraId="28BE6D27"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0.36   </w:t>
            </w:r>
          </w:p>
        </w:tc>
        <w:tc>
          <w:tcPr>
            <w:tcW w:w="1144" w:type="dxa"/>
            <w:gridSpan w:val="3"/>
            <w:tcBorders>
              <w:top w:val="nil"/>
              <w:left w:val="nil"/>
              <w:bottom w:val="nil"/>
              <w:right w:val="nil"/>
            </w:tcBorders>
            <w:shd w:val="clear" w:color="auto" w:fill="auto"/>
            <w:noWrap/>
            <w:vAlign w:val="bottom"/>
            <w:hideMark/>
          </w:tcPr>
          <w:p w14:paraId="2C6E30B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0.305      </w:t>
            </w:r>
          </w:p>
        </w:tc>
        <w:tc>
          <w:tcPr>
            <w:tcW w:w="663" w:type="dxa"/>
            <w:tcBorders>
              <w:top w:val="nil"/>
              <w:left w:val="nil"/>
              <w:bottom w:val="nil"/>
              <w:right w:val="nil"/>
            </w:tcBorders>
            <w:shd w:val="clear" w:color="auto" w:fill="auto"/>
            <w:noWrap/>
            <w:vAlign w:val="bottom"/>
            <w:hideMark/>
          </w:tcPr>
          <w:p w14:paraId="1A4F6AC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0.28     </w:t>
            </w:r>
          </w:p>
        </w:tc>
        <w:tc>
          <w:tcPr>
            <w:tcW w:w="965" w:type="dxa"/>
            <w:gridSpan w:val="4"/>
            <w:tcBorders>
              <w:top w:val="nil"/>
              <w:left w:val="nil"/>
              <w:bottom w:val="nil"/>
              <w:right w:val="nil"/>
            </w:tcBorders>
            <w:shd w:val="clear" w:color="auto" w:fill="auto"/>
            <w:noWrap/>
            <w:vAlign w:val="bottom"/>
            <w:hideMark/>
          </w:tcPr>
          <w:p w14:paraId="73C0BBD2"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0.470      </w:t>
            </w:r>
          </w:p>
        </w:tc>
        <w:tc>
          <w:tcPr>
            <w:tcW w:w="823" w:type="dxa"/>
            <w:tcBorders>
              <w:top w:val="nil"/>
              <w:left w:val="nil"/>
              <w:bottom w:val="nil"/>
              <w:right w:val="nil"/>
            </w:tcBorders>
            <w:shd w:val="clear" w:color="auto" w:fill="auto"/>
            <w:noWrap/>
            <w:vAlign w:val="bottom"/>
            <w:hideMark/>
          </w:tcPr>
          <w:p w14:paraId="43F24B78"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0.69     </w:t>
            </w:r>
          </w:p>
        </w:tc>
      </w:tr>
      <w:tr w:rsidR="00D652C8" w:rsidRPr="008775BE" w14:paraId="0483FBB6" w14:textId="77777777" w:rsidTr="000669E5">
        <w:trPr>
          <w:trHeight w:val="260"/>
        </w:trPr>
        <w:tc>
          <w:tcPr>
            <w:tcW w:w="0" w:type="auto"/>
            <w:tcBorders>
              <w:top w:val="nil"/>
              <w:left w:val="nil"/>
              <w:bottom w:val="nil"/>
              <w:right w:val="nil"/>
            </w:tcBorders>
            <w:shd w:val="clear" w:color="auto" w:fill="auto"/>
            <w:noWrap/>
            <w:vAlign w:val="bottom"/>
            <w:hideMark/>
          </w:tcPr>
          <w:p w14:paraId="37B60191"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LEVERAGE</w:t>
            </w:r>
          </w:p>
        </w:tc>
        <w:tc>
          <w:tcPr>
            <w:tcW w:w="1124" w:type="dxa"/>
            <w:gridSpan w:val="2"/>
            <w:tcBorders>
              <w:top w:val="nil"/>
              <w:left w:val="nil"/>
              <w:bottom w:val="nil"/>
              <w:right w:val="nil"/>
            </w:tcBorders>
            <w:shd w:val="clear" w:color="auto" w:fill="auto"/>
            <w:noWrap/>
            <w:vAlign w:val="bottom"/>
            <w:hideMark/>
          </w:tcPr>
          <w:p w14:paraId="5C66EF1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0.098      </w:t>
            </w:r>
          </w:p>
        </w:tc>
        <w:tc>
          <w:tcPr>
            <w:tcW w:w="828" w:type="dxa"/>
            <w:tcBorders>
              <w:top w:val="nil"/>
              <w:left w:val="nil"/>
              <w:bottom w:val="nil"/>
              <w:right w:val="nil"/>
            </w:tcBorders>
            <w:shd w:val="clear" w:color="auto" w:fill="auto"/>
            <w:noWrap/>
            <w:vAlign w:val="bottom"/>
            <w:hideMark/>
          </w:tcPr>
          <w:p w14:paraId="73F02AC3"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0.02   </w:t>
            </w:r>
          </w:p>
        </w:tc>
        <w:tc>
          <w:tcPr>
            <w:tcW w:w="1144" w:type="dxa"/>
            <w:gridSpan w:val="2"/>
            <w:tcBorders>
              <w:top w:val="nil"/>
              <w:left w:val="nil"/>
              <w:bottom w:val="nil"/>
              <w:right w:val="nil"/>
            </w:tcBorders>
            <w:shd w:val="clear" w:color="auto" w:fill="auto"/>
            <w:noWrap/>
            <w:vAlign w:val="bottom"/>
            <w:hideMark/>
          </w:tcPr>
          <w:p w14:paraId="5FA5650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0.583      </w:t>
            </w:r>
          </w:p>
        </w:tc>
        <w:tc>
          <w:tcPr>
            <w:tcW w:w="700" w:type="dxa"/>
            <w:tcBorders>
              <w:top w:val="nil"/>
              <w:left w:val="nil"/>
              <w:bottom w:val="nil"/>
              <w:right w:val="nil"/>
            </w:tcBorders>
            <w:shd w:val="clear" w:color="auto" w:fill="auto"/>
            <w:noWrap/>
            <w:vAlign w:val="bottom"/>
            <w:hideMark/>
          </w:tcPr>
          <w:p w14:paraId="67210CC3"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0.48   </w:t>
            </w:r>
          </w:p>
        </w:tc>
        <w:tc>
          <w:tcPr>
            <w:tcW w:w="1144" w:type="dxa"/>
            <w:gridSpan w:val="3"/>
            <w:tcBorders>
              <w:top w:val="nil"/>
              <w:left w:val="nil"/>
              <w:bottom w:val="nil"/>
              <w:right w:val="nil"/>
            </w:tcBorders>
            <w:shd w:val="clear" w:color="auto" w:fill="auto"/>
            <w:noWrap/>
            <w:vAlign w:val="bottom"/>
            <w:hideMark/>
          </w:tcPr>
          <w:p w14:paraId="79F38B86"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0.881      </w:t>
            </w:r>
          </w:p>
        </w:tc>
        <w:tc>
          <w:tcPr>
            <w:tcW w:w="663" w:type="dxa"/>
            <w:tcBorders>
              <w:top w:val="nil"/>
              <w:left w:val="nil"/>
              <w:bottom w:val="nil"/>
              <w:right w:val="nil"/>
            </w:tcBorders>
            <w:shd w:val="clear" w:color="auto" w:fill="auto"/>
            <w:noWrap/>
            <w:vAlign w:val="bottom"/>
            <w:hideMark/>
          </w:tcPr>
          <w:p w14:paraId="0F3C8918"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1.06     </w:t>
            </w:r>
          </w:p>
        </w:tc>
        <w:tc>
          <w:tcPr>
            <w:tcW w:w="965" w:type="dxa"/>
            <w:gridSpan w:val="4"/>
            <w:tcBorders>
              <w:top w:val="nil"/>
              <w:left w:val="nil"/>
              <w:bottom w:val="nil"/>
              <w:right w:val="nil"/>
            </w:tcBorders>
            <w:shd w:val="clear" w:color="auto" w:fill="auto"/>
            <w:noWrap/>
            <w:vAlign w:val="bottom"/>
            <w:hideMark/>
          </w:tcPr>
          <w:p w14:paraId="20642979"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1.812      </w:t>
            </w:r>
          </w:p>
        </w:tc>
        <w:tc>
          <w:tcPr>
            <w:tcW w:w="823" w:type="dxa"/>
            <w:tcBorders>
              <w:top w:val="nil"/>
              <w:left w:val="nil"/>
              <w:bottom w:val="nil"/>
              <w:right w:val="nil"/>
            </w:tcBorders>
            <w:shd w:val="clear" w:color="auto" w:fill="auto"/>
            <w:noWrap/>
            <w:vAlign w:val="bottom"/>
            <w:hideMark/>
          </w:tcPr>
          <w:p w14:paraId="3D97D2E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2.66     </w:t>
            </w:r>
          </w:p>
        </w:tc>
      </w:tr>
      <w:tr w:rsidR="00D652C8" w:rsidRPr="008775BE" w14:paraId="2B170158" w14:textId="77777777" w:rsidTr="000669E5">
        <w:trPr>
          <w:trHeight w:val="260"/>
        </w:trPr>
        <w:tc>
          <w:tcPr>
            <w:tcW w:w="0" w:type="auto"/>
            <w:tcBorders>
              <w:top w:val="nil"/>
              <w:left w:val="nil"/>
              <w:bottom w:val="nil"/>
              <w:right w:val="nil"/>
            </w:tcBorders>
            <w:shd w:val="clear" w:color="auto" w:fill="auto"/>
            <w:noWrap/>
            <w:vAlign w:val="bottom"/>
            <w:hideMark/>
          </w:tcPr>
          <w:p w14:paraId="565C2346"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SEGMENTS</w:t>
            </w:r>
          </w:p>
        </w:tc>
        <w:tc>
          <w:tcPr>
            <w:tcW w:w="1124" w:type="dxa"/>
            <w:gridSpan w:val="2"/>
            <w:tcBorders>
              <w:top w:val="nil"/>
              <w:left w:val="nil"/>
              <w:bottom w:val="nil"/>
              <w:right w:val="nil"/>
            </w:tcBorders>
            <w:shd w:val="clear" w:color="auto" w:fill="auto"/>
            <w:noWrap/>
            <w:vAlign w:val="bottom"/>
            <w:hideMark/>
          </w:tcPr>
          <w:p w14:paraId="27C20A1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-0.741*    </w:t>
            </w:r>
          </w:p>
        </w:tc>
        <w:tc>
          <w:tcPr>
            <w:tcW w:w="828" w:type="dxa"/>
            <w:tcBorders>
              <w:top w:val="nil"/>
              <w:left w:val="nil"/>
              <w:bottom w:val="nil"/>
              <w:right w:val="nil"/>
            </w:tcBorders>
            <w:shd w:val="clear" w:color="auto" w:fill="auto"/>
            <w:noWrap/>
            <w:vAlign w:val="bottom"/>
            <w:hideMark/>
          </w:tcPr>
          <w:p w14:paraId="5A0945F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2.92   </w:t>
            </w:r>
          </w:p>
        </w:tc>
        <w:tc>
          <w:tcPr>
            <w:tcW w:w="1144" w:type="dxa"/>
            <w:gridSpan w:val="2"/>
            <w:tcBorders>
              <w:top w:val="nil"/>
              <w:left w:val="nil"/>
              <w:bottom w:val="nil"/>
              <w:right w:val="nil"/>
            </w:tcBorders>
            <w:shd w:val="clear" w:color="auto" w:fill="auto"/>
            <w:noWrap/>
            <w:vAlign w:val="bottom"/>
            <w:hideMark/>
          </w:tcPr>
          <w:p w14:paraId="30CE882C"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-0.827**  </w:t>
            </w:r>
          </w:p>
        </w:tc>
        <w:tc>
          <w:tcPr>
            <w:tcW w:w="700" w:type="dxa"/>
            <w:tcBorders>
              <w:top w:val="nil"/>
              <w:left w:val="nil"/>
              <w:bottom w:val="nil"/>
              <w:right w:val="nil"/>
            </w:tcBorders>
            <w:shd w:val="clear" w:color="auto" w:fill="auto"/>
            <w:noWrap/>
            <w:vAlign w:val="bottom"/>
            <w:hideMark/>
          </w:tcPr>
          <w:p w14:paraId="7E4ADF97"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3.88   </w:t>
            </w:r>
          </w:p>
        </w:tc>
        <w:tc>
          <w:tcPr>
            <w:tcW w:w="1144" w:type="dxa"/>
            <w:gridSpan w:val="3"/>
            <w:tcBorders>
              <w:top w:val="nil"/>
              <w:left w:val="nil"/>
              <w:bottom w:val="nil"/>
              <w:right w:val="nil"/>
            </w:tcBorders>
            <w:shd w:val="clear" w:color="auto" w:fill="auto"/>
            <w:noWrap/>
            <w:vAlign w:val="bottom"/>
            <w:hideMark/>
          </w:tcPr>
          <w:p w14:paraId="19709B5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-1.267*    </w:t>
            </w:r>
          </w:p>
        </w:tc>
        <w:tc>
          <w:tcPr>
            <w:tcW w:w="663" w:type="dxa"/>
            <w:tcBorders>
              <w:top w:val="nil"/>
              <w:left w:val="nil"/>
              <w:bottom w:val="nil"/>
              <w:right w:val="nil"/>
            </w:tcBorders>
            <w:shd w:val="clear" w:color="auto" w:fill="auto"/>
            <w:noWrap/>
            <w:vAlign w:val="bottom"/>
            <w:hideMark/>
          </w:tcPr>
          <w:p w14:paraId="10053433"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3.51     </w:t>
            </w:r>
          </w:p>
        </w:tc>
        <w:tc>
          <w:tcPr>
            <w:tcW w:w="965" w:type="dxa"/>
            <w:gridSpan w:val="4"/>
            <w:tcBorders>
              <w:top w:val="nil"/>
              <w:left w:val="nil"/>
              <w:bottom w:val="nil"/>
              <w:right w:val="nil"/>
            </w:tcBorders>
            <w:shd w:val="clear" w:color="auto" w:fill="auto"/>
            <w:noWrap/>
            <w:vAlign w:val="bottom"/>
            <w:hideMark/>
          </w:tcPr>
          <w:p w14:paraId="32B05435"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-1.878**  </w:t>
            </w:r>
          </w:p>
        </w:tc>
        <w:tc>
          <w:tcPr>
            <w:tcW w:w="823" w:type="dxa"/>
            <w:tcBorders>
              <w:top w:val="nil"/>
              <w:left w:val="nil"/>
              <w:bottom w:val="nil"/>
              <w:right w:val="nil"/>
            </w:tcBorders>
            <w:shd w:val="clear" w:color="auto" w:fill="auto"/>
            <w:noWrap/>
            <w:vAlign w:val="bottom"/>
            <w:hideMark/>
          </w:tcPr>
          <w:p w14:paraId="319B3A44"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6.30     </w:t>
            </w:r>
          </w:p>
        </w:tc>
      </w:tr>
      <w:tr w:rsidR="00D652C8" w:rsidRPr="008775BE" w14:paraId="32EEBB9F" w14:textId="77777777" w:rsidTr="000669E5">
        <w:trPr>
          <w:trHeight w:val="260"/>
        </w:trPr>
        <w:tc>
          <w:tcPr>
            <w:tcW w:w="0" w:type="auto"/>
            <w:tcBorders>
              <w:top w:val="nil"/>
              <w:left w:val="nil"/>
              <w:bottom w:val="nil"/>
              <w:right w:val="nil"/>
            </w:tcBorders>
            <w:shd w:val="clear" w:color="auto" w:fill="auto"/>
            <w:noWrap/>
            <w:vAlign w:val="bottom"/>
            <w:hideMark/>
          </w:tcPr>
          <w:p w14:paraId="2C9B611D"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EGC</w:t>
            </w:r>
          </w:p>
        </w:tc>
        <w:tc>
          <w:tcPr>
            <w:tcW w:w="1124" w:type="dxa"/>
            <w:gridSpan w:val="2"/>
            <w:tcBorders>
              <w:top w:val="nil"/>
              <w:left w:val="nil"/>
              <w:bottom w:val="nil"/>
              <w:right w:val="nil"/>
            </w:tcBorders>
            <w:shd w:val="clear" w:color="auto" w:fill="auto"/>
            <w:noWrap/>
            <w:vAlign w:val="bottom"/>
            <w:hideMark/>
          </w:tcPr>
          <w:p w14:paraId="5FE96EB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0.485      </w:t>
            </w:r>
          </w:p>
        </w:tc>
        <w:tc>
          <w:tcPr>
            <w:tcW w:w="828" w:type="dxa"/>
            <w:tcBorders>
              <w:top w:val="nil"/>
              <w:left w:val="nil"/>
              <w:bottom w:val="nil"/>
              <w:right w:val="nil"/>
            </w:tcBorders>
            <w:shd w:val="clear" w:color="auto" w:fill="auto"/>
            <w:noWrap/>
            <w:vAlign w:val="bottom"/>
            <w:hideMark/>
          </w:tcPr>
          <w:p w14:paraId="1948A8B7"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2.23   </w:t>
            </w:r>
          </w:p>
        </w:tc>
        <w:tc>
          <w:tcPr>
            <w:tcW w:w="1144" w:type="dxa"/>
            <w:gridSpan w:val="2"/>
            <w:tcBorders>
              <w:top w:val="nil"/>
              <w:left w:val="nil"/>
              <w:bottom w:val="nil"/>
              <w:right w:val="nil"/>
            </w:tcBorders>
            <w:shd w:val="clear" w:color="auto" w:fill="auto"/>
            <w:noWrap/>
            <w:vAlign w:val="bottom"/>
            <w:hideMark/>
          </w:tcPr>
          <w:p w14:paraId="137D263C"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0.975**  </w:t>
            </w:r>
          </w:p>
        </w:tc>
        <w:tc>
          <w:tcPr>
            <w:tcW w:w="700" w:type="dxa"/>
            <w:tcBorders>
              <w:top w:val="nil"/>
              <w:left w:val="nil"/>
              <w:bottom w:val="nil"/>
              <w:right w:val="nil"/>
            </w:tcBorders>
            <w:shd w:val="clear" w:color="auto" w:fill="auto"/>
            <w:noWrap/>
            <w:vAlign w:val="bottom"/>
            <w:hideMark/>
          </w:tcPr>
          <w:p w14:paraId="433096A6"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6.00   </w:t>
            </w:r>
          </w:p>
        </w:tc>
        <w:tc>
          <w:tcPr>
            <w:tcW w:w="1144" w:type="dxa"/>
            <w:gridSpan w:val="3"/>
            <w:tcBorders>
              <w:top w:val="nil"/>
              <w:left w:val="nil"/>
              <w:bottom w:val="nil"/>
              <w:right w:val="nil"/>
            </w:tcBorders>
            <w:shd w:val="clear" w:color="auto" w:fill="auto"/>
            <w:noWrap/>
            <w:vAlign w:val="bottom"/>
            <w:hideMark/>
          </w:tcPr>
          <w:p w14:paraId="3A1049C1"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-0.439      </w:t>
            </w:r>
          </w:p>
        </w:tc>
        <w:tc>
          <w:tcPr>
            <w:tcW w:w="663" w:type="dxa"/>
            <w:tcBorders>
              <w:top w:val="nil"/>
              <w:left w:val="nil"/>
              <w:bottom w:val="nil"/>
              <w:right w:val="nil"/>
            </w:tcBorders>
            <w:shd w:val="clear" w:color="auto" w:fill="auto"/>
            <w:noWrap/>
            <w:vAlign w:val="bottom"/>
            <w:hideMark/>
          </w:tcPr>
          <w:p w14:paraId="1DEA36B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0.79     </w:t>
            </w:r>
          </w:p>
        </w:tc>
        <w:tc>
          <w:tcPr>
            <w:tcW w:w="965" w:type="dxa"/>
            <w:gridSpan w:val="4"/>
            <w:tcBorders>
              <w:top w:val="nil"/>
              <w:left w:val="nil"/>
              <w:bottom w:val="nil"/>
              <w:right w:val="nil"/>
            </w:tcBorders>
            <w:shd w:val="clear" w:color="auto" w:fill="auto"/>
            <w:noWrap/>
            <w:vAlign w:val="bottom"/>
            <w:hideMark/>
          </w:tcPr>
          <w:p w14:paraId="3D42273B"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-1.100*    </w:t>
            </w:r>
          </w:p>
        </w:tc>
        <w:tc>
          <w:tcPr>
            <w:tcW w:w="823" w:type="dxa"/>
            <w:tcBorders>
              <w:top w:val="nil"/>
              <w:left w:val="nil"/>
              <w:bottom w:val="nil"/>
              <w:right w:val="nil"/>
            </w:tcBorders>
            <w:shd w:val="clear" w:color="auto" w:fill="auto"/>
            <w:noWrap/>
            <w:vAlign w:val="bottom"/>
            <w:hideMark/>
          </w:tcPr>
          <w:p w14:paraId="2DE7DBF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3.50     </w:t>
            </w:r>
          </w:p>
        </w:tc>
      </w:tr>
      <w:tr w:rsidR="00D652C8" w:rsidRPr="008775BE" w14:paraId="79690D91" w14:textId="77777777" w:rsidTr="000669E5">
        <w:trPr>
          <w:trHeight w:val="260"/>
        </w:trPr>
        <w:tc>
          <w:tcPr>
            <w:tcW w:w="0" w:type="auto"/>
            <w:tcBorders>
              <w:top w:val="nil"/>
              <w:left w:val="nil"/>
              <w:bottom w:val="nil"/>
              <w:right w:val="nil"/>
            </w:tcBorders>
            <w:shd w:val="clear" w:color="auto" w:fill="auto"/>
            <w:noWrap/>
            <w:vAlign w:val="bottom"/>
            <w:hideMark/>
          </w:tcPr>
          <w:p w14:paraId="0BA08647"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FOREIGNFIRM</w:t>
            </w:r>
          </w:p>
        </w:tc>
        <w:tc>
          <w:tcPr>
            <w:tcW w:w="1124" w:type="dxa"/>
            <w:gridSpan w:val="2"/>
            <w:tcBorders>
              <w:top w:val="nil"/>
              <w:left w:val="nil"/>
              <w:bottom w:val="nil"/>
              <w:right w:val="nil"/>
            </w:tcBorders>
            <w:shd w:val="clear" w:color="auto" w:fill="auto"/>
            <w:noWrap/>
            <w:vAlign w:val="bottom"/>
            <w:hideMark/>
          </w:tcPr>
          <w:p w14:paraId="284BF828"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1.002***</w:t>
            </w:r>
          </w:p>
        </w:tc>
        <w:tc>
          <w:tcPr>
            <w:tcW w:w="828" w:type="dxa"/>
            <w:tcBorders>
              <w:top w:val="nil"/>
              <w:left w:val="nil"/>
              <w:bottom w:val="nil"/>
              <w:right w:val="nil"/>
            </w:tcBorders>
            <w:shd w:val="clear" w:color="auto" w:fill="auto"/>
            <w:noWrap/>
            <w:vAlign w:val="bottom"/>
            <w:hideMark/>
          </w:tcPr>
          <w:p w14:paraId="057BF060"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8.89   </w:t>
            </w:r>
          </w:p>
        </w:tc>
        <w:tc>
          <w:tcPr>
            <w:tcW w:w="1144" w:type="dxa"/>
            <w:gridSpan w:val="2"/>
            <w:tcBorders>
              <w:top w:val="nil"/>
              <w:left w:val="nil"/>
              <w:bottom w:val="nil"/>
              <w:right w:val="nil"/>
            </w:tcBorders>
            <w:shd w:val="clear" w:color="auto" w:fill="auto"/>
            <w:noWrap/>
            <w:vAlign w:val="bottom"/>
            <w:hideMark/>
          </w:tcPr>
          <w:p w14:paraId="7EC13E2E"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1.324***</w:t>
            </w:r>
          </w:p>
        </w:tc>
        <w:tc>
          <w:tcPr>
            <w:tcW w:w="700" w:type="dxa"/>
            <w:tcBorders>
              <w:top w:val="nil"/>
              <w:left w:val="nil"/>
              <w:bottom w:val="nil"/>
              <w:right w:val="nil"/>
            </w:tcBorders>
            <w:shd w:val="clear" w:color="auto" w:fill="auto"/>
            <w:noWrap/>
            <w:vAlign w:val="bottom"/>
            <w:hideMark/>
          </w:tcPr>
          <w:p w14:paraId="567B6A76"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10.76   </w:t>
            </w:r>
          </w:p>
        </w:tc>
        <w:tc>
          <w:tcPr>
            <w:tcW w:w="1144" w:type="dxa"/>
            <w:gridSpan w:val="3"/>
            <w:tcBorders>
              <w:top w:val="nil"/>
              <w:left w:val="nil"/>
              <w:bottom w:val="nil"/>
              <w:right w:val="nil"/>
            </w:tcBorders>
            <w:shd w:val="clear" w:color="auto" w:fill="auto"/>
            <w:noWrap/>
            <w:vAlign w:val="bottom"/>
            <w:hideMark/>
          </w:tcPr>
          <w:p w14:paraId="57B02588"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-1.149*    </w:t>
            </w:r>
          </w:p>
        </w:tc>
        <w:tc>
          <w:tcPr>
            <w:tcW w:w="663" w:type="dxa"/>
            <w:tcBorders>
              <w:top w:val="nil"/>
              <w:left w:val="nil"/>
              <w:bottom w:val="nil"/>
              <w:right w:val="nil"/>
            </w:tcBorders>
            <w:shd w:val="clear" w:color="auto" w:fill="auto"/>
            <w:noWrap/>
            <w:vAlign w:val="bottom"/>
            <w:hideMark/>
          </w:tcPr>
          <w:p w14:paraId="1B9CA521"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3.46     </w:t>
            </w:r>
          </w:p>
        </w:tc>
        <w:tc>
          <w:tcPr>
            <w:tcW w:w="965" w:type="dxa"/>
            <w:gridSpan w:val="4"/>
            <w:tcBorders>
              <w:top w:val="nil"/>
              <w:left w:val="nil"/>
              <w:bottom w:val="nil"/>
              <w:right w:val="nil"/>
            </w:tcBorders>
            <w:shd w:val="clear" w:color="auto" w:fill="auto"/>
            <w:noWrap/>
            <w:vAlign w:val="bottom"/>
            <w:hideMark/>
          </w:tcPr>
          <w:p w14:paraId="6377AAD8"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-1.824**  </w:t>
            </w:r>
          </w:p>
        </w:tc>
        <w:tc>
          <w:tcPr>
            <w:tcW w:w="823" w:type="dxa"/>
            <w:tcBorders>
              <w:top w:val="nil"/>
              <w:left w:val="nil"/>
              <w:bottom w:val="nil"/>
              <w:right w:val="nil"/>
            </w:tcBorders>
            <w:shd w:val="clear" w:color="auto" w:fill="auto"/>
            <w:noWrap/>
            <w:vAlign w:val="bottom"/>
            <w:hideMark/>
          </w:tcPr>
          <w:p w14:paraId="00E201BB"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4.16     </w:t>
            </w:r>
          </w:p>
        </w:tc>
      </w:tr>
      <w:tr w:rsidR="00D652C8" w:rsidRPr="008775BE" w14:paraId="4E251723" w14:textId="77777777" w:rsidTr="000669E5">
        <w:trPr>
          <w:trHeight w:val="260"/>
        </w:trPr>
        <w:tc>
          <w:tcPr>
            <w:tcW w:w="0" w:type="auto"/>
            <w:tcBorders>
              <w:top w:val="nil"/>
              <w:left w:val="nil"/>
              <w:bottom w:val="nil"/>
              <w:right w:val="nil"/>
            </w:tcBorders>
            <w:shd w:val="clear" w:color="auto" w:fill="auto"/>
            <w:noWrap/>
            <w:vAlign w:val="bottom"/>
            <w:hideMark/>
          </w:tcPr>
          <w:p w14:paraId="4E3A5B14"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CURRATIO</w:t>
            </w:r>
          </w:p>
        </w:tc>
        <w:tc>
          <w:tcPr>
            <w:tcW w:w="1124" w:type="dxa"/>
            <w:gridSpan w:val="2"/>
            <w:tcBorders>
              <w:top w:val="nil"/>
              <w:left w:val="nil"/>
              <w:bottom w:val="nil"/>
              <w:right w:val="nil"/>
            </w:tcBorders>
            <w:shd w:val="clear" w:color="auto" w:fill="auto"/>
            <w:noWrap/>
            <w:vAlign w:val="bottom"/>
            <w:hideMark/>
          </w:tcPr>
          <w:p w14:paraId="2FC4E6C2"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-0.025      </w:t>
            </w:r>
          </w:p>
        </w:tc>
        <w:tc>
          <w:tcPr>
            <w:tcW w:w="828" w:type="dxa"/>
            <w:tcBorders>
              <w:top w:val="nil"/>
              <w:left w:val="nil"/>
              <w:bottom w:val="nil"/>
              <w:right w:val="nil"/>
            </w:tcBorders>
            <w:shd w:val="clear" w:color="auto" w:fill="auto"/>
            <w:noWrap/>
            <w:vAlign w:val="bottom"/>
            <w:hideMark/>
          </w:tcPr>
          <w:p w14:paraId="2FD567C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1.42   </w:t>
            </w:r>
          </w:p>
        </w:tc>
        <w:tc>
          <w:tcPr>
            <w:tcW w:w="1144" w:type="dxa"/>
            <w:gridSpan w:val="2"/>
            <w:tcBorders>
              <w:top w:val="nil"/>
              <w:left w:val="nil"/>
              <w:bottom w:val="nil"/>
              <w:right w:val="nil"/>
            </w:tcBorders>
            <w:shd w:val="clear" w:color="auto" w:fill="auto"/>
            <w:noWrap/>
            <w:vAlign w:val="bottom"/>
            <w:hideMark/>
          </w:tcPr>
          <w:p w14:paraId="28FC470B"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-0.037      </w:t>
            </w:r>
          </w:p>
        </w:tc>
        <w:tc>
          <w:tcPr>
            <w:tcW w:w="700" w:type="dxa"/>
            <w:tcBorders>
              <w:top w:val="nil"/>
              <w:left w:val="nil"/>
              <w:bottom w:val="nil"/>
              <w:right w:val="nil"/>
            </w:tcBorders>
            <w:shd w:val="clear" w:color="auto" w:fill="auto"/>
            <w:noWrap/>
            <w:vAlign w:val="bottom"/>
            <w:hideMark/>
          </w:tcPr>
          <w:p w14:paraId="713E387A"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2.59   </w:t>
            </w:r>
          </w:p>
        </w:tc>
        <w:tc>
          <w:tcPr>
            <w:tcW w:w="1144" w:type="dxa"/>
            <w:gridSpan w:val="3"/>
            <w:tcBorders>
              <w:top w:val="nil"/>
              <w:left w:val="nil"/>
              <w:bottom w:val="nil"/>
              <w:right w:val="nil"/>
            </w:tcBorders>
            <w:shd w:val="clear" w:color="auto" w:fill="auto"/>
            <w:noWrap/>
            <w:vAlign w:val="bottom"/>
            <w:hideMark/>
          </w:tcPr>
          <w:p w14:paraId="7B098518"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bottom"/>
            <w:hideMark/>
          </w:tcPr>
          <w:p w14:paraId="3743F5C3"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65" w:type="dxa"/>
            <w:gridSpan w:val="4"/>
            <w:tcBorders>
              <w:top w:val="nil"/>
              <w:left w:val="nil"/>
              <w:bottom w:val="nil"/>
              <w:right w:val="nil"/>
            </w:tcBorders>
            <w:shd w:val="clear" w:color="auto" w:fill="auto"/>
            <w:noWrap/>
            <w:vAlign w:val="bottom"/>
            <w:hideMark/>
          </w:tcPr>
          <w:p w14:paraId="4538000C"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823" w:type="dxa"/>
            <w:tcBorders>
              <w:top w:val="nil"/>
              <w:left w:val="nil"/>
              <w:bottom w:val="nil"/>
              <w:right w:val="nil"/>
            </w:tcBorders>
            <w:shd w:val="clear" w:color="auto" w:fill="auto"/>
            <w:noWrap/>
            <w:vAlign w:val="bottom"/>
            <w:hideMark/>
          </w:tcPr>
          <w:p w14:paraId="1066ADC5"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r>
      <w:tr w:rsidR="00D652C8" w:rsidRPr="008775BE" w14:paraId="623373B0" w14:textId="77777777" w:rsidTr="000669E5">
        <w:trPr>
          <w:trHeight w:val="260"/>
        </w:trPr>
        <w:tc>
          <w:tcPr>
            <w:tcW w:w="0" w:type="auto"/>
            <w:tcBorders>
              <w:top w:val="nil"/>
              <w:left w:val="nil"/>
              <w:bottom w:val="nil"/>
              <w:right w:val="nil"/>
            </w:tcBorders>
            <w:shd w:val="clear" w:color="auto" w:fill="auto"/>
            <w:noWrap/>
            <w:vAlign w:val="bottom"/>
            <w:hideMark/>
          </w:tcPr>
          <w:p w14:paraId="7FF578DF"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Z-SCORE</w:t>
            </w:r>
          </w:p>
        </w:tc>
        <w:tc>
          <w:tcPr>
            <w:tcW w:w="1124" w:type="dxa"/>
            <w:gridSpan w:val="2"/>
            <w:tcBorders>
              <w:top w:val="nil"/>
              <w:left w:val="nil"/>
              <w:bottom w:val="nil"/>
              <w:right w:val="nil"/>
            </w:tcBorders>
            <w:shd w:val="clear" w:color="auto" w:fill="auto"/>
            <w:noWrap/>
            <w:vAlign w:val="bottom"/>
            <w:hideMark/>
          </w:tcPr>
          <w:p w14:paraId="072AF714"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-0.180      </w:t>
            </w:r>
          </w:p>
        </w:tc>
        <w:tc>
          <w:tcPr>
            <w:tcW w:w="828" w:type="dxa"/>
            <w:tcBorders>
              <w:top w:val="nil"/>
              <w:left w:val="nil"/>
              <w:bottom w:val="nil"/>
              <w:right w:val="nil"/>
            </w:tcBorders>
            <w:shd w:val="clear" w:color="auto" w:fill="auto"/>
            <w:noWrap/>
            <w:vAlign w:val="bottom"/>
            <w:hideMark/>
          </w:tcPr>
          <w:p w14:paraId="16557BAE"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0.22   </w:t>
            </w:r>
          </w:p>
        </w:tc>
        <w:tc>
          <w:tcPr>
            <w:tcW w:w="1144" w:type="dxa"/>
            <w:gridSpan w:val="2"/>
            <w:tcBorders>
              <w:top w:val="nil"/>
              <w:left w:val="nil"/>
              <w:bottom w:val="nil"/>
              <w:right w:val="nil"/>
            </w:tcBorders>
            <w:shd w:val="clear" w:color="auto" w:fill="auto"/>
            <w:noWrap/>
            <w:vAlign w:val="bottom"/>
            <w:hideMark/>
          </w:tcPr>
          <w:p w14:paraId="68768BA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-0.598      </w:t>
            </w:r>
          </w:p>
        </w:tc>
        <w:tc>
          <w:tcPr>
            <w:tcW w:w="700" w:type="dxa"/>
            <w:tcBorders>
              <w:top w:val="nil"/>
              <w:left w:val="nil"/>
              <w:bottom w:val="nil"/>
              <w:right w:val="nil"/>
            </w:tcBorders>
            <w:shd w:val="clear" w:color="auto" w:fill="auto"/>
            <w:noWrap/>
            <w:vAlign w:val="bottom"/>
            <w:hideMark/>
          </w:tcPr>
          <w:p w14:paraId="26D7ECB8"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1.61   </w:t>
            </w:r>
          </w:p>
        </w:tc>
        <w:tc>
          <w:tcPr>
            <w:tcW w:w="1144" w:type="dxa"/>
            <w:gridSpan w:val="3"/>
            <w:tcBorders>
              <w:top w:val="nil"/>
              <w:left w:val="nil"/>
              <w:bottom w:val="nil"/>
              <w:right w:val="nil"/>
            </w:tcBorders>
            <w:shd w:val="clear" w:color="auto" w:fill="auto"/>
            <w:noWrap/>
            <w:vAlign w:val="bottom"/>
            <w:hideMark/>
          </w:tcPr>
          <w:p w14:paraId="44A11607"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bottom"/>
            <w:hideMark/>
          </w:tcPr>
          <w:p w14:paraId="72D6D372"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65" w:type="dxa"/>
            <w:gridSpan w:val="4"/>
            <w:tcBorders>
              <w:top w:val="nil"/>
              <w:left w:val="nil"/>
              <w:bottom w:val="nil"/>
              <w:right w:val="nil"/>
            </w:tcBorders>
            <w:shd w:val="clear" w:color="auto" w:fill="auto"/>
            <w:noWrap/>
            <w:vAlign w:val="bottom"/>
            <w:hideMark/>
          </w:tcPr>
          <w:p w14:paraId="367AB281"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823" w:type="dxa"/>
            <w:tcBorders>
              <w:top w:val="nil"/>
              <w:left w:val="nil"/>
              <w:bottom w:val="nil"/>
              <w:right w:val="nil"/>
            </w:tcBorders>
            <w:shd w:val="clear" w:color="auto" w:fill="auto"/>
            <w:noWrap/>
            <w:vAlign w:val="bottom"/>
            <w:hideMark/>
          </w:tcPr>
          <w:p w14:paraId="1C1EBC88"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r>
      <w:tr w:rsidR="00D652C8" w:rsidRPr="008775BE" w14:paraId="6C3A91E3" w14:textId="77777777" w:rsidTr="000669E5">
        <w:trPr>
          <w:trHeight w:val="260"/>
        </w:trPr>
        <w:tc>
          <w:tcPr>
            <w:tcW w:w="0" w:type="auto"/>
            <w:tcBorders>
              <w:top w:val="nil"/>
              <w:left w:val="nil"/>
              <w:bottom w:val="nil"/>
              <w:right w:val="nil"/>
            </w:tcBorders>
            <w:shd w:val="clear" w:color="auto" w:fill="auto"/>
            <w:noWrap/>
            <w:vAlign w:val="bottom"/>
            <w:hideMark/>
          </w:tcPr>
          <w:p w14:paraId="6AEA0F4F"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DISCONTINUED</w:t>
            </w:r>
          </w:p>
        </w:tc>
        <w:tc>
          <w:tcPr>
            <w:tcW w:w="1124" w:type="dxa"/>
            <w:gridSpan w:val="2"/>
            <w:tcBorders>
              <w:top w:val="nil"/>
              <w:left w:val="nil"/>
              <w:bottom w:val="nil"/>
              <w:right w:val="nil"/>
            </w:tcBorders>
            <w:shd w:val="clear" w:color="auto" w:fill="auto"/>
            <w:noWrap/>
            <w:vAlign w:val="bottom"/>
            <w:hideMark/>
          </w:tcPr>
          <w:p w14:paraId="305A4AE0"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2.810**  </w:t>
            </w:r>
          </w:p>
        </w:tc>
        <w:tc>
          <w:tcPr>
            <w:tcW w:w="828" w:type="dxa"/>
            <w:tcBorders>
              <w:top w:val="nil"/>
              <w:left w:val="nil"/>
              <w:bottom w:val="nil"/>
              <w:right w:val="nil"/>
            </w:tcBorders>
            <w:shd w:val="clear" w:color="auto" w:fill="auto"/>
            <w:noWrap/>
            <w:vAlign w:val="bottom"/>
            <w:hideMark/>
          </w:tcPr>
          <w:p w14:paraId="12F752E9"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4.57   </w:t>
            </w:r>
          </w:p>
        </w:tc>
        <w:tc>
          <w:tcPr>
            <w:tcW w:w="1144" w:type="dxa"/>
            <w:gridSpan w:val="2"/>
            <w:tcBorders>
              <w:top w:val="nil"/>
              <w:left w:val="nil"/>
              <w:bottom w:val="nil"/>
              <w:right w:val="nil"/>
            </w:tcBorders>
            <w:shd w:val="clear" w:color="auto" w:fill="auto"/>
            <w:noWrap/>
            <w:vAlign w:val="bottom"/>
            <w:hideMark/>
          </w:tcPr>
          <w:p w14:paraId="35347ED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2.953**  </w:t>
            </w:r>
          </w:p>
        </w:tc>
        <w:tc>
          <w:tcPr>
            <w:tcW w:w="700" w:type="dxa"/>
            <w:tcBorders>
              <w:top w:val="nil"/>
              <w:left w:val="nil"/>
              <w:bottom w:val="nil"/>
              <w:right w:val="nil"/>
            </w:tcBorders>
            <w:shd w:val="clear" w:color="auto" w:fill="auto"/>
            <w:noWrap/>
            <w:vAlign w:val="bottom"/>
            <w:hideMark/>
          </w:tcPr>
          <w:p w14:paraId="39F237C0"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6.25   </w:t>
            </w:r>
          </w:p>
        </w:tc>
        <w:tc>
          <w:tcPr>
            <w:tcW w:w="1144" w:type="dxa"/>
            <w:gridSpan w:val="3"/>
            <w:tcBorders>
              <w:top w:val="nil"/>
              <w:left w:val="nil"/>
              <w:bottom w:val="nil"/>
              <w:right w:val="nil"/>
            </w:tcBorders>
            <w:shd w:val="clear" w:color="auto" w:fill="auto"/>
            <w:noWrap/>
            <w:vAlign w:val="bottom"/>
            <w:hideMark/>
          </w:tcPr>
          <w:p w14:paraId="1C518516"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p>
        </w:tc>
        <w:tc>
          <w:tcPr>
            <w:tcW w:w="663" w:type="dxa"/>
            <w:tcBorders>
              <w:top w:val="nil"/>
              <w:left w:val="nil"/>
              <w:bottom w:val="nil"/>
              <w:right w:val="nil"/>
            </w:tcBorders>
            <w:shd w:val="clear" w:color="auto" w:fill="auto"/>
            <w:noWrap/>
            <w:vAlign w:val="bottom"/>
            <w:hideMark/>
          </w:tcPr>
          <w:p w14:paraId="7E6B69A4"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65" w:type="dxa"/>
            <w:gridSpan w:val="4"/>
            <w:tcBorders>
              <w:top w:val="nil"/>
              <w:left w:val="nil"/>
              <w:bottom w:val="nil"/>
              <w:right w:val="nil"/>
            </w:tcBorders>
            <w:shd w:val="clear" w:color="auto" w:fill="auto"/>
            <w:noWrap/>
            <w:vAlign w:val="bottom"/>
            <w:hideMark/>
          </w:tcPr>
          <w:p w14:paraId="79C0B1CF"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823" w:type="dxa"/>
            <w:tcBorders>
              <w:top w:val="nil"/>
              <w:left w:val="nil"/>
              <w:bottom w:val="nil"/>
              <w:right w:val="nil"/>
            </w:tcBorders>
            <w:shd w:val="clear" w:color="auto" w:fill="auto"/>
            <w:noWrap/>
            <w:vAlign w:val="bottom"/>
            <w:hideMark/>
          </w:tcPr>
          <w:p w14:paraId="70724E81"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r>
      <w:tr w:rsidR="00D652C8" w:rsidRPr="008775BE" w14:paraId="73007804" w14:textId="77777777" w:rsidTr="000669E5">
        <w:trPr>
          <w:trHeight w:val="260"/>
        </w:trPr>
        <w:tc>
          <w:tcPr>
            <w:tcW w:w="0" w:type="auto"/>
            <w:tcBorders>
              <w:top w:val="nil"/>
              <w:left w:val="nil"/>
              <w:bottom w:val="nil"/>
              <w:right w:val="nil"/>
            </w:tcBorders>
            <w:shd w:val="clear" w:color="auto" w:fill="auto"/>
            <w:noWrap/>
            <w:vAlign w:val="bottom"/>
            <w:hideMark/>
          </w:tcPr>
          <w:p w14:paraId="1DFBA861"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r w:rsidRPr="008775BE">
              <w:rPr>
                <w:rFonts w:ascii="Times New Roman" w:eastAsia="Times New Roman" w:hAnsi="Times New Roman" w:cs="Times New Roman"/>
                <w:i/>
                <w:iCs/>
                <w:color w:val="000000"/>
                <w:sz w:val="18"/>
                <w:szCs w:val="18"/>
              </w:rPr>
              <w:t>BIG4</w:t>
            </w:r>
          </w:p>
        </w:tc>
        <w:tc>
          <w:tcPr>
            <w:tcW w:w="1124" w:type="dxa"/>
            <w:gridSpan w:val="2"/>
            <w:tcBorders>
              <w:top w:val="nil"/>
              <w:left w:val="nil"/>
              <w:bottom w:val="nil"/>
              <w:right w:val="nil"/>
            </w:tcBorders>
            <w:shd w:val="clear" w:color="auto" w:fill="auto"/>
            <w:noWrap/>
            <w:vAlign w:val="bottom"/>
            <w:hideMark/>
          </w:tcPr>
          <w:p w14:paraId="5A774EE7" w14:textId="77777777" w:rsidR="00D652C8" w:rsidRPr="008775BE" w:rsidRDefault="00D652C8" w:rsidP="000669E5">
            <w:pPr>
              <w:spacing w:after="0" w:line="240" w:lineRule="auto"/>
              <w:ind w:firstLineChars="100" w:firstLine="180"/>
              <w:rPr>
                <w:rFonts w:ascii="Times New Roman" w:eastAsia="Times New Roman" w:hAnsi="Times New Roman" w:cs="Times New Roman"/>
                <w:i/>
                <w:iCs/>
                <w:color w:val="000000"/>
                <w:sz w:val="18"/>
                <w:szCs w:val="18"/>
              </w:rPr>
            </w:pPr>
          </w:p>
        </w:tc>
        <w:tc>
          <w:tcPr>
            <w:tcW w:w="828" w:type="dxa"/>
            <w:tcBorders>
              <w:top w:val="nil"/>
              <w:left w:val="nil"/>
              <w:bottom w:val="nil"/>
              <w:right w:val="nil"/>
            </w:tcBorders>
            <w:shd w:val="clear" w:color="auto" w:fill="auto"/>
            <w:noWrap/>
            <w:vAlign w:val="bottom"/>
            <w:hideMark/>
          </w:tcPr>
          <w:p w14:paraId="2E1AE091" w14:textId="77777777" w:rsidR="00D652C8" w:rsidRPr="008775BE" w:rsidRDefault="00D652C8" w:rsidP="000669E5">
            <w:pPr>
              <w:spacing w:after="0" w:line="240" w:lineRule="auto"/>
              <w:jc w:val="center"/>
              <w:rPr>
                <w:rFonts w:ascii="Times New Roman" w:eastAsia="Times New Roman" w:hAnsi="Times New Roman" w:cs="Times New Roman"/>
                <w:sz w:val="18"/>
                <w:szCs w:val="18"/>
              </w:rPr>
            </w:pPr>
          </w:p>
        </w:tc>
        <w:tc>
          <w:tcPr>
            <w:tcW w:w="1144" w:type="dxa"/>
            <w:gridSpan w:val="2"/>
            <w:tcBorders>
              <w:top w:val="nil"/>
              <w:left w:val="nil"/>
              <w:bottom w:val="nil"/>
              <w:right w:val="nil"/>
            </w:tcBorders>
            <w:shd w:val="clear" w:color="auto" w:fill="auto"/>
            <w:noWrap/>
            <w:vAlign w:val="bottom"/>
            <w:hideMark/>
          </w:tcPr>
          <w:p w14:paraId="5825DCB0"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700" w:type="dxa"/>
            <w:tcBorders>
              <w:top w:val="nil"/>
              <w:left w:val="nil"/>
              <w:bottom w:val="nil"/>
              <w:right w:val="nil"/>
            </w:tcBorders>
            <w:shd w:val="clear" w:color="auto" w:fill="auto"/>
            <w:noWrap/>
            <w:vAlign w:val="bottom"/>
            <w:hideMark/>
          </w:tcPr>
          <w:p w14:paraId="3F9026C0" w14:textId="77777777" w:rsidR="00D652C8" w:rsidRPr="008775BE" w:rsidRDefault="00D652C8" w:rsidP="000669E5">
            <w:pPr>
              <w:spacing w:after="0" w:line="240" w:lineRule="auto"/>
              <w:jc w:val="center"/>
              <w:rPr>
                <w:rFonts w:ascii="Times New Roman" w:eastAsia="Times New Roman" w:hAnsi="Times New Roman" w:cs="Times New Roman"/>
                <w:sz w:val="18"/>
                <w:szCs w:val="18"/>
              </w:rPr>
            </w:pPr>
          </w:p>
        </w:tc>
        <w:tc>
          <w:tcPr>
            <w:tcW w:w="1144" w:type="dxa"/>
            <w:gridSpan w:val="3"/>
            <w:tcBorders>
              <w:top w:val="nil"/>
              <w:left w:val="nil"/>
              <w:bottom w:val="nil"/>
              <w:right w:val="nil"/>
            </w:tcBorders>
            <w:shd w:val="clear" w:color="auto" w:fill="auto"/>
            <w:noWrap/>
            <w:vAlign w:val="bottom"/>
            <w:hideMark/>
          </w:tcPr>
          <w:p w14:paraId="182B7349"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0.802      </w:t>
            </w:r>
          </w:p>
        </w:tc>
        <w:tc>
          <w:tcPr>
            <w:tcW w:w="663" w:type="dxa"/>
            <w:tcBorders>
              <w:top w:val="nil"/>
              <w:left w:val="nil"/>
              <w:bottom w:val="nil"/>
              <w:right w:val="nil"/>
            </w:tcBorders>
            <w:shd w:val="clear" w:color="auto" w:fill="auto"/>
            <w:noWrap/>
            <w:vAlign w:val="bottom"/>
            <w:hideMark/>
          </w:tcPr>
          <w:p w14:paraId="55F281B3"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1.93   </w:t>
            </w:r>
          </w:p>
        </w:tc>
        <w:tc>
          <w:tcPr>
            <w:tcW w:w="965" w:type="dxa"/>
            <w:gridSpan w:val="4"/>
            <w:tcBorders>
              <w:top w:val="nil"/>
              <w:left w:val="nil"/>
              <w:bottom w:val="nil"/>
              <w:right w:val="nil"/>
            </w:tcBorders>
            <w:shd w:val="clear" w:color="auto" w:fill="auto"/>
            <w:noWrap/>
            <w:vAlign w:val="bottom"/>
            <w:hideMark/>
          </w:tcPr>
          <w:p w14:paraId="5366831F"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0.375      </w:t>
            </w:r>
          </w:p>
        </w:tc>
        <w:tc>
          <w:tcPr>
            <w:tcW w:w="823" w:type="dxa"/>
            <w:tcBorders>
              <w:top w:val="nil"/>
              <w:left w:val="nil"/>
              <w:bottom w:val="nil"/>
              <w:right w:val="nil"/>
            </w:tcBorders>
            <w:shd w:val="clear" w:color="auto" w:fill="auto"/>
            <w:noWrap/>
            <w:vAlign w:val="bottom"/>
            <w:hideMark/>
          </w:tcPr>
          <w:p w14:paraId="1EC126F6"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0.30   </w:t>
            </w:r>
          </w:p>
        </w:tc>
      </w:tr>
      <w:tr w:rsidR="00D652C8" w:rsidRPr="008775BE" w14:paraId="1A0C09E7" w14:textId="77777777" w:rsidTr="000669E5">
        <w:trPr>
          <w:trHeight w:val="260"/>
        </w:trPr>
        <w:tc>
          <w:tcPr>
            <w:tcW w:w="0" w:type="auto"/>
            <w:tcBorders>
              <w:top w:val="nil"/>
              <w:left w:val="nil"/>
              <w:bottom w:val="nil"/>
              <w:right w:val="nil"/>
            </w:tcBorders>
            <w:shd w:val="clear" w:color="auto" w:fill="auto"/>
            <w:noWrap/>
            <w:vAlign w:val="bottom"/>
            <w:hideMark/>
          </w:tcPr>
          <w:p w14:paraId="74092AAF" w14:textId="77777777" w:rsidR="00D652C8" w:rsidRPr="008775BE" w:rsidRDefault="00D652C8" w:rsidP="000669E5">
            <w:pPr>
              <w:spacing w:after="0" w:line="240" w:lineRule="auto"/>
              <w:jc w:val="right"/>
              <w:rPr>
                <w:rFonts w:ascii="Times New Roman" w:eastAsia="Times New Roman" w:hAnsi="Times New Roman" w:cs="Times New Roman"/>
                <w:color w:val="000000"/>
                <w:sz w:val="18"/>
                <w:szCs w:val="18"/>
              </w:rPr>
            </w:pPr>
          </w:p>
        </w:tc>
        <w:tc>
          <w:tcPr>
            <w:tcW w:w="1124" w:type="dxa"/>
            <w:gridSpan w:val="2"/>
            <w:tcBorders>
              <w:top w:val="nil"/>
              <w:left w:val="nil"/>
              <w:bottom w:val="nil"/>
              <w:right w:val="nil"/>
            </w:tcBorders>
            <w:shd w:val="clear" w:color="auto" w:fill="auto"/>
            <w:noWrap/>
            <w:vAlign w:val="bottom"/>
            <w:hideMark/>
          </w:tcPr>
          <w:p w14:paraId="1EB777E2"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828" w:type="dxa"/>
            <w:tcBorders>
              <w:top w:val="nil"/>
              <w:left w:val="nil"/>
              <w:bottom w:val="nil"/>
              <w:right w:val="nil"/>
            </w:tcBorders>
            <w:shd w:val="clear" w:color="auto" w:fill="auto"/>
            <w:noWrap/>
            <w:vAlign w:val="bottom"/>
            <w:hideMark/>
          </w:tcPr>
          <w:p w14:paraId="7F7ED9C3" w14:textId="77777777" w:rsidR="00D652C8" w:rsidRPr="008775BE" w:rsidRDefault="00D652C8" w:rsidP="000669E5">
            <w:pPr>
              <w:spacing w:after="0" w:line="240" w:lineRule="auto"/>
              <w:jc w:val="center"/>
              <w:rPr>
                <w:rFonts w:ascii="Times New Roman" w:eastAsia="Times New Roman" w:hAnsi="Times New Roman" w:cs="Times New Roman"/>
                <w:sz w:val="18"/>
                <w:szCs w:val="18"/>
              </w:rPr>
            </w:pPr>
          </w:p>
        </w:tc>
        <w:tc>
          <w:tcPr>
            <w:tcW w:w="1144" w:type="dxa"/>
            <w:gridSpan w:val="2"/>
            <w:tcBorders>
              <w:top w:val="nil"/>
              <w:left w:val="nil"/>
              <w:bottom w:val="nil"/>
              <w:right w:val="nil"/>
            </w:tcBorders>
            <w:shd w:val="clear" w:color="auto" w:fill="auto"/>
            <w:noWrap/>
            <w:vAlign w:val="bottom"/>
            <w:hideMark/>
          </w:tcPr>
          <w:p w14:paraId="407504AD" w14:textId="77777777" w:rsidR="00D652C8" w:rsidRPr="008775BE" w:rsidRDefault="00D652C8" w:rsidP="000669E5">
            <w:pPr>
              <w:spacing w:after="0" w:line="240" w:lineRule="auto"/>
              <w:jc w:val="center"/>
              <w:rPr>
                <w:rFonts w:ascii="Times New Roman" w:eastAsia="Times New Roman" w:hAnsi="Times New Roman" w:cs="Times New Roman"/>
                <w:sz w:val="18"/>
                <w:szCs w:val="18"/>
              </w:rPr>
            </w:pPr>
          </w:p>
        </w:tc>
        <w:tc>
          <w:tcPr>
            <w:tcW w:w="700" w:type="dxa"/>
            <w:tcBorders>
              <w:top w:val="nil"/>
              <w:left w:val="nil"/>
              <w:bottom w:val="nil"/>
              <w:right w:val="nil"/>
            </w:tcBorders>
            <w:shd w:val="clear" w:color="auto" w:fill="auto"/>
            <w:noWrap/>
            <w:vAlign w:val="bottom"/>
            <w:hideMark/>
          </w:tcPr>
          <w:p w14:paraId="64413DFB"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1144" w:type="dxa"/>
            <w:gridSpan w:val="3"/>
            <w:tcBorders>
              <w:top w:val="nil"/>
              <w:left w:val="nil"/>
              <w:bottom w:val="nil"/>
              <w:right w:val="nil"/>
            </w:tcBorders>
            <w:shd w:val="clear" w:color="auto" w:fill="auto"/>
            <w:noWrap/>
            <w:vAlign w:val="bottom"/>
            <w:hideMark/>
          </w:tcPr>
          <w:p w14:paraId="35F3BDEC"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663" w:type="dxa"/>
            <w:tcBorders>
              <w:top w:val="nil"/>
              <w:left w:val="nil"/>
              <w:bottom w:val="nil"/>
              <w:right w:val="nil"/>
            </w:tcBorders>
            <w:shd w:val="clear" w:color="auto" w:fill="auto"/>
            <w:noWrap/>
            <w:vAlign w:val="bottom"/>
            <w:hideMark/>
          </w:tcPr>
          <w:p w14:paraId="62C9C440"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c>
          <w:tcPr>
            <w:tcW w:w="965" w:type="dxa"/>
            <w:gridSpan w:val="4"/>
            <w:tcBorders>
              <w:top w:val="nil"/>
              <w:left w:val="nil"/>
              <w:bottom w:val="nil"/>
              <w:right w:val="nil"/>
            </w:tcBorders>
            <w:shd w:val="clear" w:color="auto" w:fill="auto"/>
            <w:noWrap/>
            <w:vAlign w:val="bottom"/>
            <w:hideMark/>
          </w:tcPr>
          <w:p w14:paraId="717AA9F5" w14:textId="77777777" w:rsidR="00D652C8" w:rsidRPr="008775BE" w:rsidRDefault="00D652C8" w:rsidP="000669E5">
            <w:pPr>
              <w:spacing w:after="0" w:line="240" w:lineRule="auto"/>
              <w:rPr>
                <w:rFonts w:ascii="Times New Roman" w:eastAsia="Times New Roman" w:hAnsi="Times New Roman" w:cs="Times New Roman"/>
                <w:sz w:val="18"/>
                <w:szCs w:val="18"/>
              </w:rPr>
            </w:pPr>
          </w:p>
        </w:tc>
        <w:tc>
          <w:tcPr>
            <w:tcW w:w="823" w:type="dxa"/>
            <w:tcBorders>
              <w:top w:val="nil"/>
              <w:left w:val="nil"/>
              <w:bottom w:val="nil"/>
              <w:right w:val="nil"/>
            </w:tcBorders>
            <w:shd w:val="clear" w:color="auto" w:fill="auto"/>
            <w:noWrap/>
            <w:vAlign w:val="bottom"/>
            <w:hideMark/>
          </w:tcPr>
          <w:p w14:paraId="09D70CA0" w14:textId="77777777" w:rsidR="00D652C8" w:rsidRPr="008775BE" w:rsidRDefault="00D652C8" w:rsidP="000669E5">
            <w:pPr>
              <w:spacing w:after="0" w:line="240" w:lineRule="auto"/>
              <w:jc w:val="right"/>
              <w:rPr>
                <w:rFonts w:ascii="Times New Roman" w:eastAsia="Times New Roman" w:hAnsi="Times New Roman" w:cs="Times New Roman"/>
                <w:sz w:val="18"/>
                <w:szCs w:val="18"/>
              </w:rPr>
            </w:pPr>
          </w:p>
        </w:tc>
      </w:tr>
      <w:tr w:rsidR="00D652C8" w:rsidRPr="008775BE" w14:paraId="2024F8C7" w14:textId="77777777" w:rsidTr="000669E5">
        <w:trPr>
          <w:trHeight w:val="260"/>
        </w:trPr>
        <w:tc>
          <w:tcPr>
            <w:tcW w:w="0" w:type="auto"/>
            <w:tcBorders>
              <w:top w:val="nil"/>
              <w:left w:val="nil"/>
              <w:bottom w:val="nil"/>
              <w:right w:val="nil"/>
            </w:tcBorders>
            <w:shd w:val="clear" w:color="auto" w:fill="auto"/>
            <w:noWrap/>
            <w:vAlign w:val="bottom"/>
            <w:hideMark/>
          </w:tcPr>
          <w:p w14:paraId="5AE4AA19"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Industry Fixed Effects</w:t>
            </w:r>
          </w:p>
        </w:tc>
        <w:tc>
          <w:tcPr>
            <w:tcW w:w="1952" w:type="dxa"/>
            <w:gridSpan w:val="3"/>
            <w:tcBorders>
              <w:top w:val="nil"/>
              <w:left w:val="nil"/>
              <w:bottom w:val="nil"/>
              <w:right w:val="nil"/>
            </w:tcBorders>
            <w:shd w:val="clear" w:color="auto" w:fill="auto"/>
            <w:noWrap/>
            <w:vAlign w:val="bottom"/>
            <w:hideMark/>
          </w:tcPr>
          <w:p w14:paraId="115E705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Yes</w:t>
            </w:r>
          </w:p>
        </w:tc>
        <w:tc>
          <w:tcPr>
            <w:tcW w:w="1844" w:type="dxa"/>
            <w:gridSpan w:val="3"/>
            <w:tcBorders>
              <w:top w:val="nil"/>
              <w:left w:val="nil"/>
              <w:bottom w:val="nil"/>
              <w:right w:val="nil"/>
            </w:tcBorders>
            <w:shd w:val="clear" w:color="auto" w:fill="auto"/>
            <w:noWrap/>
            <w:vAlign w:val="bottom"/>
            <w:hideMark/>
          </w:tcPr>
          <w:p w14:paraId="6F08FC6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Yes</w:t>
            </w:r>
          </w:p>
        </w:tc>
        <w:tc>
          <w:tcPr>
            <w:tcW w:w="1807" w:type="dxa"/>
            <w:gridSpan w:val="4"/>
            <w:tcBorders>
              <w:top w:val="nil"/>
              <w:left w:val="nil"/>
              <w:bottom w:val="nil"/>
              <w:right w:val="nil"/>
            </w:tcBorders>
            <w:shd w:val="clear" w:color="auto" w:fill="auto"/>
            <w:noWrap/>
            <w:vAlign w:val="bottom"/>
            <w:hideMark/>
          </w:tcPr>
          <w:p w14:paraId="46C878E6"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Yes</w:t>
            </w:r>
          </w:p>
        </w:tc>
        <w:tc>
          <w:tcPr>
            <w:tcW w:w="1788" w:type="dxa"/>
            <w:gridSpan w:val="5"/>
            <w:tcBorders>
              <w:top w:val="nil"/>
              <w:left w:val="nil"/>
              <w:bottom w:val="nil"/>
              <w:right w:val="nil"/>
            </w:tcBorders>
            <w:shd w:val="clear" w:color="auto" w:fill="auto"/>
            <w:noWrap/>
            <w:vAlign w:val="bottom"/>
            <w:hideMark/>
          </w:tcPr>
          <w:p w14:paraId="13D2FC47"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Yes</w:t>
            </w:r>
          </w:p>
        </w:tc>
      </w:tr>
      <w:tr w:rsidR="00D652C8" w:rsidRPr="008775BE" w14:paraId="5331B650" w14:textId="77777777" w:rsidTr="000669E5">
        <w:trPr>
          <w:trHeight w:val="260"/>
        </w:trPr>
        <w:tc>
          <w:tcPr>
            <w:tcW w:w="0" w:type="auto"/>
            <w:tcBorders>
              <w:top w:val="nil"/>
              <w:left w:val="nil"/>
              <w:bottom w:val="nil"/>
              <w:right w:val="nil"/>
            </w:tcBorders>
            <w:shd w:val="clear" w:color="auto" w:fill="auto"/>
            <w:noWrap/>
            <w:vAlign w:val="bottom"/>
            <w:hideMark/>
          </w:tcPr>
          <w:p w14:paraId="45689A9F"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Observations</w:t>
            </w:r>
          </w:p>
        </w:tc>
        <w:tc>
          <w:tcPr>
            <w:tcW w:w="1952" w:type="dxa"/>
            <w:gridSpan w:val="3"/>
            <w:tcBorders>
              <w:top w:val="nil"/>
              <w:left w:val="nil"/>
              <w:bottom w:val="nil"/>
              <w:right w:val="nil"/>
            </w:tcBorders>
            <w:shd w:val="clear" w:color="auto" w:fill="auto"/>
            <w:noWrap/>
            <w:vAlign w:val="bottom"/>
            <w:hideMark/>
          </w:tcPr>
          <w:p w14:paraId="5900A5A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290</w:t>
            </w:r>
          </w:p>
        </w:tc>
        <w:tc>
          <w:tcPr>
            <w:tcW w:w="1844" w:type="dxa"/>
            <w:gridSpan w:val="3"/>
            <w:tcBorders>
              <w:top w:val="nil"/>
              <w:left w:val="nil"/>
              <w:bottom w:val="nil"/>
              <w:right w:val="nil"/>
            </w:tcBorders>
            <w:shd w:val="clear" w:color="auto" w:fill="auto"/>
            <w:noWrap/>
            <w:vAlign w:val="bottom"/>
            <w:hideMark/>
          </w:tcPr>
          <w:p w14:paraId="08E07E25"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290</w:t>
            </w:r>
          </w:p>
        </w:tc>
        <w:tc>
          <w:tcPr>
            <w:tcW w:w="1807" w:type="dxa"/>
            <w:gridSpan w:val="4"/>
            <w:tcBorders>
              <w:top w:val="nil"/>
              <w:left w:val="nil"/>
              <w:bottom w:val="nil"/>
              <w:right w:val="nil"/>
            </w:tcBorders>
            <w:shd w:val="clear" w:color="auto" w:fill="auto"/>
            <w:noWrap/>
            <w:vAlign w:val="bottom"/>
            <w:hideMark/>
          </w:tcPr>
          <w:p w14:paraId="27540FEF"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192</w:t>
            </w:r>
          </w:p>
        </w:tc>
        <w:tc>
          <w:tcPr>
            <w:tcW w:w="1788" w:type="dxa"/>
            <w:gridSpan w:val="5"/>
            <w:tcBorders>
              <w:top w:val="nil"/>
              <w:left w:val="nil"/>
              <w:bottom w:val="nil"/>
              <w:right w:val="nil"/>
            </w:tcBorders>
            <w:shd w:val="clear" w:color="auto" w:fill="auto"/>
            <w:noWrap/>
            <w:vAlign w:val="bottom"/>
            <w:hideMark/>
          </w:tcPr>
          <w:p w14:paraId="5EF40A08"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192</w:t>
            </w:r>
          </w:p>
        </w:tc>
      </w:tr>
      <w:tr w:rsidR="00D652C8" w:rsidRPr="008775BE" w14:paraId="24598264" w14:textId="77777777" w:rsidTr="000669E5">
        <w:trPr>
          <w:trHeight w:val="310"/>
        </w:trPr>
        <w:tc>
          <w:tcPr>
            <w:tcW w:w="0" w:type="auto"/>
            <w:tcBorders>
              <w:top w:val="nil"/>
              <w:left w:val="nil"/>
              <w:bottom w:val="nil"/>
              <w:right w:val="nil"/>
            </w:tcBorders>
            <w:shd w:val="clear" w:color="auto" w:fill="auto"/>
            <w:noWrap/>
            <w:vAlign w:val="bottom"/>
            <w:hideMark/>
          </w:tcPr>
          <w:p w14:paraId="352BF9FF"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Likelihood Ratio</w:t>
            </w:r>
          </w:p>
        </w:tc>
        <w:tc>
          <w:tcPr>
            <w:tcW w:w="1952" w:type="dxa"/>
            <w:gridSpan w:val="3"/>
            <w:tcBorders>
              <w:top w:val="nil"/>
              <w:left w:val="nil"/>
              <w:bottom w:val="nil"/>
              <w:right w:val="nil"/>
            </w:tcBorders>
            <w:shd w:val="clear" w:color="auto" w:fill="auto"/>
            <w:noWrap/>
            <w:vAlign w:val="center"/>
            <w:hideMark/>
          </w:tcPr>
          <w:p w14:paraId="73228ACB"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62.59***</w:t>
            </w:r>
          </w:p>
        </w:tc>
        <w:tc>
          <w:tcPr>
            <w:tcW w:w="1844" w:type="dxa"/>
            <w:gridSpan w:val="3"/>
            <w:tcBorders>
              <w:top w:val="nil"/>
              <w:left w:val="nil"/>
              <w:bottom w:val="nil"/>
              <w:right w:val="nil"/>
            </w:tcBorders>
            <w:shd w:val="clear" w:color="auto" w:fill="auto"/>
            <w:noWrap/>
            <w:vAlign w:val="center"/>
            <w:hideMark/>
          </w:tcPr>
          <w:p w14:paraId="0F3381D0"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148.06***</w:t>
            </w:r>
          </w:p>
        </w:tc>
        <w:tc>
          <w:tcPr>
            <w:tcW w:w="1807" w:type="dxa"/>
            <w:gridSpan w:val="4"/>
            <w:tcBorders>
              <w:top w:val="nil"/>
              <w:left w:val="nil"/>
              <w:bottom w:val="nil"/>
              <w:right w:val="nil"/>
            </w:tcBorders>
            <w:shd w:val="clear" w:color="auto" w:fill="auto"/>
            <w:noWrap/>
            <w:vAlign w:val="center"/>
            <w:hideMark/>
          </w:tcPr>
          <w:p w14:paraId="4607C9FA"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37.41***</w:t>
            </w:r>
          </w:p>
        </w:tc>
        <w:tc>
          <w:tcPr>
            <w:tcW w:w="1788" w:type="dxa"/>
            <w:gridSpan w:val="5"/>
            <w:tcBorders>
              <w:top w:val="nil"/>
              <w:left w:val="nil"/>
              <w:bottom w:val="nil"/>
              <w:right w:val="nil"/>
            </w:tcBorders>
            <w:shd w:val="clear" w:color="auto" w:fill="auto"/>
            <w:noWrap/>
            <w:vAlign w:val="center"/>
            <w:hideMark/>
          </w:tcPr>
          <w:p w14:paraId="33DC4540"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 xml:space="preserve">      57.61***</w:t>
            </w:r>
          </w:p>
        </w:tc>
      </w:tr>
      <w:tr w:rsidR="00D652C8" w:rsidRPr="008775BE" w14:paraId="48896D1C" w14:textId="77777777" w:rsidTr="000669E5">
        <w:trPr>
          <w:trHeight w:val="320"/>
        </w:trPr>
        <w:tc>
          <w:tcPr>
            <w:tcW w:w="0" w:type="auto"/>
            <w:tcBorders>
              <w:top w:val="nil"/>
              <w:left w:val="nil"/>
              <w:bottom w:val="single" w:sz="8" w:space="0" w:color="auto"/>
              <w:right w:val="nil"/>
            </w:tcBorders>
            <w:shd w:val="clear" w:color="auto" w:fill="auto"/>
            <w:noWrap/>
            <w:vAlign w:val="bottom"/>
            <w:hideMark/>
          </w:tcPr>
          <w:p w14:paraId="18EBFD83" w14:textId="77777777" w:rsidR="00D652C8" w:rsidRPr="008775BE" w:rsidRDefault="00D652C8" w:rsidP="000669E5">
            <w:pPr>
              <w:spacing w:after="0" w:line="240" w:lineRule="auto"/>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Pseudo R</w:t>
            </w:r>
            <w:r w:rsidRPr="008775BE">
              <w:rPr>
                <w:rFonts w:ascii="Times New Roman" w:eastAsia="Times New Roman" w:hAnsi="Times New Roman" w:cs="Times New Roman"/>
                <w:color w:val="000000"/>
                <w:sz w:val="18"/>
                <w:szCs w:val="18"/>
                <w:vertAlign w:val="superscript"/>
              </w:rPr>
              <w:t>2</w:t>
            </w:r>
          </w:p>
        </w:tc>
        <w:tc>
          <w:tcPr>
            <w:tcW w:w="1952" w:type="dxa"/>
            <w:gridSpan w:val="3"/>
            <w:tcBorders>
              <w:top w:val="nil"/>
              <w:left w:val="nil"/>
              <w:bottom w:val="single" w:sz="8" w:space="0" w:color="auto"/>
              <w:right w:val="nil"/>
            </w:tcBorders>
            <w:shd w:val="clear" w:color="auto" w:fill="auto"/>
            <w:noWrap/>
            <w:vAlign w:val="bottom"/>
            <w:hideMark/>
          </w:tcPr>
          <w:p w14:paraId="3069537F"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0.19</w:t>
            </w:r>
          </w:p>
        </w:tc>
        <w:tc>
          <w:tcPr>
            <w:tcW w:w="1844" w:type="dxa"/>
            <w:gridSpan w:val="3"/>
            <w:tcBorders>
              <w:top w:val="nil"/>
              <w:left w:val="nil"/>
              <w:bottom w:val="single" w:sz="8" w:space="0" w:color="auto"/>
              <w:right w:val="nil"/>
            </w:tcBorders>
            <w:shd w:val="clear" w:color="auto" w:fill="auto"/>
            <w:noWrap/>
            <w:vAlign w:val="bottom"/>
            <w:hideMark/>
          </w:tcPr>
          <w:p w14:paraId="53B4FEDC"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0.23</w:t>
            </w:r>
          </w:p>
        </w:tc>
        <w:tc>
          <w:tcPr>
            <w:tcW w:w="1807" w:type="dxa"/>
            <w:gridSpan w:val="4"/>
            <w:tcBorders>
              <w:top w:val="nil"/>
              <w:left w:val="nil"/>
              <w:bottom w:val="single" w:sz="8" w:space="0" w:color="auto"/>
              <w:right w:val="nil"/>
            </w:tcBorders>
            <w:shd w:val="clear" w:color="auto" w:fill="auto"/>
            <w:noWrap/>
            <w:vAlign w:val="bottom"/>
            <w:hideMark/>
          </w:tcPr>
          <w:p w14:paraId="61A221F3"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0.18</w:t>
            </w:r>
          </w:p>
        </w:tc>
        <w:tc>
          <w:tcPr>
            <w:tcW w:w="1788" w:type="dxa"/>
            <w:gridSpan w:val="5"/>
            <w:tcBorders>
              <w:top w:val="nil"/>
              <w:left w:val="nil"/>
              <w:bottom w:val="single" w:sz="8" w:space="0" w:color="auto"/>
              <w:right w:val="nil"/>
            </w:tcBorders>
            <w:shd w:val="clear" w:color="auto" w:fill="auto"/>
            <w:noWrap/>
            <w:vAlign w:val="bottom"/>
            <w:hideMark/>
          </w:tcPr>
          <w:p w14:paraId="23FD53ED" w14:textId="77777777" w:rsidR="00D652C8" w:rsidRPr="008775BE" w:rsidRDefault="00D652C8" w:rsidP="000669E5">
            <w:pPr>
              <w:spacing w:after="0" w:line="240" w:lineRule="auto"/>
              <w:jc w:val="center"/>
              <w:rPr>
                <w:rFonts w:ascii="Times New Roman" w:eastAsia="Times New Roman" w:hAnsi="Times New Roman" w:cs="Times New Roman"/>
                <w:color w:val="000000"/>
                <w:sz w:val="18"/>
                <w:szCs w:val="18"/>
              </w:rPr>
            </w:pPr>
            <w:r w:rsidRPr="008775BE">
              <w:rPr>
                <w:rFonts w:ascii="Times New Roman" w:eastAsia="Times New Roman" w:hAnsi="Times New Roman" w:cs="Times New Roman"/>
                <w:color w:val="000000"/>
                <w:sz w:val="18"/>
                <w:szCs w:val="18"/>
              </w:rPr>
              <w:t>0.41</w:t>
            </w:r>
          </w:p>
        </w:tc>
      </w:tr>
    </w:tbl>
    <w:p w14:paraId="5B2BA5FC" w14:textId="4FE48030" w:rsidR="00D652C8" w:rsidRPr="008775BE" w:rsidRDefault="00D652C8" w:rsidP="00D652C8">
      <w:pPr>
        <w:spacing w:after="0" w:line="240" w:lineRule="auto"/>
        <w:jc w:val="both"/>
        <w:rPr>
          <w:rFonts w:ascii="Times New Roman" w:hAnsi="Times New Roman" w:cs="Times New Roman"/>
          <w:sz w:val="18"/>
          <w:szCs w:val="18"/>
        </w:rPr>
      </w:pPr>
      <w:r w:rsidRPr="008775BE">
        <w:rPr>
          <w:rFonts w:ascii="Times New Roman" w:hAnsi="Times New Roman" w:cs="Times New Roman"/>
          <w:sz w:val="18"/>
          <w:szCs w:val="18"/>
        </w:rPr>
        <w:t xml:space="preserve">Panel A presents the mean proportion of firms with material weaknesses in disclosure controls and procedures, restatements, and non-timely annual filings for the IPO year for the SPAC- and non-SPAC-IPO samples and the difference in the mean numbers between the two groups. For restatements, the sample consists of the 96 SPAC-IPO and </w:t>
      </w:r>
      <w:r w:rsidR="00551D5D" w:rsidRPr="008775BE">
        <w:rPr>
          <w:rFonts w:ascii="Times New Roman" w:hAnsi="Times New Roman" w:cs="Times New Roman"/>
          <w:sz w:val="18"/>
          <w:szCs w:val="18"/>
        </w:rPr>
        <w:t>9</w:t>
      </w:r>
      <w:r w:rsidR="00551D5D">
        <w:rPr>
          <w:rFonts w:ascii="Times New Roman" w:hAnsi="Times New Roman" w:cs="Times New Roman"/>
          <w:sz w:val="18"/>
          <w:szCs w:val="18"/>
        </w:rPr>
        <w:t>6</w:t>
      </w:r>
      <w:r w:rsidR="00551D5D" w:rsidRPr="008775BE">
        <w:rPr>
          <w:rFonts w:ascii="Times New Roman" w:hAnsi="Times New Roman" w:cs="Times New Roman"/>
          <w:sz w:val="18"/>
          <w:szCs w:val="18"/>
        </w:rPr>
        <w:t xml:space="preserve"> </w:t>
      </w:r>
      <w:r w:rsidRPr="008775BE">
        <w:rPr>
          <w:rFonts w:ascii="Times New Roman" w:hAnsi="Times New Roman" w:cs="Times New Roman"/>
          <w:sz w:val="18"/>
          <w:szCs w:val="18"/>
        </w:rPr>
        <w:t xml:space="preserve">matched non-SPAC-IPO firms with IPOs completed between 2010 and 2019 to allow time for misstatement discovery and disclosure. Panel B presents logistic regressions of the likelihood of material weaknesses in disclosure controls and procedures and restatements using the sample of SPAC-IPO firms matched on IPO proceeds to non-SPAC-IPO firms. Results are also presented </w:t>
      </w:r>
      <w:r w:rsidRPr="008775BE">
        <w:rPr>
          <w:rFonts w:ascii="Times New Roman" w:eastAsia="Times New Roman" w:hAnsi="Times New Roman" w:cs="Times New Roman"/>
          <w:color w:val="000000"/>
          <w:sz w:val="18"/>
          <w:szCs w:val="18"/>
        </w:rPr>
        <w:t xml:space="preserve">after entropy balancing the matched sample on the first moment. </w:t>
      </w:r>
      <w:r w:rsidRPr="008775BE">
        <w:rPr>
          <w:rFonts w:ascii="Times New Roman" w:hAnsi="Times New Roman" w:cs="Times New Roman"/>
          <w:sz w:val="18"/>
          <w:szCs w:val="18"/>
        </w:rPr>
        <w:t xml:space="preserve"> </w:t>
      </w:r>
      <w:r w:rsidRPr="008775BE">
        <w:rPr>
          <w:rFonts w:ascii="Times New Roman" w:eastAsia="Times New Roman" w:hAnsi="Times New Roman" w:cs="Times New Roman"/>
          <w:color w:val="000000"/>
          <w:sz w:val="18"/>
          <w:szCs w:val="18"/>
        </w:rPr>
        <w:t>*, **, and *** represent statistical significance at the 10%, 5%, and 1% levels, respectively, for a two-tailed test.</w:t>
      </w:r>
    </w:p>
    <w:p w14:paraId="348B9415" w14:textId="77777777" w:rsidR="00D652C8" w:rsidRPr="008775BE" w:rsidRDefault="00D652C8" w:rsidP="00D652C8">
      <w:pPr>
        <w:spacing w:after="0" w:line="240" w:lineRule="auto"/>
        <w:rPr>
          <w:rFonts w:ascii="Times New Roman" w:hAnsi="Times New Roman" w:cs="Times New Roman"/>
          <w:sz w:val="24"/>
          <w:szCs w:val="24"/>
        </w:rPr>
      </w:pPr>
    </w:p>
    <w:p w14:paraId="69BCB3CE" w14:textId="77777777" w:rsidR="00D652C8" w:rsidRDefault="00D652C8" w:rsidP="00D652C8">
      <w:pPr>
        <w:rPr>
          <w:b/>
          <w:bCs/>
          <w:color w:val="000000"/>
          <w:szCs w:val="24"/>
        </w:rPr>
      </w:pPr>
      <w:r>
        <w:rPr>
          <w:b/>
          <w:bCs/>
          <w:color w:val="000000"/>
          <w:szCs w:val="24"/>
        </w:rPr>
        <w:br w:type="page"/>
      </w:r>
    </w:p>
    <w:tbl>
      <w:tblPr>
        <w:tblW w:w="4940" w:type="pct"/>
        <w:tblLayout w:type="fixed"/>
        <w:tblLook w:val="04A0" w:firstRow="1" w:lastRow="0" w:firstColumn="1" w:lastColumn="0" w:noHBand="0" w:noVBand="1"/>
      </w:tblPr>
      <w:tblGrid>
        <w:gridCol w:w="4679"/>
        <w:gridCol w:w="1406"/>
        <w:gridCol w:w="1916"/>
        <w:gridCol w:w="1247"/>
      </w:tblGrid>
      <w:tr w:rsidR="00D652C8" w:rsidRPr="007648C9" w14:paraId="6A2D5290" w14:textId="77777777" w:rsidTr="000669E5">
        <w:trPr>
          <w:trHeight w:hRule="exact" w:val="288"/>
        </w:trPr>
        <w:tc>
          <w:tcPr>
            <w:tcW w:w="4326" w:type="pct"/>
            <w:gridSpan w:val="3"/>
            <w:tcBorders>
              <w:top w:val="nil"/>
              <w:left w:val="nil"/>
              <w:bottom w:val="nil"/>
              <w:right w:val="nil"/>
            </w:tcBorders>
            <w:shd w:val="clear" w:color="auto" w:fill="auto"/>
            <w:noWrap/>
            <w:vAlign w:val="bottom"/>
            <w:hideMark/>
          </w:tcPr>
          <w:p w14:paraId="074ADF4C" w14:textId="77777777" w:rsidR="00D652C8" w:rsidRPr="007648C9" w:rsidRDefault="00D652C8" w:rsidP="000669E5">
            <w:pPr>
              <w:spacing w:after="0" w:line="240" w:lineRule="auto"/>
              <w:rPr>
                <w:rFonts w:ascii="Times New Roman" w:eastAsia="Times New Roman" w:hAnsi="Times New Roman" w:cs="Times New Roman"/>
                <w:b/>
                <w:bCs/>
                <w:color w:val="000000"/>
              </w:rPr>
            </w:pPr>
            <w:r w:rsidRPr="007648C9">
              <w:rPr>
                <w:rFonts w:ascii="Times New Roman" w:eastAsia="Times New Roman" w:hAnsi="Times New Roman" w:cs="Times New Roman"/>
                <w:b/>
                <w:bCs/>
                <w:color w:val="000000"/>
              </w:rPr>
              <w:lastRenderedPageBreak/>
              <w:t>Table 4</w:t>
            </w:r>
          </w:p>
        </w:tc>
        <w:tc>
          <w:tcPr>
            <w:tcW w:w="674" w:type="pct"/>
            <w:tcBorders>
              <w:top w:val="nil"/>
              <w:left w:val="nil"/>
              <w:bottom w:val="nil"/>
              <w:right w:val="nil"/>
            </w:tcBorders>
            <w:shd w:val="clear" w:color="auto" w:fill="auto"/>
            <w:noWrap/>
            <w:vAlign w:val="bottom"/>
            <w:hideMark/>
          </w:tcPr>
          <w:p w14:paraId="5E652AF1" w14:textId="77777777" w:rsidR="00D652C8" w:rsidRPr="007648C9" w:rsidRDefault="00D652C8" w:rsidP="000669E5">
            <w:pPr>
              <w:spacing w:after="0" w:line="240" w:lineRule="auto"/>
              <w:rPr>
                <w:rFonts w:ascii="Times New Roman" w:eastAsia="Times New Roman" w:hAnsi="Times New Roman" w:cs="Times New Roman"/>
                <w:b/>
                <w:bCs/>
                <w:color w:val="000000"/>
              </w:rPr>
            </w:pPr>
          </w:p>
        </w:tc>
      </w:tr>
      <w:tr w:rsidR="00D652C8" w:rsidRPr="007648C9" w14:paraId="18BC6BA8" w14:textId="77777777" w:rsidTr="000669E5">
        <w:trPr>
          <w:trHeight w:hRule="exact" w:val="288"/>
        </w:trPr>
        <w:tc>
          <w:tcPr>
            <w:tcW w:w="5000" w:type="pct"/>
            <w:gridSpan w:val="4"/>
            <w:tcBorders>
              <w:top w:val="nil"/>
              <w:left w:val="nil"/>
              <w:bottom w:val="nil"/>
              <w:right w:val="nil"/>
            </w:tcBorders>
            <w:shd w:val="clear" w:color="auto" w:fill="auto"/>
            <w:noWrap/>
            <w:vAlign w:val="bottom"/>
            <w:hideMark/>
          </w:tcPr>
          <w:p w14:paraId="67C5578B" w14:textId="29A14C35" w:rsidR="00D652C8" w:rsidRPr="007648C9" w:rsidRDefault="008775BE" w:rsidP="008775BE">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Explanations </w:t>
            </w:r>
            <w:r w:rsidR="00D652C8" w:rsidRPr="007648C9">
              <w:rPr>
                <w:rFonts w:ascii="Times New Roman" w:eastAsia="Times New Roman" w:hAnsi="Times New Roman" w:cs="Times New Roman"/>
                <w:color w:val="000000"/>
              </w:rPr>
              <w:t>for Material Weaknesses, Restatements, and Non-timely Filings</w:t>
            </w:r>
            <w:r w:rsidR="00601B6C" w:rsidRPr="007648C9">
              <w:rPr>
                <w:rFonts w:ascii="Times New Roman" w:eastAsia="Times New Roman" w:hAnsi="Times New Roman" w:cs="Times New Roman"/>
                <w:color w:val="000000"/>
              </w:rPr>
              <w:t>.</w:t>
            </w:r>
          </w:p>
        </w:tc>
      </w:tr>
      <w:tr w:rsidR="00D652C8" w:rsidRPr="007648C9" w14:paraId="3EF47483" w14:textId="77777777" w:rsidTr="000669E5">
        <w:trPr>
          <w:trHeight w:hRule="exact" w:val="288"/>
        </w:trPr>
        <w:tc>
          <w:tcPr>
            <w:tcW w:w="2530" w:type="pct"/>
            <w:tcBorders>
              <w:top w:val="nil"/>
              <w:left w:val="nil"/>
              <w:bottom w:val="nil"/>
              <w:right w:val="nil"/>
            </w:tcBorders>
            <w:shd w:val="clear" w:color="auto" w:fill="auto"/>
            <w:noWrap/>
            <w:vAlign w:val="bottom"/>
            <w:hideMark/>
          </w:tcPr>
          <w:p w14:paraId="0F7ABEB0"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nil"/>
              <w:right w:val="nil"/>
            </w:tcBorders>
            <w:shd w:val="clear" w:color="auto" w:fill="auto"/>
            <w:noWrap/>
            <w:vAlign w:val="bottom"/>
            <w:hideMark/>
          </w:tcPr>
          <w:p w14:paraId="72F21151" w14:textId="77777777" w:rsidR="00D652C8" w:rsidRPr="007648C9" w:rsidRDefault="00D652C8" w:rsidP="000669E5">
            <w:pPr>
              <w:spacing w:after="0" w:line="240" w:lineRule="auto"/>
              <w:rPr>
                <w:rFonts w:ascii="Times New Roman" w:eastAsia="Times New Roman" w:hAnsi="Times New Roman" w:cs="Times New Roman"/>
              </w:rPr>
            </w:pPr>
          </w:p>
        </w:tc>
        <w:tc>
          <w:tcPr>
            <w:tcW w:w="1036" w:type="pct"/>
            <w:tcBorders>
              <w:top w:val="nil"/>
              <w:left w:val="nil"/>
              <w:bottom w:val="nil"/>
              <w:right w:val="nil"/>
            </w:tcBorders>
            <w:shd w:val="clear" w:color="auto" w:fill="auto"/>
            <w:noWrap/>
            <w:vAlign w:val="bottom"/>
            <w:hideMark/>
          </w:tcPr>
          <w:p w14:paraId="4B8F5725" w14:textId="77777777" w:rsidR="00D652C8" w:rsidRPr="007648C9" w:rsidRDefault="00D652C8" w:rsidP="000669E5">
            <w:pPr>
              <w:spacing w:after="0" w:line="240" w:lineRule="auto"/>
              <w:rPr>
                <w:rFonts w:ascii="Times New Roman" w:eastAsia="Times New Roman" w:hAnsi="Times New Roman" w:cs="Times New Roman"/>
              </w:rPr>
            </w:pPr>
          </w:p>
        </w:tc>
        <w:tc>
          <w:tcPr>
            <w:tcW w:w="674" w:type="pct"/>
            <w:tcBorders>
              <w:top w:val="nil"/>
              <w:left w:val="nil"/>
              <w:bottom w:val="nil"/>
              <w:right w:val="nil"/>
            </w:tcBorders>
            <w:shd w:val="clear" w:color="auto" w:fill="auto"/>
            <w:noWrap/>
            <w:vAlign w:val="bottom"/>
            <w:hideMark/>
          </w:tcPr>
          <w:p w14:paraId="550F170F" w14:textId="77777777" w:rsidR="00D652C8" w:rsidRPr="007648C9" w:rsidRDefault="00D652C8" w:rsidP="000669E5">
            <w:pPr>
              <w:spacing w:after="0" w:line="240" w:lineRule="auto"/>
              <w:rPr>
                <w:rFonts w:ascii="Times New Roman" w:eastAsia="Times New Roman" w:hAnsi="Times New Roman" w:cs="Times New Roman"/>
              </w:rPr>
            </w:pPr>
          </w:p>
        </w:tc>
      </w:tr>
      <w:tr w:rsidR="00D652C8" w:rsidRPr="007648C9" w14:paraId="3DA7BAA6" w14:textId="77777777" w:rsidTr="000669E5">
        <w:trPr>
          <w:trHeight w:hRule="exact" w:val="288"/>
        </w:trPr>
        <w:tc>
          <w:tcPr>
            <w:tcW w:w="5000" w:type="pct"/>
            <w:gridSpan w:val="4"/>
            <w:tcBorders>
              <w:top w:val="single" w:sz="8" w:space="0" w:color="auto"/>
              <w:left w:val="nil"/>
              <w:bottom w:val="single" w:sz="8" w:space="0" w:color="auto"/>
              <w:right w:val="nil"/>
            </w:tcBorders>
            <w:shd w:val="clear" w:color="auto" w:fill="auto"/>
            <w:noWrap/>
            <w:vAlign w:val="bottom"/>
            <w:hideMark/>
          </w:tcPr>
          <w:p w14:paraId="4326AC2B"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Panel A: Comparison of material weakness issues</w:t>
            </w:r>
          </w:p>
        </w:tc>
      </w:tr>
      <w:tr w:rsidR="00D652C8" w:rsidRPr="007648C9" w14:paraId="540F943F" w14:textId="77777777" w:rsidTr="000669E5">
        <w:trPr>
          <w:trHeight w:hRule="exact" w:val="576"/>
        </w:trPr>
        <w:tc>
          <w:tcPr>
            <w:tcW w:w="2530" w:type="pct"/>
            <w:tcBorders>
              <w:top w:val="nil"/>
              <w:left w:val="nil"/>
              <w:bottom w:val="single" w:sz="8" w:space="0" w:color="auto"/>
              <w:right w:val="nil"/>
            </w:tcBorders>
            <w:shd w:val="clear" w:color="auto" w:fill="auto"/>
            <w:noWrap/>
            <w:vAlign w:val="bottom"/>
            <w:hideMark/>
          </w:tcPr>
          <w:p w14:paraId="66B041A7" w14:textId="77777777" w:rsidR="00D652C8" w:rsidRPr="007648C9" w:rsidRDefault="00D652C8" w:rsidP="000669E5">
            <w:pPr>
              <w:spacing w:after="0" w:line="240" w:lineRule="auto"/>
              <w:rPr>
                <w:rFonts w:ascii="Times New Roman" w:eastAsia="Times New Roman" w:hAnsi="Times New Roman" w:cs="Times New Roman"/>
                <w:i/>
                <w:iCs/>
                <w:color w:val="000000"/>
              </w:rPr>
            </w:pPr>
            <w:r w:rsidRPr="007648C9">
              <w:rPr>
                <w:rFonts w:ascii="Times New Roman" w:eastAsia="Times New Roman" w:hAnsi="Times New Roman" w:cs="Times New Roman"/>
                <w:i/>
                <w:iCs/>
                <w:color w:val="000000"/>
              </w:rPr>
              <w:t>Issue</w:t>
            </w:r>
          </w:p>
        </w:tc>
        <w:tc>
          <w:tcPr>
            <w:tcW w:w="760" w:type="pct"/>
            <w:tcBorders>
              <w:top w:val="nil"/>
              <w:left w:val="nil"/>
              <w:bottom w:val="single" w:sz="8" w:space="0" w:color="auto"/>
              <w:right w:val="nil"/>
            </w:tcBorders>
            <w:shd w:val="clear" w:color="auto" w:fill="auto"/>
            <w:vAlign w:val="bottom"/>
            <w:hideMark/>
          </w:tcPr>
          <w:p w14:paraId="12D38B3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SPAC-IPOs         (N=67)</w:t>
            </w:r>
          </w:p>
        </w:tc>
        <w:tc>
          <w:tcPr>
            <w:tcW w:w="1036" w:type="pct"/>
            <w:tcBorders>
              <w:top w:val="nil"/>
              <w:left w:val="nil"/>
              <w:bottom w:val="single" w:sz="8" w:space="0" w:color="auto"/>
              <w:right w:val="nil"/>
            </w:tcBorders>
            <w:shd w:val="clear" w:color="auto" w:fill="auto"/>
            <w:vAlign w:val="bottom"/>
            <w:hideMark/>
          </w:tcPr>
          <w:p w14:paraId="5890BE3B"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Non-SPAC-IPOs      (N=33)</w:t>
            </w:r>
          </w:p>
        </w:tc>
        <w:tc>
          <w:tcPr>
            <w:tcW w:w="674" w:type="pct"/>
            <w:tcBorders>
              <w:top w:val="nil"/>
              <w:left w:val="nil"/>
              <w:bottom w:val="single" w:sz="8" w:space="0" w:color="auto"/>
              <w:right w:val="nil"/>
            </w:tcBorders>
            <w:shd w:val="clear" w:color="auto" w:fill="auto"/>
            <w:vAlign w:val="bottom"/>
            <w:hideMark/>
          </w:tcPr>
          <w:p w14:paraId="43DEC3F0"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Difference</w:t>
            </w:r>
          </w:p>
        </w:tc>
      </w:tr>
      <w:tr w:rsidR="00D652C8" w:rsidRPr="007648C9" w14:paraId="6FD31213" w14:textId="77777777" w:rsidTr="000669E5">
        <w:trPr>
          <w:trHeight w:hRule="exact" w:val="144"/>
        </w:trPr>
        <w:tc>
          <w:tcPr>
            <w:tcW w:w="2530" w:type="pct"/>
            <w:tcBorders>
              <w:top w:val="nil"/>
              <w:left w:val="nil"/>
              <w:bottom w:val="nil"/>
              <w:right w:val="nil"/>
            </w:tcBorders>
            <w:shd w:val="clear" w:color="auto" w:fill="auto"/>
            <w:noWrap/>
            <w:vAlign w:val="bottom"/>
          </w:tcPr>
          <w:p w14:paraId="74B7085B"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nil"/>
              <w:right w:val="nil"/>
            </w:tcBorders>
            <w:shd w:val="clear" w:color="auto" w:fill="auto"/>
            <w:noWrap/>
            <w:vAlign w:val="bottom"/>
          </w:tcPr>
          <w:p w14:paraId="2CC8723D"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top w:val="nil"/>
              <w:left w:val="nil"/>
              <w:bottom w:val="nil"/>
              <w:right w:val="nil"/>
            </w:tcBorders>
            <w:shd w:val="clear" w:color="auto" w:fill="auto"/>
            <w:noWrap/>
            <w:vAlign w:val="bottom"/>
          </w:tcPr>
          <w:p w14:paraId="20D34649"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top w:val="nil"/>
              <w:left w:val="nil"/>
              <w:bottom w:val="nil"/>
              <w:right w:val="nil"/>
            </w:tcBorders>
            <w:shd w:val="clear" w:color="auto" w:fill="auto"/>
            <w:noWrap/>
            <w:vAlign w:val="bottom"/>
          </w:tcPr>
          <w:p w14:paraId="643C13DE" w14:textId="77777777" w:rsidR="00D652C8" w:rsidRPr="007648C9" w:rsidRDefault="00D652C8" w:rsidP="000669E5">
            <w:pPr>
              <w:spacing w:after="0" w:line="240" w:lineRule="auto"/>
              <w:rPr>
                <w:rFonts w:ascii="Times New Roman" w:eastAsia="Times New Roman" w:hAnsi="Times New Roman" w:cs="Times New Roman"/>
                <w:color w:val="000000"/>
              </w:rPr>
            </w:pPr>
          </w:p>
        </w:tc>
      </w:tr>
      <w:tr w:rsidR="00D652C8" w:rsidRPr="007648C9" w14:paraId="5D6A5E7D" w14:textId="77777777" w:rsidTr="000669E5">
        <w:trPr>
          <w:trHeight w:hRule="exact" w:val="259"/>
        </w:trPr>
        <w:tc>
          <w:tcPr>
            <w:tcW w:w="2530" w:type="pct"/>
            <w:tcBorders>
              <w:top w:val="nil"/>
              <w:left w:val="nil"/>
              <w:bottom w:val="nil"/>
              <w:right w:val="nil"/>
            </w:tcBorders>
            <w:shd w:val="clear" w:color="auto" w:fill="auto"/>
            <w:noWrap/>
            <w:vAlign w:val="bottom"/>
            <w:hideMark/>
          </w:tcPr>
          <w:p w14:paraId="0F69485C"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Lack of Segregation of Duties</w:t>
            </w:r>
          </w:p>
        </w:tc>
        <w:tc>
          <w:tcPr>
            <w:tcW w:w="760" w:type="pct"/>
            <w:tcBorders>
              <w:top w:val="nil"/>
              <w:left w:val="nil"/>
              <w:bottom w:val="nil"/>
              <w:right w:val="nil"/>
            </w:tcBorders>
            <w:shd w:val="clear" w:color="auto" w:fill="auto"/>
            <w:noWrap/>
            <w:vAlign w:val="bottom"/>
            <w:hideMark/>
          </w:tcPr>
          <w:p w14:paraId="5509A2CC"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0.78</w:t>
            </w:r>
          </w:p>
        </w:tc>
        <w:tc>
          <w:tcPr>
            <w:tcW w:w="1036" w:type="pct"/>
            <w:tcBorders>
              <w:top w:val="nil"/>
              <w:left w:val="nil"/>
              <w:bottom w:val="nil"/>
              <w:right w:val="nil"/>
            </w:tcBorders>
            <w:shd w:val="clear" w:color="auto" w:fill="auto"/>
            <w:noWrap/>
            <w:vAlign w:val="bottom"/>
            <w:hideMark/>
          </w:tcPr>
          <w:p w14:paraId="6DB760D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0.73</w:t>
            </w:r>
          </w:p>
        </w:tc>
        <w:tc>
          <w:tcPr>
            <w:tcW w:w="674" w:type="pct"/>
            <w:tcBorders>
              <w:top w:val="nil"/>
              <w:left w:val="nil"/>
              <w:bottom w:val="nil"/>
              <w:right w:val="nil"/>
            </w:tcBorders>
            <w:shd w:val="clear" w:color="auto" w:fill="auto"/>
            <w:noWrap/>
            <w:vAlign w:val="bottom"/>
            <w:hideMark/>
          </w:tcPr>
          <w:p w14:paraId="2F0B3E8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0.03      </w:t>
            </w:r>
          </w:p>
        </w:tc>
      </w:tr>
      <w:tr w:rsidR="00D652C8" w:rsidRPr="007648C9" w14:paraId="5870A9A4" w14:textId="77777777" w:rsidTr="000669E5">
        <w:trPr>
          <w:trHeight w:hRule="exact" w:val="259"/>
        </w:trPr>
        <w:tc>
          <w:tcPr>
            <w:tcW w:w="2530" w:type="pct"/>
            <w:tcBorders>
              <w:top w:val="nil"/>
              <w:left w:val="nil"/>
              <w:bottom w:val="nil"/>
              <w:right w:val="nil"/>
            </w:tcBorders>
            <w:shd w:val="clear" w:color="auto" w:fill="auto"/>
            <w:noWrap/>
            <w:vAlign w:val="bottom"/>
            <w:hideMark/>
          </w:tcPr>
          <w:p w14:paraId="54B7CA02"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Financial Close Processes</w:t>
            </w:r>
          </w:p>
        </w:tc>
        <w:tc>
          <w:tcPr>
            <w:tcW w:w="760" w:type="pct"/>
            <w:tcBorders>
              <w:top w:val="nil"/>
              <w:left w:val="nil"/>
              <w:bottom w:val="nil"/>
              <w:right w:val="nil"/>
            </w:tcBorders>
            <w:shd w:val="clear" w:color="auto" w:fill="auto"/>
            <w:noWrap/>
            <w:vAlign w:val="bottom"/>
            <w:hideMark/>
          </w:tcPr>
          <w:p w14:paraId="29CD9E72"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0.67</w:t>
            </w:r>
          </w:p>
        </w:tc>
        <w:tc>
          <w:tcPr>
            <w:tcW w:w="1036" w:type="pct"/>
            <w:tcBorders>
              <w:top w:val="nil"/>
              <w:left w:val="nil"/>
              <w:bottom w:val="nil"/>
              <w:right w:val="nil"/>
            </w:tcBorders>
            <w:shd w:val="clear" w:color="auto" w:fill="auto"/>
            <w:noWrap/>
            <w:vAlign w:val="bottom"/>
            <w:hideMark/>
          </w:tcPr>
          <w:p w14:paraId="50444E95"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0.70</w:t>
            </w:r>
          </w:p>
        </w:tc>
        <w:tc>
          <w:tcPr>
            <w:tcW w:w="674" w:type="pct"/>
            <w:tcBorders>
              <w:top w:val="nil"/>
              <w:left w:val="nil"/>
              <w:bottom w:val="nil"/>
              <w:right w:val="nil"/>
            </w:tcBorders>
            <w:shd w:val="clear" w:color="auto" w:fill="auto"/>
            <w:noWrap/>
            <w:vAlign w:val="bottom"/>
            <w:hideMark/>
          </w:tcPr>
          <w:p w14:paraId="67879BCB"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-0.03      </w:t>
            </w:r>
          </w:p>
        </w:tc>
      </w:tr>
      <w:tr w:rsidR="00D652C8" w:rsidRPr="007648C9" w14:paraId="5373F05D" w14:textId="77777777" w:rsidTr="000669E5">
        <w:trPr>
          <w:trHeight w:hRule="exact" w:val="259"/>
        </w:trPr>
        <w:tc>
          <w:tcPr>
            <w:tcW w:w="2530" w:type="pct"/>
            <w:tcBorders>
              <w:top w:val="nil"/>
              <w:left w:val="nil"/>
              <w:bottom w:val="nil"/>
              <w:right w:val="nil"/>
            </w:tcBorders>
            <w:shd w:val="clear" w:color="auto" w:fill="auto"/>
            <w:noWrap/>
            <w:vAlign w:val="bottom"/>
            <w:hideMark/>
          </w:tcPr>
          <w:p w14:paraId="7528CBD2"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Information Technology Access and Security</w:t>
            </w:r>
          </w:p>
        </w:tc>
        <w:tc>
          <w:tcPr>
            <w:tcW w:w="760" w:type="pct"/>
            <w:tcBorders>
              <w:top w:val="nil"/>
              <w:left w:val="nil"/>
              <w:bottom w:val="nil"/>
              <w:right w:val="nil"/>
            </w:tcBorders>
            <w:shd w:val="clear" w:color="auto" w:fill="auto"/>
            <w:noWrap/>
            <w:vAlign w:val="bottom"/>
            <w:hideMark/>
          </w:tcPr>
          <w:p w14:paraId="39202FED"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0.49</w:t>
            </w:r>
          </w:p>
        </w:tc>
        <w:tc>
          <w:tcPr>
            <w:tcW w:w="1036" w:type="pct"/>
            <w:tcBorders>
              <w:top w:val="nil"/>
              <w:left w:val="nil"/>
              <w:bottom w:val="nil"/>
              <w:right w:val="nil"/>
            </w:tcBorders>
            <w:shd w:val="clear" w:color="auto" w:fill="auto"/>
            <w:noWrap/>
            <w:vAlign w:val="bottom"/>
            <w:hideMark/>
          </w:tcPr>
          <w:p w14:paraId="22DB5BA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0.48</w:t>
            </w:r>
          </w:p>
        </w:tc>
        <w:tc>
          <w:tcPr>
            <w:tcW w:w="674" w:type="pct"/>
            <w:tcBorders>
              <w:top w:val="nil"/>
              <w:left w:val="nil"/>
              <w:bottom w:val="nil"/>
              <w:right w:val="nil"/>
            </w:tcBorders>
            <w:shd w:val="clear" w:color="auto" w:fill="auto"/>
            <w:noWrap/>
            <w:vAlign w:val="bottom"/>
            <w:hideMark/>
          </w:tcPr>
          <w:p w14:paraId="54581D9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0.01      </w:t>
            </w:r>
          </w:p>
        </w:tc>
      </w:tr>
      <w:tr w:rsidR="00D652C8" w:rsidRPr="007648C9" w14:paraId="1066AAEF" w14:textId="77777777" w:rsidTr="000669E5">
        <w:trPr>
          <w:trHeight w:hRule="exact" w:val="259"/>
        </w:trPr>
        <w:tc>
          <w:tcPr>
            <w:tcW w:w="2530" w:type="pct"/>
            <w:tcBorders>
              <w:top w:val="nil"/>
              <w:left w:val="nil"/>
              <w:bottom w:val="nil"/>
              <w:right w:val="nil"/>
            </w:tcBorders>
            <w:shd w:val="clear" w:color="auto" w:fill="auto"/>
            <w:noWrap/>
            <w:vAlign w:val="bottom"/>
            <w:hideMark/>
          </w:tcPr>
          <w:p w14:paraId="21D8F6B4"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Non-routine Adjustment Issues at Period End</w:t>
            </w:r>
          </w:p>
        </w:tc>
        <w:tc>
          <w:tcPr>
            <w:tcW w:w="760" w:type="pct"/>
            <w:tcBorders>
              <w:top w:val="nil"/>
              <w:left w:val="nil"/>
              <w:bottom w:val="nil"/>
              <w:right w:val="nil"/>
            </w:tcBorders>
            <w:shd w:val="clear" w:color="auto" w:fill="auto"/>
            <w:noWrap/>
            <w:vAlign w:val="bottom"/>
            <w:hideMark/>
          </w:tcPr>
          <w:p w14:paraId="1B7D25D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0.15</w:t>
            </w:r>
          </w:p>
        </w:tc>
        <w:tc>
          <w:tcPr>
            <w:tcW w:w="1036" w:type="pct"/>
            <w:tcBorders>
              <w:top w:val="nil"/>
              <w:left w:val="nil"/>
              <w:bottom w:val="nil"/>
              <w:right w:val="nil"/>
            </w:tcBorders>
            <w:shd w:val="clear" w:color="auto" w:fill="auto"/>
            <w:noWrap/>
            <w:vAlign w:val="bottom"/>
            <w:hideMark/>
          </w:tcPr>
          <w:p w14:paraId="2B2189C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0.24</w:t>
            </w:r>
          </w:p>
        </w:tc>
        <w:tc>
          <w:tcPr>
            <w:tcW w:w="674" w:type="pct"/>
            <w:tcBorders>
              <w:top w:val="nil"/>
              <w:left w:val="nil"/>
              <w:bottom w:val="nil"/>
              <w:right w:val="nil"/>
            </w:tcBorders>
            <w:shd w:val="clear" w:color="auto" w:fill="auto"/>
            <w:noWrap/>
            <w:vAlign w:val="bottom"/>
            <w:hideMark/>
          </w:tcPr>
          <w:p w14:paraId="40AEE3D1"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-0.09      </w:t>
            </w:r>
          </w:p>
        </w:tc>
      </w:tr>
      <w:tr w:rsidR="00D652C8" w:rsidRPr="007648C9" w14:paraId="24AB1143" w14:textId="77777777" w:rsidTr="000669E5">
        <w:trPr>
          <w:trHeight w:hRule="exact" w:val="259"/>
        </w:trPr>
        <w:tc>
          <w:tcPr>
            <w:tcW w:w="2530" w:type="pct"/>
            <w:tcBorders>
              <w:top w:val="nil"/>
              <w:left w:val="nil"/>
              <w:bottom w:val="nil"/>
              <w:right w:val="nil"/>
            </w:tcBorders>
            <w:shd w:val="clear" w:color="auto" w:fill="auto"/>
            <w:noWrap/>
            <w:vAlign w:val="bottom"/>
            <w:hideMark/>
          </w:tcPr>
          <w:p w14:paraId="4DB85CC7"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Acquisition Integration</w:t>
            </w:r>
          </w:p>
        </w:tc>
        <w:tc>
          <w:tcPr>
            <w:tcW w:w="760" w:type="pct"/>
            <w:tcBorders>
              <w:top w:val="nil"/>
              <w:left w:val="nil"/>
              <w:bottom w:val="nil"/>
              <w:right w:val="nil"/>
            </w:tcBorders>
            <w:shd w:val="clear" w:color="auto" w:fill="auto"/>
            <w:noWrap/>
            <w:vAlign w:val="bottom"/>
            <w:hideMark/>
          </w:tcPr>
          <w:p w14:paraId="34CC22D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0.43</w:t>
            </w:r>
          </w:p>
        </w:tc>
        <w:tc>
          <w:tcPr>
            <w:tcW w:w="1036" w:type="pct"/>
            <w:tcBorders>
              <w:top w:val="nil"/>
              <w:left w:val="nil"/>
              <w:bottom w:val="nil"/>
              <w:right w:val="nil"/>
            </w:tcBorders>
            <w:shd w:val="clear" w:color="auto" w:fill="auto"/>
            <w:noWrap/>
            <w:vAlign w:val="bottom"/>
            <w:hideMark/>
          </w:tcPr>
          <w:p w14:paraId="1661AF8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3C97BFEF"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0.43***</w:t>
            </w:r>
          </w:p>
        </w:tc>
      </w:tr>
      <w:tr w:rsidR="00D652C8" w:rsidRPr="007648C9" w14:paraId="7478FEE5" w14:textId="77777777" w:rsidTr="000669E5">
        <w:trPr>
          <w:trHeight w:hRule="exact" w:val="259"/>
        </w:trPr>
        <w:tc>
          <w:tcPr>
            <w:tcW w:w="2530" w:type="pct"/>
            <w:tcBorders>
              <w:top w:val="nil"/>
              <w:left w:val="nil"/>
              <w:bottom w:val="nil"/>
              <w:right w:val="nil"/>
            </w:tcBorders>
            <w:shd w:val="clear" w:color="auto" w:fill="auto"/>
            <w:noWrap/>
            <w:vAlign w:val="bottom"/>
            <w:hideMark/>
          </w:tcPr>
          <w:p w14:paraId="51C1FE39"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Insufficient Management Review</w:t>
            </w:r>
          </w:p>
        </w:tc>
        <w:tc>
          <w:tcPr>
            <w:tcW w:w="760" w:type="pct"/>
            <w:tcBorders>
              <w:top w:val="nil"/>
              <w:left w:val="nil"/>
              <w:bottom w:val="nil"/>
              <w:right w:val="nil"/>
            </w:tcBorders>
            <w:shd w:val="clear" w:color="auto" w:fill="auto"/>
            <w:noWrap/>
            <w:vAlign w:val="bottom"/>
            <w:hideMark/>
          </w:tcPr>
          <w:p w14:paraId="1A42A41B"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0.34</w:t>
            </w:r>
          </w:p>
        </w:tc>
        <w:tc>
          <w:tcPr>
            <w:tcW w:w="1036" w:type="pct"/>
            <w:tcBorders>
              <w:top w:val="nil"/>
              <w:left w:val="nil"/>
              <w:bottom w:val="nil"/>
              <w:right w:val="nil"/>
            </w:tcBorders>
            <w:shd w:val="clear" w:color="auto" w:fill="auto"/>
            <w:noWrap/>
            <w:vAlign w:val="bottom"/>
            <w:hideMark/>
          </w:tcPr>
          <w:p w14:paraId="099E59A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0.15</w:t>
            </w:r>
          </w:p>
        </w:tc>
        <w:tc>
          <w:tcPr>
            <w:tcW w:w="674" w:type="pct"/>
            <w:tcBorders>
              <w:top w:val="nil"/>
              <w:left w:val="nil"/>
              <w:bottom w:val="nil"/>
              <w:right w:val="nil"/>
            </w:tcBorders>
            <w:shd w:val="clear" w:color="auto" w:fill="auto"/>
            <w:noWrap/>
            <w:vAlign w:val="bottom"/>
            <w:hideMark/>
          </w:tcPr>
          <w:p w14:paraId="1AE23E34"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0.15**    </w:t>
            </w:r>
          </w:p>
        </w:tc>
      </w:tr>
      <w:tr w:rsidR="00D652C8" w:rsidRPr="007648C9" w14:paraId="44A14410" w14:textId="77777777" w:rsidTr="000669E5">
        <w:trPr>
          <w:trHeight w:hRule="exact" w:val="259"/>
        </w:trPr>
        <w:tc>
          <w:tcPr>
            <w:tcW w:w="2530" w:type="pct"/>
            <w:tcBorders>
              <w:top w:val="nil"/>
              <w:left w:val="nil"/>
              <w:bottom w:val="nil"/>
              <w:right w:val="nil"/>
            </w:tcBorders>
            <w:shd w:val="clear" w:color="auto" w:fill="auto"/>
            <w:noWrap/>
            <w:vAlign w:val="bottom"/>
            <w:hideMark/>
          </w:tcPr>
          <w:p w14:paraId="60D78542"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Other</w:t>
            </w:r>
          </w:p>
        </w:tc>
        <w:tc>
          <w:tcPr>
            <w:tcW w:w="760" w:type="pct"/>
            <w:tcBorders>
              <w:top w:val="nil"/>
              <w:left w:val="nil"/>
              <w:bottom w:val="nil"/>
              <w:right w:val="nil"/>
            </w:tcBorders>
            <w:shd w:val="clear" w:color="auto" w:fill="auto"/>
            <w:noWrap/>
            <w:vAlign w:val="bottom"/>
            <w:hideMark/>
          </w:tcPr>
          <w:p w14:paraId="47202EBC"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0.64</w:t>
            </w:r>
          </w:p>
        </w:tc>
        <w:tc>
          <w:tcPr>
            <w:tcW w:w="1036" w:type="pct"/>
            <w:tcBorders>
              <w:top w:val="nil"/>
              <w:left w:val="nil"/>
              <w:bottom w:val="nil"/>
              <w:right w:val="nil"/>
            </w:tcBorders>
            <w:shd w:val="clear" w:color="auto" w:fill="auto"/>
            <w:noWrap/>
            <w:vAlign w:val="bottom"/>
            <w:hideMark/>
          </w:tcPr>
          <w:p w14:paraId="38ADC281"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0.42</w:t>
            </w:r>
          </w:p>
        </w:tc>
        <w:tc>
          <w:tcPr>
            <w:tcW w:w="674" w:type="pct"/>
            <w:tcBorders>
              <w:top w:val="nil"/>
              <w:left w:val="nil"/>
              <w:bottom w:val="nil"/>
              <w:right w:val="nil"/>
            </w:tcBorders>
            <w:shd w:val="clear" w:color="auto" w:fill="auto"/>
            <w:noWrap/>
            <w:vAlign w:val="bottom"/>
            <w:hideMark/>
          </w:tcPr>
          <w:p w14:paraId="7D0BB164"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0.22**  </w:t>
            </w:r>
          </w:p>
        </w:tc>
      </w:tr>
      <w:tr w:rsidR="00D652C8" w:rsidRPr="007648C9" w14:paraId="1FC25643" w14:textId="77777777" w:rsidTr="000669E5">
        <w:trPr>
          <w:trHeight w:hRule="exact" w:val="259"/>
        </w:trPr>
        <w:tc>
          <w:tcPr>
            <w:tcW w:w="2530" w:type="pct"/>
            <w:tcBorders>
              <w:top w:val="nil"/>
              <w:left w:val="nil"/>
              <w:bottom w:val="nil"/>
              <w:right w:val="nil"/>
            </w:tcBorders>
            <w:shd w:val="clear" w:color="auto" w:fill="auto"/>
            <w:noWrap/>
            <w:vAlign w:val="bottom"/>
            <w:hideMark/>
          </w:tcPr>
          <w:p w14:paraId="79BCE1AA" w14:textId="77777777" w:rsidR="00D652C8" w:rsidRPr="007648C9" w:rsidRDefault="00D652C8" w:rsidP="000669E5">
            <w:pPr>
              <w:spacing w:after="0" w:line="240" w:lineRule="auto"/>
              <w:rPr>
                <w:rFonts w:ascii="Times New Roman" w:eastAsia="Times New Roman" w:hAnsi="Times New Roman" w:cs="Times New Roman"/>
                <w:i/>
                <w:iCs/>
                <w:color w:val="000000"/>
              </w:rPr>
            </w:pPr>
            <w:r w:rsidRPr="007648C9">
              <w:rPr>
                <w:rFonts w:ascii="Times New Roman" w:eastAsia="Times New Roman" w:hAnsi="Times New Roman" w:cs="Times New Roman"/>
                <w:i/>
                <w:iCs/>
                <w:color w:val="000000"/>
              </w:rPr>
              <w:t>Accounting Affected by Material Weaknesses</w:t>
            </w:r>
          </w:p>
        </w:tc>
        <w:tc>
          <w:tcPr>
            <w:tcW w:w="760" w:type="pct"/>
            <w:tcBorders>
              <w:top w:val="nil"/>
              <w:left w:val="nil"/>
              <w:bottom w:val="nil"/>
              <w:right w:val="nil"/>
            </w:tcBorders>
            <w:shd w:val="clear" w:color="auto" w:fill="auto"/>
            <w:noWrap/>
            <w:vAlign w:val="bottom"/>
            <w:hideMark/>
          </w:tcPr>
          <w:p w14:paraId="5E2A3E60" w14:textId="77777777" w:rsidR="00D652C8" w:rsidRPr="007648C9" w:rsidRDefault="00D652C8" w:rsidP="000669E5">
            <w:pPr>
              <w:spacing w:after="0" w:line="240" w:lineRule="auto"/>
              <w:rPr>
                <w:rFonts w:ascii="Times New Roman" w:eastAsia="Times New Roman" w:hAnsi="Times New Roman" w:cs="Times New Roman"/>
                <w:i/>
                <w:iCs/>
                <w:color w:val="000000"/>
              </w:rPr>
            </w:pPr>
          </w:p>
        </w:tc>
        <w:tc>
          <w:tcPr>
            <w:tcW w:w="1036" w:type="pct"/>
            <w:tcBorders>
              <w:top w:val="nil"/>
              <w:left w:val="nil"/>
              <w:bottom w:val="nil"/>
              <w:right w:val="nil"/>
            </w:tcBorders>
            <w:shd w:val="clear" w:color="auto" w:fill="auto"/>
            <w:noWrap/>
            <w:vAlign w:val="bottom"/>
            <w:hideMark/>
          </w:tcPr>
          <w:p w14:paraId="15A7E063" w14:textId="77777777" w:rsidR="00D652C8" w:rsidRPr="007648C9" w:rsidRDefault="00D652C8" w:rsidP="000669E5">
            <w:pPr>
              <w:spacing w:after="0" w:line="240" w:lineRule="auto"/>
              <w:jc w:val="center"/>
              <w:rPr>
                <w:rFonts w:ascii="Times New Roman" w:eastAsia="Times New Roman" w:hAnsi="Times New Roman" w:cs="Times New Roman"/>
              </w:rPr>
            </w:pPr>
          </w:p>
        </w:tc>
        <w:tc>
          <w:tcPr>
            <w:tcW w:w="674" w:type="pct"/>
            <w:tcBorders>
              <w:top w:val="nil"/>
              <w:left w:val="nil"/>
              <w:bottom w:val="nil"/>
              <w:right w:val="nil"/>
            </w:tcBorders>
            <w:shd w:val="clear" w:color="auto" w:fill="auto"/>
            <w:noWrap/>
            <w:vAlign w:val="bottom"/>
            <w:hideMark/>
          </w:tcPr>
          <w:p w14:paraId="645804F0" w14:textId="77777777" w:rsidR="00D652C8" w:rsidRPr="007648C9" w:rsidRDefault="00D652C8" w:rsidP="000669E5">
            <w:pPr>
              <w:spacing w:after="0" w:line="240" w:lineRule="auto"/>
              <w:rPr>
                <w:rFonts w:ascii="Times New Roman" w:eastAsia="Times New Roman" w:hAnsi="Times New Roman" w:cs="Times New Roman"/>
              </w:rPr>
            </w:pPr>
          </w:p>
        </w:tc>
      </w:tr>
      <w:tr w:rsidR="00D652C8" w:rsidRPr="007648C9" w14:paraId="1ACF86DC" w14:textId="77777777" w:rsidTr="000669E5">
        <w:trPr>
          <w:trHeight w:hRule="exact" w:val="259"/>
        </w:trPr>
        <w:tc>
          <w:tcPr>
            <w:tcW w:w="2530" w:type="pct"/>
            <w:tcBorders>
              <w:top w:val="nil"/>
              <w:left w:val="nil"/>
              <w:bottom w:val="nil"/>
              <w:right w:val="nil"/>
            </w:tcBorders>
            <w:shd w:val="clear" w:color="auto" w:fill="auto"/>
            <w:noWrap/>
            <w:vAlign w:val="bottom"/>
            <w:hideMark/>
          </w:tcPr>
          <w:p w14:paraId="7D741177"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Warrants</w:t>
            </w:r>
          </w:p>
        </w:tc>
        <w:tc>
          <w:tcPr>
            <w:tcW w:w="760" w:type="pct"/>
            <w:tcBorders>
              <w:top w:val="nil"/>
              <w:left w:val="nil"/>
              <w:bottom w:val="nil"/>
              <w:right w:val="nil"/>
            </w:tcBorders>
            <w:shd w:val="clear" w:color="auto" w:fill="auto"/>
            <w:noWrap/>
            <w:vAlign w:val="bottom"/>
            <w:hideMark/>
          </w:tcPr>
          <w:p w14:paraId="68CF0D3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0.16</w:t>
            </w:r>
          </w:p>
        </w:tc>
        <w:tc>
          <w:tcPr>
            <w:tcW w:w="1036" w:type="pct"/>
            <w:tcBorders>
              <w:top w:val="nil"/>
              <w:left w:val="nil"/>
              <w:bottom w:val="nil"/>
              <w:right w:val="nil"/>
            </w:tcBorders>
            <w:shd w:val="clear" w:color="auto" w:fill="auto"/>
            <w:noWrap/>
            <w:vAlign w:val="bottom"/>
            <w:hideMark/>
          </w:tcPr>
          <w:p w14:paraId="6A3B1B72"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0.03</w:t>
            </w:r>
          </w:p>
        </w:tc>
        <w:tc>
          <w:tcPr>
            <w:tcW w:w="674" w:type="pct"/>
            <w:tcBorders>
              <w:top w:val="nil"/>
              <w:left w:val="nil"/>
              <w:bottom w:val="nil"/>
              <w:right w:val="nil"/>
            </w:tcBorders>
            <w:shd w:val="clear" w:color="auto" w:fill="auto"/>
            <w:noWrap/>
            <w:vAlign w:val="bottom"/>
            <w:hideMark/>
          </w:tcPr>
          <w:p w14:paraId="7898D92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0.13*  </w:t>
            </w:r>
          </w:p>
        </w:tc>
      </w:tr>
      <w:tr w:rsidR="00D652C8" w:rsidRPr="007648C9" w14:paraId="51D1C6E0" w14:textId="77777777" w:rsidTr="000669E5">
        <w:trPr>
          <w:trHeight w:hRule="exact" w:val="259"/>
        </w:trPr>
        <w:tc>
          <w:tcPr>
            <w:tcW w:w="2530" w:type="pct"/>
            <w:tcBorders>
              <w:top w:val="nil"/>
              <w:left w:val="nil"/>
              <w:bottom w:val="nil"/>
              <w:right w:val="nil"/>
            </w:tcBorders>
            <w:shd w:val="clear" w:color="auto" w:fill="auto"/>
            <w:noWrap/>
            <w:vAlign w:val="bottom"/>
            <w:hideMark/>
          </w:tcPr>
          <w:p w14:paraId="267569BC"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Revenue</w:t>
            </w:r>
          </w:p>
        </w:tc>
        <w:tc>
          <w:tcPr>
            <w:tcW w:w="760" w:type="pct"/>
            <w:tcBorders>
              <w:top w:val="nil"/>
              <w:left w:val="nil"/>
              <w:bottom w:val="nil"/>
              <w:right w:val="nil"/>
            </w:tcBorders>
            <w:shd w:val="clear" w:color="auto" w:fill="auto"/>
            <w:noWrap/>
            <w:vAlign w:val="bottom"/>
            <w:hideMark/>
          </w:tcPr>
          <w:p w14:paraId="0166138A"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0.15</w:t>
            </w:r>
          </w:p>
        </w:tc>
        <w:tc>
          <w:tcPr>
            <w:tcW w:w="1036" w:type="pct"/>
            <w:tcBorders>
              <w:top w:val="nil"/>
              <w:left w:val="nil"/>
              <w:bottom w:val="nil"/>
              <w:right w:val="nil"/>
            </w:tcBorders>
            <w:shd w:val="clear" w:color="auto" w:fill="auto"/>
            <w:noWrap/>
            <w:vAlign w:val="bottom"/>
            <w:hideMark/>
          </w:tcPr>
          <w:p w14:paraId="44083820"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0.03</w:t>
            </w:r>
          </w:p>
        </w:tc>
        <w:tc>
          <w:tcPr>
            <w:tcW w:w="674" w:type="pct"/>
            <w:tcBorders>
              <w:top w:val="nil"/>
              <w:left w:val="nil"/>
              <w:bottom w:val="nil"/>
              <w:right w:val="nil"/>
            </w:tcBorders>
            <w:shd w:val="clear" w:color="auto" w:fill="auto"/>
            <w:noWrap/>
            <w:vAlign w:val="bottom"/>
            <w:hideMark/>
          </w:tcPr>
          <w:p w14:paraId="0A5DF6CD"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0.12*    </w:t>
            </w:r>
          </w:p>
        </w:tc>
      </w:tr>
      <w:tr w:rsidR="00D652C8" w:rsidRPr="007648C9" w14:paraId="0AABA7CF" w14:textId="77777777" w:rsidTr="000669E5">
        <w:trPr>
          <w:trHeight w:hRule="exact" w:val="259"/>
        </w:trPr>
        <w:tc>
          <w:tcPr>
            <w:tcW w:w="2530" w:type="pct"/>
            <w:tcBorders>
              <w:top w:val="nil"/>
              <w:left w:val="nil"/>
              <w:bottom w:val="nil"/>
              <w:right w:val="nil"/>
            </w:tcBorders>
            <w:shd w:val="clear" w:color="auto" w:fill="auto"/>
            <w:noWrap/>
            <w:vAlign w:val="bottom"/>
            <w:hideMark/>
          </w:tcPr>
          <w:p w14:paraId="77C7664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Liabilities</w:t>
            </w:r>
          </w:p>
        </w:tc>
        <w:tc>
          <w:tcPr>
            <w:tcW w:w="760" w:type="pct"/>
            <w:tcBorders>
              <w:top w:val="nil"/>
              <w:left w:val="nil"/>
              <w:bottom w:val="nil"/>
              <w:right w:val="nil"/>
            </w:tcBorders>
            <w:shd w:val="clear" w:color="auto" w:fill="auto"/>
            <w:noWrap/>
            <w:vAlign w:val="bottom"/>
            <w:hideMark/>
          </w:tcPr>
          <w:p w14:paraId="37AA8E27"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0.10</w:t>
            </w:r>
          </w:p>
        </w:tc>
        <w:tc>
          <w:tcPr>
            <w:tcW w:w="1036" w:type="pct"/>
            <w:tcBorders>
              <w:top w:val="nil"/>
              <w:left w:val="nil"/>
              <w:bottom w:val="nil"/>
              <w:right w:val="nil"/>
            </w:tcBorders>
            <w:shd w:val="clear" w:color="auto" w:fill="auto"/>
            <w:noWrap/>
            <w:vAlign w:val="bottom"/>
            <w:hideMark/>
          </w:tcPr>
          <w:p w14:paraId="251C2D0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0.03</w:t>
            </w:r>
          </w:p>
        </w:tc>
        <w:tc>
          <w:tcPr>
            <w:tcW w:w="674" w:type="pct"/>
            <w:tcBorders>
              <w:top w:val="nil"/>
              <w:left w:val="nil"/>
              <w:bottom w:val="nil"/>
              <w:right w:val="nil"/>
            </w:tcBorders>
            <w:shd w:val="clear" w:color="auto" w:fill="auto"/>
            <w:noWrap/>
            <w:vAlign w:val="bottom"/>
            <w:hideMark/>
          </w:tcPr>
          <w:p w14:paraId="44F874F5"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0.07      </w:t>
            </w:r>
          </w:p>
        </w:tc>
      </w:tr>
      <w:tr w:rsidR="00D652C8" w:rsidRPr="007648C9" w14:paraId="52B5F124" w14:textId="77777777" w:rsidTr="000669E5">
        <w:trPr>
          <w:trHeight w:hRule="exact" w:val="259"/>
        </w:trPr>
        <w:tc>
          <w:tcPr>
            <w:tcW w:w="2530" w:type="pct"/>
            <w:tcBorders>
              <w:top w:val="nil"/>
              <w:left w:val="nil"/>
              <w:bottom w:val="nil"/>
              <w:right w:val="nil"/>
            </w:tcBorders>
            <w:shd w:val="clear" w:color="auto" w:fill="auto"/>
            <w:noWrap/>
            <w:vAlign w:val="bottom"/>
            <w:hideMark/>
          </w:tcPr>
          <w:p w14:paraId="76516AA4"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Complex Issues</w:t>
            </w:r>
          </w:p>
        </w:tc>
        <w:tc>
          <w:tcPr>
            <w:tcW w:w="760" w:type="pct"/>
            <w:tcBorders>
              <w:top w:val="nil"/>
              <w:left w:val="nil"/>
              <w:bottom w:val="nil"/>
              <w:right w:val="nil"/>
            </w:tcBorders>
            <w:shd w:val="clear" w:color="auto" w:fill="auto"/>
            <w:noWrap/>
            <w:vAlign w:val="bottom"/>
            <w:hideMark/>
          </w:tcPr>
          <w:p w14:paraId="2C75097E"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0.21</w:t>
            </w:r>
          </w:p>
        </w:tc>
        <w:tc>
          <w:tcPr>
            <w:tcW w:w="1036" w:type="pct"/>
            <w:tcBorders>
              <w:top w:val="nil"/>
              <w:left w:val="nil"/>
              <w:bottom w:val="nil"/>
              <w:right w:val="nil"/>
            </w:tcBorders>
            <w:shd w:val="clear" w:color="auto" w:fill="auto"/>
            <w:noWrap/>
            <w:vAlign w:val="bottom"/>
            <w:hideMark/>
          </w:tcPr>
          <w:p w14:paraId="20FA009D"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0.03</w:t>
            </w:r>
          </w:p>
        </w:tc>
        <w:tc>
          <w:tcPr>
            <w:tcW w:w="674" w:type="pct"/>
            <w:tcBorders>
              <w:top w:val="nil"/>
              <w:left w:val="nil"/>
              <w:bottom w:val="nil"/>
              <w:right w:val="nil"/>
            </w:tcBorders>
            <w:shd w:val="clear" w:color="auto" w:fill="auto"/>
            <w:noWrap/>
            <w:vAlign w:val="bottom"/>
            <w:hideMark/>
          </w:tcPr>
          <w:p w14:paraId="31F658B5"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0.18**  </w:t>
            </w:r>
          </w:p>
        </w:tc>
      </w:tr>
      <w:tr w:rsidR="00D652C8" w:rsidRPr="007648C9" w14:paraId="2822AD49" w14:textId="77777777" w:rsidTr="000669E5">
        <w:trPr>
          <w:trHeight w:hRule="exact" w:val="259"/>
        </w:trPr>
        <w:tc>
          <w:tcPr>
            <w:tcW w:w="2530" w:type="pct"/>
            <w:tcBorders>
              <w:top w:val="nil"/>
              <w:left w:val="nil"/>
              <w:bottom w:val="nil"/>
              <w:right w:val="nil"/>
            </w:tcBorders>
            <w:shd w:val="clear" w:color="auto" w:fill="auto"/>
            <w:noWrap/>
            <w:vAlign w:val="bottom"/>
            <w:hideMark/>
          </w:tcPr>
          <w:p w14:paraId="28F0E6AB"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Other</w:t>
            </w:r>
          </w:p>
        </w:tc>
        <w:tc>
          <w:tcPr>
            <w:tcW w:w="760" w:type="pct"/>
            <w:tcBorders>
              <w:top w:val="nil"/>
              <w:left w:val="nil"/>
              <w:bottom w:val="nil"/>
              <w:right w:val="nil"/>
            </w:tcBorders>
            <w:shd w:val="clear" w:color="auto" w:fill="auto"/>
            <w:noWrap/>
            <w:vAlign w:val="bottom"/>
            <w:hideMark/>
          </w:tcPr>
          <w:p w14:paraId="3CCDF9E0"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0.52</w:t>
            </w:r>
          </w:p>
        </w:tc>
        <w:tc>
          <w:tcPr>
            <w:tcW w:w="1036" w:type="pct"/>
            <w:tcBorders>
              <w:top w:val="nil"/>
              <w:left w:val="nil"/>
              <w:bottom w:val="nil"/>
              <w:right w:val="nil"/>
            </w:tcBorders>
            <w:shd w:val="clear" w:color="auto" w:fill="auto"/>
            <w:noWrap/>
            <w:vAlign w:val="bottom"/>
            <w:hideMark/>
          </w:tcPr>
          <w:p w14:paraId="44F7D25A"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0.18</w:t>
            </w:r>
          </w:p>
        </w:tc>
        <w:tc>
          <w:tcPr>
            <w:tcW w:w="674" w:type="pct"/>
            <w:tcBorders>
              <w:top w:val="nil"/>
              <w:left w:val="nil"/>
              <w:bottom w:val="nil"/>
              <w:right w:val="nil"/>
            </w:tcBorders>
            <w:shd w:val="clear" w:color="auto" w:fill="auto"/>
            <w:noWrap/>
            <w:vAlign w:val="bottom"/>
            <w:hideMark/>
          </w:tcPr>
          <w:p w14:paraId="724DA793"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0.34***</w:t>
            </w:r>
          </w:p>
        </w:tc>
      </w:tr>
      <w:tr w:rsidR="00D652C8" w:rsidRPr="007648C9" w14:paraId="2CA29425" w14:textId="77777777" w:rsidTr="000669E5">
        <w:trPr>
          <w:trHeight w:hRule="exact" w:val="144"/>
        </w:trPr>
        <w:tc>
          <w:tcPr>
            <w:tcW w:w="2530" w:type="pct"/>
            <w:tcBorders>
              <w:top w:val="nil"/>
              <w:left w:val="nil"/>
              <w:bottom w:val="nil"/>
              <w:right w:val="nil"/>
            </w:tcBorders>
            <w:shd w:val="clear" w:color="auto" w:fill="auto"/>
            <w:noWrap/>
            <w:vAlign w:val="bottom"/>
          </w:tcPr>
          <w:p w14:paraId="555E9F29"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nil"/>
              <w:right w:val="nil"/>
            </w:tcBorders>
            <w:shd w:val="clear" w:color="auto" w:fill="auto"/>
            <w:noWrap/>
            <w:vAlign w:val="bottom"/>
          </w:tcPr>
          <w:p w14:paraId="2A0CD956"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top w:val="nil"/>
              <w:left w:val="nil"/>
              <w:bottom w:val="nil"/>
              <w:right w:val="nil"/>
            </w:tcBorders>
            <w:shd w:val="clear" w:color="auto" w:fill="auto"/>
            <w:noWrap/>
            <w:vAlign w:val="bottom"/>
          </w:tcPr>
          <w:p w14:paraId="49FA923B"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top w:val="nil"/>
              <w:left w:val="nil"/>
              <w:bottom w:val="nil"/>
              <w:right w:val="nil"/>
            </w:tcBorders>
            <w:shd w:val="clear" w:color="auto" w:fill="auto"/>
            <w:noWrap/>
            <w:vAlign w:val="bottom"/>
          </w:tcPr>
          <w:p w14:paraId="2CC8C10B" w14:textId="77777777" w:rsidR="00D652C8" w:rsidRPr="007648C9" w:rsidRDefault="00D652C8" w:rsidP="000669E5">
            <w:pPr>
              <w:spacing w:after="0" w:line="240" w:lineRule="auto"/>
              <w:rPr>
                <w:rFonts w:ascii="Times New Roman" w:eastAsia="Times New Roman" w:hAnsi="Times New Roman" w:cs="Times New Roman"/>
                <w:color w:val="000000"/>
              </w:rPr>
            </w:pPr>
          </w:p>
        </w:tc>
      </w:tr>
      <w:tr w:rsidR="00D652C8" w:rsidRPr="007648C9" w14:paraId="290DB395" w14:textId="77777777" w:rsidTr="000669E5">
        <w:trPr>
          <w:trHeight w:hRule="exact" w:val="288"/>
        </w:trPr>
        <w:tc>
          <w:tcPr>
            <w:tcW w:w="5000" w:type="pct"/>
            <w:gridSpan w:val="4"/>
            <w:tcBorders>
              <w:top w:val="single" w:sz="8" w:space="0" w:color="auto"/>
              <w:left w:val="nil"/>
              <w:bottom w:val="single" w:sz="8" w:space="0" w:color="auto"/>
              <w:right w:val="nil"/>
            </w:tcBorders>
            <w:shd w:val="clear" w:color="auto" w:fill="auto"/>
            <w:noWrap/>
            <w:vAlign w:val="bottom"/>
            <w:hideMark/>
          </w:tcPr>
          <w:p w14:paraId="741A1E6A"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Panel B: Comparison of restatement accounting issues</w:t>
            </w:r>
          </w:p>
        </w:tc>
      </w:tr>
      <w:tr w:rsidR="00D652C8" w:rsidRPr="007648C9" w14:paraId="6633913F" w14:textId="77777777" w:rsidTr="000669E5">
        <w:trPr>
          <w:trHeight w:hRule="exact" w:val="576"/>
        </w:trPr>
        <w:tc>
          <w:tcPr>
            <w:tcW w:w="2530" w:type="pct"/>
            <w:tcBorders>
              <w:top w:val="nil"/>
              <w:left w:val="nil"/>
              <w:bottom w:val="single" w:sz="8" w:space="0" w:color="auto"/>
              <w:right w:val="nil"/>
            </w:tcBorders>
            <w:shd w:val="clear" w:color="auto" w:fill="auto"/>
            <w:noWrap/>
            <w:vAlign w:val="bottom"/>
            <w:hideMark/>
          </w:tcPr>
          <w:p w14:paraId="0DAF2456" w14:textId="77777777" w:rsidR="00D652C8" w:rsidRPr="007648C9" w:rsidRDefault="00D652C8" w:rsidP="000669E5">
            <w:pPr>
              <w:spacing w:after="0" w:line="240" w:lineRule="auto"/>
              <w:rPr>
                <w:rFonts w:ascii="Times New Roman" w:eastAsia="Times New Roman" w:hAnsi="Times New Roman" w:cs="Times New Roman"/>
                <w:i/>
                <w:iCs/>
                <w:color w:val="000000"/>
              </w:rPr>
            </w:pPr>
            <w:r w:rsidRPr="007648C9">
              <w:rPr>
                <w:rFonts w:ascii="Times New Roman" w:eastAsia="Times New Roman" w:hAnsi="Times New Roman" w:cs="Times New Roman"/>
                <w:i/>
                <w:iCs/>
                <w:color w:val="000000"/>
              </w:rPr>
              <w:t>Accounting Issue</w:t>
            </w:r>
          </w:p>
        </w:tc>
        <w:tc>
          <w:tcPr>
            <w:tcW w:w="760" w:type="pct"/>
            <w:tcBorders>
              <w:top w:val="nil"/>
              <w:left w:val="nil"/>
              <w:bottom w:val="single" w:sz="8" w:space="0" w:color="auto"/>
              <w:right w:val="nil"/>
            </w:tcBorders>
            <w:shd w:val="clear" w:color="auto" w:fill="auto"/>
            <w:vAlign w:val="bottom"/>
            <w:hideMark/>
          </w:tcPr>
          <w:p w14:paraId="1311BC7B"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SPAC-IPOs         (N=30)</w:t>
            </w:r>
          </w:p>
        </w:tc>
        <w:tc>
          <w:tcPr>
            <w:tcW w:w="1036" w:type="pct"/>
            <w:tcBorders>
              <w:top w:val="nil"/>
              <w:left w:val="nil"/>
              <w:bottom w:val="single" w:sz="8" w:space="0" w:color="auto"/>
              <w:right w:val="nil"/>
            </w:tcBorders>
            <w:shd w:val="clear" w:color="auto" w:fill="auto"/>
            <w:vAlign w:val="bottom"/>
            <w:hideMark/>
          </w:tcPr>
          <w:p w14:paraId="2A7867DE"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Non-SPAC-IPOs       (N=7)</w:t>
            </w:r>
          </w:p>
        </w:tc>
        <w:tc>
          <w:tcPr>
            <w:tcW w:w="674" w:type="pct"/>
            <w:tcBorders>
              <w:top w:val="nil"/>
              <w:left w:val="nil"/>
              <w:bottom w:val="single" w:sz="8" w:space="0" w:color="auto"/>
              <w:right w:val="nil"/>
            </w:tcBorders>
            <w:shd w:val="clear" w:color="auto" w:fill="auto"/>
            <w:vAlign w:val="bottom"/>
            <w:hideMark/>
          </w:tcPr>
          <w:p w14:paraId="6835776D"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Difference</w:t>
            </w:r>
          </w:p>
        </w:tc>
      </w:tr>
      <w:tr w:rsidR="00D652C8" w:rsidRPr="007648C9" w14:paraId="042B203B" w14:textId="77777777" w:rsidTr="000669E5">
        <w:trPr>
          <w:trHeight w:hRule="exact" w:val="144"/>
        </w:trPr>
        <w:tc>
          <w:tcPr>
            <w:tcW w:w="2530" w:type="pct"/>
            <w:tcBorders>
              <w:top w:val="nil"/>
              <w:left w:val="nil"/>
              <w:bottom w:val="nil"/>
              <w:right w:val="nil"/>
            </w:tcBorders>
            <w:shd w:val="clear" w:color="auto" w:fill="auto"/>
            <w:noWrap/>
            <w:vAlign w:val="bottom"/>
          </w:tcPr>
          <w:p w14:paraId="6358195E"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nil"/>
              <w:right w:val="nil"/>
            </w:tcBorders>
            <w:shd w:val="clear" w:color="auto" w:fill="auto"/>
            <w:noWrap/>
            <w:vAlign w:val="bottom"/>
          </w:tcPr>
          <w:p w14:paraId="45D2122D"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top w:val="nil"/>
              <w:left w:val="nil"/>
              <w:bottom w:val="nil"/>
              <w:right w:val="nil"/>
            </w:tcBorders>
            <w:shd w:val="clear" w:color="auto" w:fill="auto"/>
            <w:noWrap/>
            <w:vAlign w:val="bottom"/>
          </w:tcPr>
          <w:p w14:paraId="271018D3"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top w:val="nil"/>
              <w:left w:val="nil"/>
              <w:bottom w:val="nil"/>
              <w:right w:val="nil"/>
            </w:tcBorders>
            <w:shd w:val="clear" w:color="auto" w:fill="auto"/>
            <w:noWrap/>
            <w:vAlign w:val="bottom"/>
          </w:tcPr>
          <w:p w14:paraId="2F950D47" w14:textId="77777777" w:rsidR="00D652C8" w:rsidRPr="007648C9" w:rsidRDefault="00D652C8" w:rsidP="000669E5">
            <w:pPr>
              <w:spacing w:after="0" w:line="240" w:lineRule="auto"/>
              <w:rPr>
                <w:rFonts w:ascii="Times New Roman" w:eastAsia="Times New Roman" w:hAnsi="Times New Roman" w:cs="Times New Roman"/>
                <w:color w:val="000000"/>
              </w:rPr>
            </w:pPr>
          </w:p>
        </w:tc>
      </w:tr>
      <w:tr w:rsidR="00D652C8" w:rsidRPr="007648C9" w14:paraId="2A285BF5" w14:textId="77777777" w:rsidTr="000669E5">
        <w:trPr>
          <w:trHeight w:hRule="exact" w:val="259"/>
        </w:trPr>
        <w:tc>
          <w:tcPr>
            <w:tcW w:w="2530" w:type="pct"/>
            <w:tcBorders>
              <w:top w:val="nil"/>
              <w:left w:val="nil"/>
              <w:bottom w:val="nil"/>
              <w:right w:val="nil"/>
            </w:tcBorders>
            <w:shd w:val="clear" w:color="auto" w:fill="auto"/>
            <w:noWrap/>
            <w:vAlign w:val="bottom"/>
            <w:hideMark/>
          </w:tcPr>
          <w:p w14:paraId="05803D32"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Revenue</w:t>
            </w:r>
          </w:p>
        </w:tc>
        <w:tc>
          <w:tcPr>
            <w:tcW w:w="760" w:type="pct"/>
            <w:tcBorders>
              <w:top w:val="nil"/>
              <w:left w:val="nil"/>
              <w:bottom w:val="nil"/>
              <w:right w:val="nil"/>
            </w:tcBorders>
            <w:shd w:val="clear" w:color="auto" w:fill="auto"/>
            <w:noWrap/>
            <w:vAlign w:val="bottom"/>
            <w:hideMark/>
          </w:tcPr>
          <w:p w14:paraId="23B85EC3"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0.13</w:t>
            </w:r>
          </w:p>
        </w:tc>
        <w:tc>
          <w:tcPr>
            <w:tcW w:w="1036" w:type="pct"/>
            <w:tcBorders>
              <w:top w:val="nil"/>
              <w:left w:val="nil"/>
              <w:bottom w:val="nil"/>
              <w:right w:val="nil"/>
            </w:tcBorders>
            <w:shd w:val="clear" w:color="auto" w:fill="auto"/>
            <w:noWrap/>
            <w:vAlign w:val="bottom"/>
            <w:hideMark/>
          </w:tcPr>
          <w:p w14:paraId="73183022"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0.14</w:t>
            </w:r>
          </w:p>
        </w:tc>
        <w:tc>
          <w:tcPr>
            <w:tcW w:w="674" w:type="pct"/>
            <w:tcBorders>
              <w:top w:val="nil"/>
              <w:left w:val="nil"/>
              <w:bottom w:val="nil"/>
              <w:right w:val="nil"/>
            </w:tcBorders>
            <w:shd w:val="clear" w:color="auto" w:fill="auto"/>
            <w:noWrap/>
            <w:vAlign w:val="bottom"/>
            <w:hideMark/>
          </w:tcPr>
          <w:p w14:paraId="01FB8BA1"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-0.01      </w:t>
            </w:r>
          </w:p>
        </w:tc>
      </w:tr>
      <w:tr w:rsidR="00D652C8" w:rsidRPr="007648C9" w14:paraId="00F3B2B3" w14:textId="77777777" w:rsidTr="000669E5">
        <w:trPr>
          <w:trHeight w:hRule="exact" w:val="259"/>
        </w:trPr>
        <w:tc>
          <w:tcPr>
            <w:tcW w:w="2530" w:type="pct"/>
            <w:tcBorders>
              <w:top w:val="nil"/>
              <w:left w:val="nil"/>
              <w:bottom w:val="nil"/>
              <w:right w:val="nil"/>
            </w:tcBorders>
            <w:shd w:val="clear" w:color="auto" w:fill="auto"/>
            <w:noWrap/>
            <w:vAlign w:val="bottom"/>
            <w:hideMark/>
          </w:tcPr>
          <w:p w14:paraId="695C8FE2"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Core Expenses</w:t>
            </w:r>
          </w:p>
        </w:tc>
        <w:tc>
          <w:tcPr>
            <w:tcW w:w="760" w:type="pct"/>
            <w:tcBorders>
              <w:top w:val="nil"/>
              <w:left w:val="nil"/>
              <w:bottom w:val="nil"/>
              <w:right w:val="nil"/>
            </w:tcBorders>
            <w:shd w:val="clear" w:color="auto" w:fill="auto"/>
            <w:noWrap/>
            <w:vAlign w:val="bottom"/>
            <w:hideMark/>
          </w:tcPr>
          <w:p w14:paraId="1F08C5B1"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0.23</w:t>
            </w:r>
          </w:p>
        </w:tc>
        <w:tc>
          <w:tcPr>
            <w:tcW w:w="1036" w:type="pct"/>
            <w:tcBorders>
              <w:top w:val="nil"/>
              <w:left w:val="nil"/>
              <w:bottom w:val="nil"/>
              <w:right w:val="nil"/>
            </w:tcBorders>
            <w:shd w:val="clear" w:color="auto" w:fill="auto"/>
            <w:noWrap/>
            <w:vAlign w:val="bottom"/>
            <w:hideMark/>
          </w:tcPr>
          <w:p w14:paraId="2E94E30E"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0.14</w:t>
            </w:r>
          </w:p>
        </w:tc>
        <w:tc>
          <w:tcPr>
            <w:tcW w:w="674" w:type="pct"/>
            <w:tcBorders>
              <w:top w:val="nil"/>
              <w:left w:val="nil"/>
              <w:bottom w:val="nil"/>
              <w:right w:val="nil"/>
            </w:tcBorders>
            <w:shd w:val="clear" w:color="auto" w:fill="auto"/>
            <w:noWrap/>
            <w:vAlign w:val="bottom"/>
            <w:hideMark/>
          </w:tcPr>
          <w:p w14:paraId="20D75C11"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0.09      </w:t>
            </w:r>
          </w:p>
        </w:tc>
      </w:tr>
      <w:tr w:rsidR="00D652C8" w:rsidRPr="007648C9" w14:paraId="78462218" w14:textId="77777777" w:rsidTr="000669E5">
        <w:trPr>
          <w:trHeight w:hRule="exact" w:val="259"/>
        </w:trPr>
        <w:tc>
          <w:tcPr>
            <w:tcW w:w="2530" w:type="pct"/>
            <w:tcBorders>
              <w:top w:val="nil"/>
              <w:left w:val="nil"/>
              <w:bottom w:val="nil"/>
              <w:right w:val="nil"/>
            </w:tcBorders>
            <w:shd w:val="clear" w:color="auto" w:fill="auto"/>
            <w:noWrap/>
            <w:vAlign w:val="bottom"/>
            <w:hideMark/>
          </w:tcPr>
          <w:p w14:paraId="201B2B2F"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Current Assets</w:t>
            </w:r>
          </w:p>
        </w:tc>
        <w:tc>
          <w:tcPr>
            <w:tcW w:w="760" w:type="pct"/>
            <w:tcBorders>
              <w:top w:val="nil"/>
              <w:left w:val="nil"/>
              <w:bottom w:val="nil"/>
              <w:right w:val="nil"/>
            </w:tcBorders>
            <w:shd w:val="clear" w:color="auto" w:fill="auto"/>
            <w:noWrap/>
            <w:vAlign w:val="bottom"/>
            <w:hideMark/>
          </w:tcPr>
          <w:p w14:paraId="4D547FB8"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0.17</w:t>
            </w:r>
          </w:p>
        </w:tc>
        <w:tc>
          <w:tcPr>
            <w:tcW w:w="1036" w:type="pct"/>
            <w:tcBorders>
              <w:top w:val="nil"/>
              <w:left w:val="nil"/>
              <w:bottom w:val="nil"/>
              <w:right w:val="nil"/>
            </w:tcBorders>
            <w:shd w:val="clear" w:color="auto" w:fill="auto"/>
            <w:noWrap/>
            <w:vAlign w:val="bottom"/>
            <w:hideMark/>
          </w:tcPr>
          <w:p w14:paraId="3DB48C6D"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0.14</w:t>
            </w:r>
          </w:p>
        </w:tc>
        <w:tc>
          <w:tcPr>
            <w:tcW w:w="674" w:type="pct"/>
            <w:tcBorders>
              <w:top w:val="nil"/>
              <w:left w:val="nil"/>
              <w:bottom w:val="nil"/>
              <w:right w:val="nil"/>
            </w:tcBorders>
            <w:shd w:val="clear" w:color="auto" w:fill="auto"/>
            <w:noWrap/>
            <w:vAlign w:val="bottom"/>
            <w:hideMark/>
          </w:tcPr>
          <w:p w14:paraId="527BF3D5"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0.03      </w:t>
            </w:r>
          </w:p>
        </w:tc>
      </w:tr>
      <w:tr w:rsidR="00D652C8" w:rsidRPr="007648C9" w14:paraId="488115AD" w14:textId="77777777" w:rsidTr="000669E5">
        <w:trPr>
          <w:trHeight w:hRule="exact" w:val="259"/>
        </w:trPr>
        <w:tc>
          <w:tcPr>
            <w:tcW w:w="2530" w:type="pct"/>
            <w:tcBorders>
              <w:top w:val="nil"/>
              <w:left w:val="nil"/>
              <w:bottom w:val="nil"/>
              <w:right w:val="nil"/>
            </w:tcBorders>
            <w:shd w:val="clear" w:color="auto" w:fill="auto"/>
            <w:noWrap/>
            <w:vAlign w:val="bottom"/>
            <w:hideMark/>
          </w:tcPr>
          <w:p w14:paraId="3596EC41"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Liabilities</w:t>
            </w:r>
          </w:p>
        </w:tc>
        <w:tc>
          <w:tcPr>
            <w:tcW w:w="760" w:type="pct"/>
            <w:tcBorders>
              <w:top w:val="nil"/>
              <w:left w:val="nil"/>
              <w:bottom w:val="nil"/>
              <w:right w:val="nil"/>
            </w:tcBorders>
            <w:shd w:val="clear" w:color="auto" w:fill="auto"/>
            <w:noWrap/>
            <w:vAlign w:val="bottom"/>
            <w:hideMark/>
          </w:tcPr>
          <w:p w14:paraId="79F24510"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0.27</w:t>
            </w:r>
          </w:p>
        </w:tc>
        <w:tc>
          <w:tcPr>
            <w:tcW w:w="1036" w:type="pct"/>
            <w:tcBorders>
              <w:top w:val="nil"/>
              <w:left w:val="nil"/>
              <w:bottom w:val="nil"/>
              <w:right w:val="nil"/>
            </w:tcBorders>
            <w:shd w:val="clear" w:color="auto" w:fill="auto"/>
            <w:noWrap/>
            <w:vAlign w:val="bottom"/>
            <w:hideMark/>
          </w:tcPr>
          <w:p w14:paraId="5E5073A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4F714C1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0.27      </w:t>
            </w:r>
          </w:p>
        </w:tc>
      </w:tr>
      <w:tr w:rsidR="00D652C8" w:rsidRPr="007648C9" w14:paraId="55AC4781" w14:textId="77777777" w:rsidTr="000669E5">
        <w:trPr>
          <w:trHeight w:hRule="exact" w:val="259"/>
        </w:trPr>
        <w:tc>
          <w:tcPr>
            <w:tcW w:w="2530" w:type="pct"/>
            <w:tcBorders>
              <w:top w:val="nil"/>
              <w:left w:val="nil"/>
              <w:bottom w:val="nil"/>
              <w:right w:val="nil"/>
            </w:tcBorders>
            <w:shd w:val="clear" w:color="auto" w:fill="auto"/>
            <w:noWrap/>
            <w:vAlign w:val="bottom"/>
            <w:hideMark/>
          </w:tcPr>
          <w:p w14:paraId="1B29695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Warrants</w:t>
            </w:r>
          </w:p>
        </w:tc>
        <w:tc>
          <w:tcPr>
            <w:tcW w:w="760" w:type="pct"/>
            <w:tcBorders>
              <w:top w:val="nil"/>
              <w:left w:val="nil"/>
              <w:bottom w:val="nil"/>
              <w:right w:val="nil"/>
            </w:tcBorders>
            <w:shd w:val="clear" w:color="auto" w:fill="auto"/>
            <w:noWrap/>
            <w:vAlign w:val="bottom"/>
            <w:hideMark/>
          </w:tcPr>
          <w:p w14:paraId="1EBAD9C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0.50</w:t>
            </w:r>
          </w:p>
        </w:tc>
        <w:tc>
          <w:tcPr>
            <w:tcW w:w="1036" w:type="pct"/>
            <w:tcBorders>
              <w:top w:val="nil"/>
              <w:left w:val="nil"/>
              <w:bottom w:val="nil"/>
              <w:right w:val="nil"/>
            </w:tcBorders>
            <w:shd w:val="clear" w:color="auto" w:fill="auto"/>
            <w:noWrap/>
            <w:vAlign w:val="bottom"/>
            <w:hideMark/>
          </w:tcPr>
          <w:p w14:paraId="0140FFA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0.14</w:t>
            </w:r>
          </w:p>
        </w:tc>
        <w:tc>
          <w:tcPr>
            <w:tcW w:w="674" w:type="pct"/>
            <w:tcBorders>
              <w:top w:val="nil"/>
              <w:left w:val="nil"/>
              <w:bottom w:val="nil"/>
              <w:right w:val="nil"/>
            </w:tcBorders>
            <w:shd w:val="clear" w:color="auto" w:fill="auto"/>
            <w:noWrap/>
            <w:vAlign w:val="bottom"/>
            <w:hideMark/>
          </w:tcPr>
          <w:p w14:paraId="359CA68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0.36*      </w:t>
            </w:r>
          </w:p>
        </w:tc>
      </w:tr>
      <w:tr w:rsidR="00D652C8" w:rsidRPr="007648C9" w14:paraId="7A7ABF87" w14:textId="77777777" w:rsidTr="000669E5">
        <w:trPr>
          <w:trHeight w:hRule="exact" w:val="259"/>
        </w:trPr>
        <w:tc>
          <w:tcPr>
            <w:tcW w:w="2530" w:type="pct"/>
            <w:tcBorders>
              <w:top w:val="nil"/>
              <w:left w:val="nil"/>
              <w:right w:val="nil"/>
            </w:tcBorders>
            <w:shd w:val="clear" w:color="auto" w:fill="auto"/>
            <w:noWrap/>
            <w:vAlign w:val="bottom"/>
            <w:hideMark/>
          </w:tcPr>
          <w:p w14:paraId="4D3FFE59"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Complex Issues</w:t>
            </w:r>
          </w:p>
        </w:tc>
        <w:tc>
          <w:tcPr>
            <w:tcW w:w="760" w:type="pct"/>
            <w:tcBorders>
              <w:top w:val="nil"/>
              <w:left w:val="nil"/>
              <w:right w:val="nil"/>
            </w:tcBorders>
            <w:shd w:val="clear" w:color="auto" w:fill="auto"/>
            <w:noWrap/>
            <w:vAlign w:val="bottom"/>
            <w:hideMark/>
          </w:tcPr>
          <w:p w14:paraId="2B0D780C"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0.30</w:t>
            </w:r>
          </w:p>
        </w:tc>
        <w:tc>
          <w:tcPr>
            <w:tcW w:w="1036" w:type="pct"/>
            <w:tcBorders>
              <w:top w:val="nil"/>
              <w:left w:val="nil"/>
              <w:right w:val="nil"/>
            </w:tcBorders>
            <w:shd w:val="clear" w:color="auto" w:fill="auto"/>
            <w:noWrap/>
            <w:vAlign w:val="bottom"/>
            <w:hideMark/>
          </w:tcPr>
          <w:p w14:paraId="3EC3246C"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0.14</w:t>
            </w:r>
          </w:p>
        </w:tc>
        <w:tc>
          <w:tcPr>
            <w:tcW w:w="674" w:type="pct"/>
            <w:tcBorders>
              <w:top w:val="nil"/>
              <w:left w:val="nil"/>
              <w:right w:val="nil"/>
            </w:tcBorders>
            <w:shd w:val="clear" w:color="auto" w:fill="auto"/>
            <w:noWrap/>
            <w:vAlign w:val="bottom"/>
            <w:hideMark/>
          </w:tcPr>
          <w:p w14:paraId="5F5928B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0.16      </w:t>
            </w:r>
          </w:p>
        </w:tc>
      </w:tr>
      <w:tr w:rsidR="00D652C8" w:rsidRPr="007648C9" w14:paraId="2795A70B" w14:textId="77777777" w:rsidTr="000669E5">
        <w:trPr>
          <w:trHeight w:hRule="exact" w:val="259"/>
        </w:trPr>
        <w:tc>
          <w:tcPr>
            <w:tcW w:w="2530" w:type="pct"/>
            <w:tcBorders>
              <w:top w:val="nil"/>
              <w:left w:val="nil"/>
              <w:right w:val="nil"/>
            </w:tcBorders>
            <w:shd w:val="clear" w:color="auto" w:fill="auto"/>
            <w:noWrap/>
            <w:vAlign w:val="bottom"/>
            <w:hideMark/>
          </w:tcPr>
          <w:p w14:paraId="521284D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Other</w:t>
            </w:r>
          </w:p>
        </w:tc>
        <w:tc>
          <w:tcPr>
            <w:tcW w:w="760" w:type="pct"/>
            <w:tcBorders>
              <w:top w:val="nil"/>
              <w:left w:val="nil"/>
              <w:right w:val="nil"/>
            </w:tcBorders>
            <w:shd w:val="clear" w:color="auto" w:fill="auto"/>
            <w:noWrap/>
            <w:vAlign w:val="bottom"/>
            <w:hideMark/>
          </w:tcPr>
          <w:p w14:paraId="2B7F3467"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0.13</w:t>
            </w:r>
          </w:p>
        </w:tc>
        <w:tc>
          <w:tcPr>
            <w:tcW w:w="1036" w:type="pct"/>
            <w:tcBorders>
              <w:top w:val="nil"/>
              <w:left w:val="nil"/>
              <w:right w:val="nil"/>
            </w:tcBorders>
            <w:shd w:val="clear" w:color="auto" w:fill="auto"/>
            <w:noWrap/>
            <w:vAlign w:val="bottom"/>
            <w:hideMark/>
          </w:tcPr>
          <w:p w14:paraId="4A0A1667"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0.57</w:t>
            </w:r>
          </w:p>
        </w:tc>
        <w:tc>
          <w:tcPr>
            <w:tcW w:w="674" w:type="pct"/>
            <w:tcBorders>
              <w:top w:val="nil"/>
              <w:left w:val="nil"/>
              <w:right w:val="nil"/>
            </w:tcBorders>
            <w:shd w:val="clear" w:color="auto" w:fill="auto"/>
            <w:noWrap/>
            <w:vAlign w:val="bottom"/>
            <w:hideMark/>
          </w:tcPr>
          <w:p w14:paraId="000A5619"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-0.44**  </w:t>
            </w:r>
          </w:p>
        </w:tc>
      </w:tr>
      <w:tr w:rsidR="00D652C8" w:rsidRPr="007648C9" w14:paraId="2E51412E" w14:textId="77777777" w:rsidTr="000669E5">
        <w:trPr>
          <w:trHeight w:hRule="exact" w:val="144"/>
        </w:trPr>
        <w:tc>
          <w:tcPr>
            <w:tcW w:w="2530" w:type="pct"/>
            <w:tcBorders>
              <w:left w:val="nil"/>
              <w:bottom w:val="single" w:sz="8" w:space="0" w:color="auto"/>
              <w:right w:val="nil"/>
            </w:tcBorders>
            <w:shd w:val="clear" w:color="auto" w:fill="auto"/>
            <w:noWrap/>
            <w:vAlign w:val="bottom"/>
          </w:tcPr>
          <w:p w14:paraId="3336200C"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left w:val="nil"/>
              <w:bottom w:val="single" w:sz="8" w:space="0" w:color="auto"/>
              <w:right w:val="nil"/>
            </w:tcBorders>
            <w:shd w:val="clear" w:color="auto" w:fill="auto"/>
            <w:noWrap/>
            <w:vAlign w:val="bottom"/>
          </w:tcPr>
          <w:p w14:paraId="3E7845AD"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left w:val="nil"/>
              <w:bottom w:val="single" w:sz="8" w:space="0" w:color="auto"/>
              <w:right w:val="nil"/>
            </w:tcBorders>
            <w:shd w:val="clear" w:color="auto" w:fill="auto"/>
            <w:noWrap/>
            <w:vAlign w:val="bottom"/>
          </w:tcPr>
          <w:p w14:paraId="2715C51B"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left w:val="nil"/>
              <w:bottom w:val="single" w:sz="8" w:space="0" w:color="auto"/>
              <w:right w:val="nil"/>
            </w:tcBorders>
            <w:shd w:val="clear" w:color="auto" w:fill="auto"/>
            <w:noWrap/>
            <w:vAlign w:val="bottom"/>
          </w:tcPr>
          <w:p w14:paraId="09376CB0" w14:textId="77777777" w:rsidR="00D652C8" w:rsidRPr="007648C9" w:rsidRDefault="00D652C8" w:rsidP="000669E5">
            <w:pPr>
              <w:spacing w:after="0" w:line="240" w:lineRule="auto"/>
              <w:rPr>
                <w:rFonts w:ascii="Times New Roman" w:eastAsia="Times New Roman" w:hAnsi="Times New Roman" w:cs="Times New Roman"/>
                <w:color w:val="000000"/>
              </w:rPr>
            </w:pPr>
          </w:p>
        </w:tc>
      </w:tr>
      <w:tr w:rsidR="00D652C8" w:rsidRPr="007648C9" w14:paraId="352091E0" w14:textId="77777777" w:rsidTr="000669E5">
        <w:trPr>
          <w:trHeight w:hRule="exact" w:val="288"/>
        </w:trPr>
        <w:tc>
          <w:tcPr>
            <w:tcW w:w="5000" w:type="pct"/>
            <w:gridSpan w:val="4"/>
            <w:tcBorders>
              <w:top w:val="nil"/>
              <w:left w:val="nil"/>
              <w:bottom w:val="single" w:sz="8" w:space="0" w:color="auto"/>
              <w:right w:val="nil"/>
            </w:tcBorders>
            <w:shd w:val="clear" w:color="auto" w:fill="auto"/>
            <w:noWrap/>
            <w:vAlign w:val="bottom"/>
            <w:hideMark/>
          </w:tcPr>
          <w:p w14:paraId="7E3E3FC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Panel C: Comparison of reasons for non-timely filings</w:t>
            </w:r>
          </w:p>
        </w:tc>
      </w:tr>
      <w:tr w:rsidR="00D652C8" w:rsidRPr="007648C9" w14:paraId="3E1BE715" w14:textId="77777777" w:rsidTr="000669E5">
        <w:trPr>
          <w:trHeight w:hRule="exact" w:val="576"/>
        </w:trPr>
        <w:tc>
          <w:tcPr>
            <w:tcW w:w="2530" w:type="pct"/>
            <w:tcBorders>
              <w:top w:val="nil"/>
              <w:left w:val="nil"/>
              <w:bottom w:val="single" w:sz="8" w:space="0" w:color="auto"/>
              <w:right w:val="nil"/>
            </w:tcBorders>
            <w:shd w:val="clear" w:color="auto" w:fill="auto"/>
            <w:noWrap/>
            <w:vAlign w:val="bottom"/>
            <w:hideMark/>
          </w:tcPr>
          <w:p w14:paraId="3D89123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Reason</w:t>
            </w:r>
          </w:p>
        </w:tc>
        <w:tc>
          <w:tcPr>
            <w:tcW w:w="760" w:type="pct"/>
            <w:tcBorders>
              <w:top w:val="nil"/>
              <w:left w:val="nil"/>
              <w:bottom w:val="single" w:sz="8" w:space="0" w:color="auto"/>
              <w:right w:val="nil"/>
            </w:tcBorders>
            <w:shd w:val="clear" w:color="auto" w:fill="auto"/>
            <w:vAlign w:val="bottom"/>
            <w:hideMark/>
          </w:tcPr>
          <w:p w14:paraId="4E8CD1FF"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SPAC-IPOs         (N=28)</w:t>
            </w:r>
          </w:p>
        </w:tc>
        <w:tc>
          <w:tcPr>
            <w:tcW w:w="1036" w:type="pct"/>
            <w:tcBorders>
              <w:top w:val="nil"/>
              <w:left w:val="nil"/>
              <w:bottom w:val="single" w:sz="8" w:space="0" w:color="auto"/>
              <w:right w:val="nil"/>
            </w:tcBorders>
            <w:shd w:val="clear" w:color="auto" w:fill="auto"/>
            <w:vAlign w:val="bottom"/>
            <w:hideMark/>
          </w:tcPr>
          <w:p w14:paraId="0B6113CF"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Non-SPAC-IPOs       (N=0)</w:t>
            </w:r>
          </w:p>
        </w:tc>
        <w:tc>
          <w:tcPr>
            <w:tcW w:w="674" w:type="pct"/>
            <w:tcBorders>
              <w:top w:val="nil"/>
              <w:left w:val="nil"/>
              <w:bottom w:val="single" w:sz="8" w:space="0" w:color="auto"/>
              <w:right w:val="nil"/>
            </w:tcBorders>
            <w:shd w:val="clear" w:color="auto" w:fill="auto"/>
            <w:vAlign w:val="bottom"/>
            <w:hideMark/>
          </w:tcPr>
          <w:p w14:paraId="26419C7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Difference</w:t>
            </w:r>
          </w:p>
        </w:tc>
      </w:tr>
      <w:tr w:rsidR="00D652C8" w:rsidRPr="007648C9" w14:paraId="5E5CE97F" w14:textId="77777777" w:rsidTr="000669E5">
        <w:trPr>
          <w:trHeight w:hRule="exact" w:val="144"/>
        </w:trPr>
        <w:tc>
          <w:tcPr>
            <w:tcW w:w="2530" w:type="pct"/>
            <w:tcBorders>
              <w:top w:val="nil"/>
              <w:left w:val="nil"/>
              <w:bottom w:val="nil"/>
              <w:right w:val="nil"/>
            </w:tcBorders>
            <w:shd w:val="clear" w:color="auto" w:fill="auto"/>
            <w:noWrap/>
            <w:vAlign w:val="bottom"/>
          </w:tcPr>
          <w:p w14:paraId="4F7CDB68"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nil"/>
              <w:right w:val="nil"/>
            </w:tcBorders>
            <w:shd w:val="clear" w:color="auto" w:fill="auto"/>
            <w:noWrap/>
            <w:vAlign w:val="bottom"/>
          </w:tcPr>
          <w:p w14:paraId="03FA0944"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top w:val="nil"/>
              <w:left w:val="nil"/>
              <w:bottom w:val="nil"/>
              <w:right w:val="nil"/>
            </w:tcBorders>
            <w:shd w:val="clear" w:color="auto" w:fill="auto"/>
            <w:noWrap/>
            <w:vAlign w:val="bottom"/>
          </w:tcPr>
          <w:p w14:paraId="2A421912"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top w:val="nil"/>
              <w:left w:val="nil"/>
              <w:bottom w:val="nil"/>
              <w:right w:val="nil"/>
            </w:tcBorders>
            <w:shd w:val="clear" w:color="auto" w:fill="auto"/>
            <w:noWrap/>
            <w:vAlign w:val="bottom"/>
          </w:tcPr>
          <w:p w14:paraId="44C89730" w14:textId="77777777" w:rsidR="00D652C8" w:rsidRPr="007648C9" w:rsidRDefault="00D652C8" w:rsidP="000669E5">
            <w:pPr>
              <w:spacing w:after="0" w:line="240" w:lineRule="auto"/>
              <w:rPr>
                <w:rFonts w:ascii="Times New Roman" w:eastAsia="Times New Roman" w:hAnsi="Times New Roman" w:cs="Times New Roman"/>
                <w:color w:val="000000"/>
              </w:rPr>
            </w:pPr>
          </w:p>
        </w:tc>
      </w:tr>
      <w:tr w:rsidR="00D652C8" w:rsidRPr="007648C9" w14:paraId="26E885DD" w14:textId="77777777" w:rsidTr="000669E5">
        <w:trPr>
          <w:trHeight w:hRule="exact" w:val="259"/>
        </w:trPr>
        <w:tc>
          <w:tcPr>
            <w:tcW w:w="2530" w:type="pct"/>
            <w:tcBorders>
              <w:top w:val="nil"/>
              <w:left w:val="nil"/>
              <w:bottom w:val="nil"/>
              <w:right w:val="nil"/>
            </w:tcBorders>
            <w:shd w:val="clear" w:color="auto" w:fill="auto"/>
            <w:noWrap/>
            <w:vAlign w:val="bottom"/>
            <w:hideMark/>
          </w:tcPr>
          <w:p w14:paraId="2D769DE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Restatement</w:t>
            </w:r>
          </w:p>
        </w:tc>
        <w:tc>
          <w:tcPr>
            <w:tcW w:w="760" w:type="pct"/>
            <w:tcBorders>
              <w:top w:val="nil"/>
              <w:left w:val="nil"/>
              <w:bottom w:val="nil"/>
              <w:right w:val="nil"/>
            </w:tcBorders>
            <w:shd w:val="clear" w:color="auto" w:fill="auto"/>
            <w:noWrap/>
            <w:vAlign w:val="bottom"/>
            <w:hideMark/>
          </w:tcPr>
          <w:p w14:paraId="3A948EEB"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0.39</w:t>
            </w:r>
          </w:p>
        </w:tc>
        <w:tc>
          <w:tcPr>
            <w:tcW w:w="1036" w:type="pct"/>
            <w:tcBorders>
              <w:top w:val="nil"/>
              <w:left w:val="nil"/>
              <w:bottom w:val="nil"/>
              <w:right w:val="nil"/>
            </w:tcBorders>
            <w:shd w:val="clear" w:color="auto" w:fill="auto"/>
            <w:noWrap/>
            <w:vAlign w:val="bottom"/>
            <w:hideMark/>
          </w:tcPr>
          <w:p w14:paraId="703BABB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3C370C8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0.39      </w:t>
            </w:r>
          </w:p>
        </w:tc>
      </w:tr>
      <w:tr w:rsidR="00D652C8" w:rsidRPr="007648C9" w14:paraId="60E79C1C" w14:textId="77777777" w:rsidTr="000669E5">
        <w:trPr>
          <w:trHeight w:hRule="exact" w:val="259"/>
        </w:trPr>
        <w:tc>
          <w:tcPr>
            <w:tcW w:w="2530" w:type="pct"/>
            <w:tcBorders>
              <w:top w:val="nil"/>
              <w:left w:val="nil"/>
              <w:bottom w:val="nil"/>
              <w:right w:val="nil"/>
            </w:tcBorders>
            <w:shd w:val="clear" w:color="auto" w:fill="auto"/>
            <w:noWrap/>
            <w:vAlign w:val="bottom"/>
            <w:hideMark/>
          </w:tcPr>
          <w:p w14:paraId="41643B9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Control Issues</w:t>
            </w:r>
          </w:p>
        </w:tc>
        <w:tc>
          <w:tcPr>
            <w:tcW w:w="760" w:type="pct"/>
            <w:tcBorders>
              <w:top w:val="nil"/>
              <w:left w:val="nil"/>
              <w:bottom w:val="nil"/>
              <w:right w:val="nil"/>
            </w:tcBorders>
            <w:shd w:val="clear" w:color="auto" w:fill="auto"/>
            <w:noWrap/>
            <w:vAlign w:val="bottom"/>
            <w:hideMark/>
          </w:tcPr>
          <w:p w14:paraId="3D4DD9B5"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0.07</w:t>
            </w:r>
          </w:p>
        </w:tc>
        <w:tc>
          <w:tcPr>
            <w:tcW w:w="1036" w:type="pct"/>
            <w:tcBorders>
              <w:top w:val="nil"/>
              <w:left w:val="nil"/>
              <w:bottom w:val="nil"/>
              <w:right w:val="nil"/>
            </w:tcBorders>
            <w:shd w:val="clear" w:color="auto" w:fill="auto"/>
            <w:noWrap/>
            <w:vAlign w:val="bottom"/>
            <w:hideMark/>
          </w:tcPr>
          <w:p w14:paraId="6EA5B8C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66AEF48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0.07***</w:t>
            </w:r>
          </w:p>
        </w:tc>
      </w:tr>
      <w:tr w:rsidR="00D652C8" w:rsidRPr="007648C9" w14:paraId="31DFBA29" w14:textId="77777777" w:rsidTr="000669E5">
        <w:trPr>
          <w:trHeight w:hRule="exact" w:val="259"/>
        </w:trPr>
        <w:tc>
          <w:tcPr>
            <w:tcW w:w="2530" w:type="pct"/>
            <w:tcBorders>
              <w:top w:val="nil"/>
              <w:left w:val="nil"/>
              <w:bottom w:val="nil"/>
              <w:right w:val="nil"/>
            </w:tcBorders>
            <w:shd w:val="clear" w:color="auto" w:fill="auto"/>
            <w:noWrap/>
            <w:vAlign w:val="bottom"/>
            <w:hideMark/>
          </w:tcPr>
          <w:p w14:paraId="305CB97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Audit Incomplete</w:t>
            </w:r>
          </w:p>
        </w:tc>
        <w:tc>
          <w:tcPr>
            <w:tcW w:w="760" w:type="pct"/>
            <w:tcBorders>
              <w:top w:val="nil"/>
              <w:left w:val="nil"/>
              <w:bottom w:val="nil"/>
              <w:right w:val="nil"/>
            </w:tcBorders>
            <w:shd w:val="clear" w:color="auto" w:fill="auto"/>
            <w:noWrap/>
            <w:vAlign w:val="bottom"/>
            <w:hideMark/>
          </w:tcPr>
          <w:p w14:paraId="7042BA4D"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0.29</w:t>
            </w:r>
          </w:p>
        </w:tc>
        <w:tc>
          <w:tcPr>
            <w:tcW w:w="1036" w:type="pct"/>
            <w:tcBorders>
              <w:top w:val="nil"/>
              <w:left w:val="nil"/>
              <w:bottom w:val="nil"/>
              <w:right w:val="nil"/>
            </w:tcBorders>
            <w:shd w:val="clear" w:color="auto" w:fill="auto"/>
            <w:noWrap/>
            <w:vAlign w:val="bottom"/>
            <w:hideMark/>
          </w:tcPr>
          <w:p w14:paraId="4AF21A27"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44E21F83"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0.29***</w:t>
            </w:r>
          </w:p>
        </w:tc>
      </w:tr>
      <w:tr w:rsidR="00D652C8" w:rsidRPr="007648C9" w14:paraId="17572353" w14:textId="77777777" w:rsidTr="000669E5">
        <w:trPr>
          <w:trHeight w:hRule="exact" w:val="259"/>
        </w:trPr>
        <w:tc>
          <w:tcPr>
            <w:tcW w:w="2530" w:type="pct"/>
            <w:tcBorders>
              <w:top w:val="nil"/>
              <w:left w:val="nil"/>
              <w:bottom w:val="nil"/>
              <w:right w:val="nil"/>
            </w:tcBorders>
            <w:shd w:val="clear" w:color="auto" w:fill="auto"/>
            <w:noWrap/>
            <w:vAlign w:val="bottom"/>
            <w:hideMark/>
          </w:tcPr>
          <w:p w14:paraId="6EF57B00"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Investing and Financing</w:t>
            </w:r>
          </w:p>
        </w:tc>
        <w:tc>
          <w:tcPr>
            <w:tcW w:w="760" w:type="pct"/>
            <w:tcBorders>
              <w:top w:val="nil"/>
              <w:left w:val="nil"/>
              <w:bottom w:val="nil"/>
              <w:right w:val="nil"/>
            </w:tcBorders>
            <w:shd w:val="clear" w:color="auto" w:fill="auto"/>
            <w:noWrap/>
            <w:vAlign w:val="bottom"/>
            <w:hideMark/>
          </w:tcPr>
          <w:p w14:paraId="5A7CB37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0.43</w:t>
            </w:r>
          </w:p>
        </w:tc>
        <w:tc>
          <w:tcPr>
            <w:tcW w:w="1036" w:type="pct"/>
            <w:tcBorders>
              <w:top w:val="nil"/>
              <w:left w:val="nil"/>
              <w:bottom w:val="nil"/>
              <w:right w:val="nil"/>
            </w:tcBorders>
            <w:shd w:val="clear" w:color="auto" w:fill="auto"/>
            <w:noWrap/>
            <w:vAlign w:val="bottom"/>
            <w:hideMark/>
          </w:tcPr>
          <w:p w14:paraId="7CFE0830"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388D1478"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0.43***</w:t>
            </w:r>
          </w:p>
        </w:tc>
      </w:tr>
      <w:tr w:rsidR="00D652C8" w:rsidRPr="007648C9" w14:paraId="3CD8846B" w14:textId="77777777" w:rsidTr="000669E5">
        <w:trPr>
          <w:trHeight w:hRule="exact" w:val="259"/>
        </w:trPr>
        <w:tc>
          <w:tcPr>
            <w:tcW w:w="2530" w:type="pct"/>
            <w:tcBorders>
              <w:top w:val="nil"/>
              <w:left w:val="nil"/>
              <w:bottom w:val="nil"/>
              <w:right w:val="nil"/>
            </w:tcBorders>
            <w:shd w:val="clear" w:color="auto" w:fill="auto"/>
            <w:noWrap/>
            <w:vAlign w:val="bottom"/>
            <w:hideMark/>
          </w:tcPr>
          <w:p w14:paraId="04F2F7EE"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Distress and Restructuring</w:t>
            </w:r>
          </w:p>
        </w:tc>
        <w:tc>
          <w:tcPr>
            <w:tcW w:w="760" w:type="pct"/>
            <w:tcBorders>
              <w:top w:val="nil"/>
              <w:left w:val="nil"/>
              <w:bottom w:val="nil"/>
              <w:right w:val="nil"/>
            </w:tcBorders>
            <w:shd w:val="clear" w:color="auto" w:fill="auto"/>
            <w:noWrap/>
            <w:vAlign w:val="bottom"/>
            <w:hideMark/>
          </w:tcPr>
          <w:p w14:paraId="781E1197"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0.07</w:t>
            </w:r>
          </w:p>
        </w:tc>
        <w:tc>
          <w:tcPr>
            <w:tcW w:w="1036" w:type="pct"/>
            <w:tcBorders>
              <w:top w:val="nil"/>
              <w:left w:val="nil"/>
              <w:bottom w:val="nil"/>
              <w:right w:val="nil"/>
            </w:tcBorders>
            <w:shd w:val="clear" w:color="auto" w:fill="auto"/>
            <w:noWrap/>
            <w:vAlign w:val="bottom"/>
            <w:hideMark/>
          </w:tcPr>
          <w:p w14:paraId="3495CD89"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71FAC806"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0.07      </w:t>
            </w:r>
          </w:p>
        </w:tc>
      </w:tr>
      <w:tr w:rsidR="00D652C8" w:rsidRPr="007648C9" w14:paraId="5324A9E9" w14:textId="77777777" w:rsidTr="000669E5">
        <w:trPr>
          <w:trHeight w:hRule="exact" w:val="259"/>
        </w:trPr>
        <w:tc>
          <w:tcPr>
            <w:tcW w:w="2530" w:type="pct"/>
            <w:tcBorders>
              <w:top w:val="nil"/>
              <w:left w:val="nil"/>
              <w:bottom w:val="nil"/>
              <w:right w:val="nil"/>
            </w:tcBorders>
            <w:shd w:val="clear" w:color="auto" w:fill="auto"/>
            <w:noWrap/>
            <w:vAlign w:val="bottom"/>
            <w:hideMark/>
          </w:tcPr>
          <w:p w14:paraId="595CC89F"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Act of God</w:t>
            </w:r>
          </w:p>
        </w:tc>
        <w:tc>
          <w:tcPr>
            <w:tcW w:w="760" w:type="pct"/>
            <w:tcBorders>
              <w:top w:val="nil"/>
              <w:left w:val="nil"/>
              <w:bottom w:val="nil"/>
              <w:right w:val="nil"/>
            </w:tcBorders>
            <w:shd w:val="clear" w:color="auto" w:fill="auto"/>
            <w:noWrap/>
            <w:vAlign w:val="bottom"/>
            <w:hideMark/>
          </w:tcPr>
          <w:p w14:paraId="57896E1A"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0.07</w:t>
            </w:r>
          </w:p>
        </w:tc>
        <w:tc>
          <w:tcPr>
            <w:tcW w:w="1036" w:type="pct"/>
            <w:tcBorders>
              <w:top w:val="nil"/>
              <w:left w:val="nil"/>
              <w:bottom w:val="nil"/>
              <w:right w:val="nil"/>
            </w:tcBorders>
            <w:shd w:val="clear" w:color="auto" w:fill="auto"/>
            <w:noWrap/>
            <w:vAlign w:val="bottom"/>
            <w:hideMark/>
          </w:tcPr>
          <w:p w14:paraId="4E51BC54" w14:textId="77777777" w:rsidR="00D652C8" w:rsidRPr="007648C9" w:rsidRDefault="00D652C8" w:rsidP="000669E5">
            <w:pPr>
              <w:spacing w:after="0" w:line="240" w:lineRule="auto"/>
              <w:jc w:val="center"/>
              <w:rPr>
                <w:rFonts w:ascii="Times New Roman" w:eastAsia="Times New Roman" w:hAnsi="Times New Roman" w:cs="Times New Roman"/>
                <w:color w:val="000000"/>
              </w:rPr>
            </w:pPr>
            <w:r w:rsidRPr="007648C9">
              <w:rPr>
                <w:rFonts w:ascii="Times New Roman" w:eastAsia="Times New Roman" w:hAnsi="Times New Roman" w:cs="Times New Roman"/>
                <w:color w:val="000000"/>
              </w:rPr>
              <w:t>0.00</w:t>
            </w:r>
          </w:p>
        </w:tc>
        <w:tc>
          <w:tcPr>
            <w:tcW w:w="674" w:type="pct"/>
            <w:tcBorders>
              <w:top w:val="nil"/>
              <w:left w:val="nil"/>
              <w:bottom w:val="nil"/>
              <w:right w:val="nil"/>
            </w:tcBorders>
            <w:shd w:val="clear" w:color="auto" w:fill="auto"/>
            <w:noWrap/>
            <w:vAlign w:val="bottom"/>
            <w:hideMark/>
          </w:tcPr>
          <w:p w14:paraId="30B2B709" w14:textId="77777777" w:rsidR="00D652C8" w:rsidRPr="007648C9" w:rsidRDefault="00D652C8" w:rsidP="000669E5">
            <w:pPr>
              <w:spacing w:after="0" w:line="240" w:lineRule="auto"/>
              <w:rPr>
                <w:rFonts w:ascii="Times New Roman" w:eastAsia="Times New Roman" w:hAnsi="Times New Roman" w:cs="Times New Roman"/>
                <w:color w:val="000000"/>
              </w:rPr>
            </w:pPr>
            <w:r w:rsidRPr="007648C9">
              <w:rPr>
                <w:rFonts w:ascii="Times New Roman" w:eastAsia="Times New Roman" w:hAnsi="Times New Roman" w:cs="Times New Roman"/>
                <w:color w:val="000000"/>
              </w:rPr>
              <w:t xml:space="preserve">  0.07      </w:t>
            </w:r>
          </w:p>
        </w:tc>
      </w:tr>
      <w:tr w:rsidR="00D652C8" w:rsidRPr="007648C9" w14:paraId="62D7122A" w14:textId="77777777" w:rsidTr="000669E5">
        <w:trPr>
          <w:trHeight w:hRule="exact" w:val="144"/>
        </w:trPr>
        <w:tc>
          <w:tcPr>
            <w:tcW w:w="2530" w:type="pct"/>
            <w:tcBorders>
              <w:top w:val="nil"/>
              <w:left w:val="nil"/>
              <w:bottom w:val="single" w:sz="8" w:space="0" w:color="auto"/>
              <w:right w:val="nil"/>
            </w:tcBorders>
            <w:shd w:val="clear" w:color="auto" w:fill="auto"/>
            <w:noWrap/>
            <w:vAlign w:val="bottom"/>
          </w:tcPr>
          <w:p w14:paraId="40974116" w14:textId="77777777" w:rsidR="00D652C8" w:rsidRPr="007648C9" w:rsidRDefault="00D652C8" w:rsidP="000669E5">
            <w:pPr>
              <w:spacing w:after="0" w:line="240" w:lineRule="auto"/>
              <w:rPr>
                <w:rFonts w:ascii="Times New Roman" w:eastAsia="Times New Roman" w:hAnsi="Times New Roman" w:cs="Times New Roman"/>
                <w:color w:val="000000"/>
              </w:rPr>
            </w:pPr>
          </w:p>
        </w:tc>
        <w:tc>
          <w:tcPr>
            <w:tcW w:w="760" w:type="pct"/>
            <w:tcBorders>
              <w:top w:val="nil"/>
              <w:left w:val="nil"/>
              <w:bottom w:val="single" w:sz="8" w:space="0" w:color="auto"/>
              <w:right w:val="nil"/>
            </w:tcBorders>
            <w:shd w:val="clear" w:color="auto" w:fill="auto"/>
            <w:noWrap/>
            <w:vAlign w:val="bottom"/>
          </w:tcPr>
          <w:p w14:paraId="05A8C2FC"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1036" w:type="pct"/>
            <w:tcBorders>
              <w:top w:val="nil"/>
              <w:left w:val="nil"/>
              <w:bottom w:val="single" w:sz="8" w:space="0" w:color="auto"/>
              <w:right w:val="nil"/>
            </w:tcBorders>
            <w:shd w:val="clear" w:color="auto" w:fill="auto"/>
            <w:noWrap/>
            <w:vAlign w:val="bottom"/>
          </w:tcPr>
          <w:p w14:paraId="364CF6CB" w14:textId="77777777" w:rsidR="00D652C8" w:rsidRPr="007648C9" w:rsidRDefault="00D652C8" w:rsidP="000669E5">
            <w:pPr>
              <w:spacing w:after="0" w:line="240" w:lineRule="auto"/>
              <w:jc w:val="center"/>
              <w:rPr>
                <w:rFonts w:ascii="Times New Roman" w:eastAsia="Times New Roman" w:hAnsi="Times New Roman" w:cs="Times New Roman"/>
                <w:color w:val="000000"/>
              </w:rPr>
            </w:pPr>
          </w:p>
        </w:tc>
        <w:tc>
          <w:tcPr>
            <w:tcW w:w="674" w:type="pct"/>
            <w:tcBorders>
              <w:top w:val="nil"/>
              <w:left w:val="nil"/>
              <w:bottom w:val="single" w:sz="8" w:space="0" w:color="auto"/>
              <w:right w:val="nil"/>
            </w:tcBorders>
            <w:shd w:val="clear" w:color="auto" w:fill="auto"/>
            <w:noWrap/>
            <w:vAlign w:val="bottom"/>
          </w:tcPr>
          <w:p w14:paraId="41A49AE5" w14:textId="77777777" w:rsidR="00D652C8" w:rsidRPr="007648C9" w:rsidRDefault="00D652C8" w:rsidP="000669E5">
            <w:pPr>
              <w:spacing w:after="0" w:line="240" w:lineRule="auto"/>
              <w:rPr>
                <w:rFonts w:ascii="Times New Roman" w:eastAsia="Times New Roman" w:hAnsi="Times New Roman" w:cs="Times New Roman"/>
                <w:color w:val="000000"/>
              </w:rPr>
            </w:pPr>
          </w:p>
        </w:tc>
      </w:tr>
    </w:tbl>
    <w:p w14:paraId="6FE0C054" w14:textId="77777777" w:rsidR="00D652C8" w:rsidRPr="007648C9" w:rsidRDefault="00D652C8" w:rsidP="00D652C8">
      <w:pPr>
        <w:spacing w:after="0" w:line="240" w:lineRule="auto"/>
        <w:ind w:right="90"/>
        <w:jc w:val="both"/>
        <w:rPr>
          <w:rFonts w:ascii="Times New Roman" w:hAnsi="Times New Roman" w:cs="Times New Roman"/>
        </w:rPr>
      </w:pPr>
      <w:r w:rsidRPr="007648C9">
        <w:rPr>
          <w:rFonts w:ascii="Times New Roman" w:hAnsi="Times New Roman" w:cs="Times New Roman"/>
        </w:rPr>
        <w:t>Panel A presents the material weakness issues as well as the accounting affected by the material weaknesses for the SPAC- and non-SPAC-IPO samples. Panel B presents the restatement accounting issues for the SPAC- and non-SPAC-IPO samples. Panel C presents the reasons for non-timely filings for the SPAC- and non-SPAC-IPO samples. The category “Act of God” represents extreme weather events, an act of war, or death. *, **, and *** represent statistical significance at the 10%, 5%, and 1% levels, respectively, for a two-tailed test.</w:t>
      </w:r>
    </w:p>
    <w:p w14:paraId="1C3F4603" w14:textId="77777777" w:rsidR="00D652C8" w:rsidRPr="007648C9" w:rsidRDefault="00D652C8" w:rsidP="00D652C8">
      <w:pPr>
        <w:rPr>
          <w:b/>
          <w:bCs/>
          <w:color w:val="000000"/>
        </w:rPr>
      </w:pPr>
      <w:r w:rsidRPr="007648C9">
        <w:rPr>
          <w:b/>
          <w:bCs/>
          <w:color w:val="000000"/>
        </w:rPr>
        <w:br w:type="page"/>
      </w:r>
    </w:p>
    <w:tbl>
      <w:tblPr>
        <w:tblW w:w="4967" w:type="pct"/>
        <w:tblLayout w:type="fixed"/>
        <w:tblLook w:val="04A0" w:firstRow="1" w:lastRow="0" w:firstColumn="1" w:lastColumn="0" w:noHBand="0" w:noVBand="1"/>
      </w:tblPr>
      <w:tblGrid>
        <w:gridCol w:w="4021"/>
        <w:gridCol w:w="743"/>
        <w:gridCol w:w="792"/>
        <w:gridCol w:w="906"/>
        <w:gridCol w:w="1371"/>
        <w:gridCol w:w="177"/>
        <w:gridCol w:w="60"/>
        <w:gridCol w:w="1172"/>
        <w:gridCol w:w="56"/>
      </w:tblGrid>
      <w:tr w:rsidR="002735C6" w:rsidRPr="004268BB" w14:paraId="1297C1BE" w14:textId="77777777" w:rsidTr="00DE6FE8">
        <w:trPr>
          <w:trHeight w:val="259"/>
        </w:trPr>
        <w:tc>
          <w:tcPr>
            <w:tcW w:w="2163" w:type="pct"/>
            <w:tcBorders>
              <w:top w:val="nil"/>
              <w:left w:val="nil"/>
              <w:bottom w:val="nil"/>
              <w:right w:val="nil"/>
            </w:tcBorders>
            <w:shd w:val="clear" w:color="auto" w:fill="auto"/>
            <w:noWrap/>
            <w:vAlign w:val="bottom"/>
            <w:hideMark/>
          </w:tcPr>
          <w:p w14:paraId="03445BA5" w14:textId="77777777" w:rsidR="002735C6" w:rsidRPr="004268BB" w:rsidRDefault="002735C6" w:rsidP="00DE6FE8">
            <w:pPr>
              <w:spacing w:after="0" w:line="240" w:lineRule="auto"/>
              <w:rPr>
                <w:rFonts w:ascii="Times New Roman" w:eastAsia="Times New Roman" w:hAnsi="Times New Roman" w:cs="Times New Roman"/>
                <w:b/>
                <w:bCs/>
                <w:color w:val="000000"/>
              </w:rPr>
            </w:pPr>
            <w:r w:rsidRPr="004268BB">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5</w:t>
            </w:r>
          </w:p>
        </w:tc>
        <w:tc>
          <w:tcPr>
            <w:tcW w:w="400" w:type="pct"/>
            <w:tcBorders>
              <w:top w:val="nil"/>
              <w:left w:val="nil"/>
              <w:bottom w:val="nil"/>
              <w:right w:val="nil"/>
            </w:tcBorders>
            <w:shd w:val="clear" w:color="auto" w:fill="auto"/>
            <w:noWrap/>
            <w:vAlign w:val="bottom"/>
            <w:hideMark/>
          </w:tcPr>
          <w:p w14:paraId="707C82A2" w14:textId="77777777" w:rsidR="002735C6" w:rsidRPr="004268BB" w:rsidRDefault="002735C6" w:rsidP="00DE6FE8">
            <w:pPr>
              <w:spacing w:after="0" w:line="240" w:lineRule="auto"/>
              <w:rPr>
                <w:rFonts w:ascii="Times New Roman" w:eastAsia="Times New Roman" w:hAnsi="Times New Roman" w:cs="Times New Roman"/>
                <w:b/>
                <w:bCs/>
                <w:color w:val="000000"/>
              </w:rPr>
            </w:pPr>
          </w:p>
        </w:tc>
        <w:tc>
          <w:tcPr>
            <w:tcW w:w="426" w:type="pct"/>
            <w:tcBorders>
              <w:top w:val="nil"/>
              <w:left w:val="nil"/>
              <w:bottom w:val="nil"/>
              <w:right w:val="nil"/>
            </w:tcBorders>
            <w:shd w:val="clear" w:color="auto" w:fill="auto"/>
            <w:noWrap/>
            <w:vAlign w:val="bottom"/>
            <w:hideMark/>
          </w:tcPr>
          <w:p w14:paraId="73AC7BCF" w14:textId="77777777" w:rsidR="002735C6" w:rsidRPr="004268BB" w:rsidRDefault="002735C6" w:rsidP="00DE6FE8">
            <w:pPr>
              <w:spacing w:after="0" w:line="240" w:lineRule="auto"/>
              <w:rPr>
                <w:rFonts w:ascii="Times New Roman" w:eastAsia="Times New Roman" w:hAnsi="Times New Roman" w:cs="Times New Roman"/>
              </w:rPr>
            </w:pPr>
          </w:p>
        </w:tc>
        <w:tc>
          <w:tcPr>
            <w:tcW w:w="487" w:type="pct"/>
            <w:tcBorders>
              <w:top w:val="nil"/>
              <w:left w:val="nil"/>
              <w:bottom w:val="nil"/>
              <w:right w:val="nil"/>
            </w:tcBorders>
            <w:shd w:val="clear" w:color="auto" w:fill="auto"/>
            <w:noWrap/>
            <w:vAlign w:val="bottom"/>
            <w:hideMark/>
          </w:tcPr>
          <w:p w14:paraId="3B16A7D0" w14:textId="77777777" w:rsidR="002735C6" w:rsidRPr="004268BB" w:rsidRDefault="002735C6" w:rsidP="00DE6FE8">
            <w:pPr>
              <w:spacing w:after="0" w:line="240" w:lineRule="auto"/>
              <w:rPr>
                <w:rFonts w:ascii="Times New Roman" w:eastAsia="Times New Roman" w:hAnsi="Times New Roman" w:cs="Times New Roman"/>
              </w:rPr>
            </w:pPr>
          </w:p>
        </w:tc>
        <w:tc>
          <w:tcPr>
            <w:tcW w:w="737" w:type="pct"/>
            <w:tcBorders>
              <w:top w:val="nil"/>
              <w:left w:val="nil"/>
              <w:bottom w:val="nil"/>
              <w:right w:val="nil"/>
            </w:tcBorders>
            <w:shd w:val="clear" w:color="auto" w:fill="auto"/>
            <w:noWrap/>
            <w:vAlign w:val="bottom"/>
            <w:hideMark/>
          </w:tcPr>
          <w:p w14:paraId="6F30BAE4" w14:textId="77777777" w:rsidR="002735C6" w:rsidRPr="004268BB" w:rsidRDefault="002735C6" w:rsidP="00DE6FE8">
            <w:pPr>
              <w:spacing w:after="0" w:line="240" w:lineRule="auto"/>
              <w:rPr>
                <w:rFonts w:ascii="Times New Roman" w:eastAsia="Times New Roman" w:hAnsi="Times New Roman" w:cs="Times New Roman"/>
              </w:rPr>
            </w:pPr>
          </w:p>
        </w:tc>
        <w:tc>
          <w:tcPr>
            <w:tcW w:w="127" w:type="pct"/>
            <w:gridSpan w:val="2"/>
            <w:tcBorders>
              <w:top w:val="nil"/>
              <w:left w:val="nil"/>
              <w:bottom w:val="nil"/>
              <w:right w:val="nil"/>
            </w:tcBorders>
            <w:shd w:val="clear" w:color="auto" w:fill="auto"/>
            <w:noWrap/>
            <w:vAlign w:val="bottom"/>
            <w:hideMark/>
          </w:tcPr>
          <w:p w14:paraId="3B7E9EFC" w14:textId="77777777" w:rsidR="002735C6" w:rsidRPr="004268BB" w:rsidRDefault="002735C6" w:rsidP="00DE6FE8">
            <w:pPr>
              <w:spacing w:after="0" w:line="240" w:lineRule="auto"/>
              <w:rPr>
                <w:rFonts w:ascii="Times New Roman" w:eastAsia="Times New Roman" w:hAnsi="Times New Roman" w:cs="Times New Roman"/>
              </w:rPr>
            </w:pPr>
          </w:p>
        </w:tc>
        <w:tc>
          <w:tcPr>
            <w:tcW w:w="661" w:type="pct"/>
            <w:gridSpan w:val="2"/>
            <w:tcBorders>
              <w:top w:val="nil"/>
              <w:left w:val="nil"/>
              <w:bottom w:val="nil"/>
              <w:right w:val="nil"/>
            </w:tcBorders>
            <w:shd w:val="clear" w:color="auto" w:fill="auto"/>
            <w:noWrap/>
            <w:vAlign w:val="bottom"/>
            <w:hideMark/>
          </w:tcPr>
          <w:p w14:paraId="03A60197" w14:textId="77777777" w:rsidR="002735C6" w:rsidRPr="004268BB" w:rsidRDefault="002735C6" w:rsidP="00DE6FE8">
            <w:pPr>
              <w:spacing w:after="0" w:line="240" w:lineRule="auto"/>
              <w:rPr>
                <w:rFonts w:ascii="Times New Roman" w:eastAsia="Times New Roman" w:hAnsi="Times New Roman" w:cs="Times New Roman"/>
              </w:rPr>
            </w:pPr>
          </w:p>
        </w:tc>
      </w:tr>
      <w:tr w:rsidR="002735C6" w:rsidRPr="004268BB" w14:paraId="2D05B6AB" w14:textId="77777777" w:rsidTr="00DE6FE8">
        <w:trPr>
          <w:gridAfter w:val="1"/>
          <w:wAfter w:w="31" w:type="pct"/>
          <w:trHeight w:val="259"/>
        </w:trPr>
        <w:tc>
          <w:tcPr>
            <w:tcW w:w="4969" w:type="pct"/>
            <w:gridSpan w:val="8"/>
            <w:tcBorders>
              <w:top w:val="nil"/>
              <w:left w:val="nil"/>
              <w:bottom w:val="single" w:sz="12" w:space="0" w:color="auto"/>
              <w:right w:val="nil"/>
            </w:tcBorders>
            <w:shd w:val="clear" w:color="auto" w:fill="auto"/>
            <w:noWrap/>
            <w:vAlign w:val="bottom"/>
            <w:hideMark/>
          </w:tcPr>
          <w:p w14:paraId="62F05F3A" w14:textId="77777777" w:rsidR="002735C6"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Differences in the Demand for Auditing Services Between SPAC- </w:t>
            </w:r>
            <w:r>
              <w:rPr>
                <w:rFonts w:ascii="Times New Roman" w:eastAsia="Times New Roman" w:hAnsi="Times New Roman" w:cs="Times New Roman"/>
                <w:color w:val="000000"/>
              </w:rPr>
              <w:t xml:space="preserve">and </w:t>
            </w:r>
            <w:r w:rsidRPr="004268BB">
              <w:rPr>
                <w:rFonts w:ascii="Times New Roman" w:eastAsia="Times New Roman" w:hAnsi="Times New Roman" w:cs="Times New Roman"/>
                <w:color w:val="000000"/>
              </w:rPr>
              <w:t>non-SPAC-IPO</w:t>
            </w:r>
            <w:r>
              <w:rPr>
                <w:rFonts w:ascii="Times New Roman" w:eastAsia="Times New Roman" w:hAnsi="Times New Roman" w:cs="Times New Roman"/>
                <w:color w:val="000000"/>
              </w:rPr>
              <w:t>s</w:t>
            </w:r>
            <w:r w:rsidRPr="004268BB">
              <w:rPr>
                <w:rFonts w:ascii="Times New Roman" w:eastAsia="Times New Roman" w:hAnsi="Times New Roman" w:cs="Times New Roman"/>
                <w:color w:val="000000"/>
              </w:rPr>
              <w:t>. </w:t>
            </w:r>
          </w:p>
          <w:p w14:paraId="3A821FAB" w14:textId="77777777" w:rsidR="002735C6" w:rsidRPr="004268BB" w:rsidRDefault="002735C6" w:rsidP="00DE6FE8">
            <w:pPr>
              <w:spacing w:after="0" w:line="240" w:lineRule="auto"/>
              <w:rPr>
                <w:rFonts w:ascii="Times New Roman" w:eastAsia="Times New Roman" w:hAnsi="Times New Roman" w:cs="Times New Roman"/>
                <w:color w:val="000000"/>
              </w:rPr>
            </w:pPr>
          </w:p>
        </w:tc>
      </w:tr>
      <w:tr w:rsidR="002735C6" w:rsidRPr="004268BB" w14:paraId="6616989B" w14:textId="77777777" w:rsidTr="00DE6FE8">
        <w:trPr>
          <w:trHeight w:val="259"/>
        </w:trPr>
        <w:tc>
          <w:tcPr>
            <w:tcW w:w="3475" w:type="pct"/>
            <w:gridSpan w:val="4"/>
            <w:tcBorders>
              <w:top w:val="single" w:sz="12" w:space="0" w:color="auto"/>
              <w:left w:val="nil"/>
              <w:bottom w:val="single" w:sz="12" w:space="0" w:color="auto"/>
              <w:right w:val="nil"/>
            </w:tcBorders>
            <w:shd w:val="clear" w:color="auto" w:fill="auto"/>
            <w:noWrap/>
            <w:vAlign w:val="bottom"/>
            <w:hideMark/>
          </w:tcPr>
          <w:p w14:paraId="4F3D85E7"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Panel A: Univariate comparisons of the demand for </w:t>
            </w:r>
            <w:r>
              <w:rPr>
                <w:rFonts w:ascii="Times New Roman" w:eastAsia="Times New Roman" w:hAnsi="Times New Roman" w:cs="Times New Roman"/>
                <w:color w:val="000000"/>
              </w:rPr>
              <w:t>non-</w:t>
            </w:r>
            <w:r w:rsidRPr="004268BB">
              <w:rPr>
                <w:rFonts w:ascii="Times New Roman" w:eastAsia="Times New Roman" w:hAnsi="Times New Roman" w:cs="Times New Roman"/>
                <w:color w:val="000000"/>
              </w:rPr>
              <w:t xml:space="preserve">Big 4 auditors </w:t>
            </w:r>
          </w:p>
        </w:tc>
        <w:tc>
          <w:tcPr>
            <w:tcW w:w="737" w:type="pct"/>
            <w:tcBorders>
              <w:top w:val="single" w:sz="12" w:space="0" w:color="auto"/>
              <w:left w:val="nil"/>
              <w:bottom w:val="single" w:sz="12" w:space="0" w:color="auto"/>
              <w:right w:val="nil"/>
            </w:tcBorders>
            <w:shd w:val="clear" w:color="auto" w:fill="auto"/>
            <w:noWrap/>
            <w:vAlign w:val="bottom"/>
            <w:hideMark/>
          </w:tcPr>
          <w:p w14:paraId="0646C936"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127" w:type="pct"/>
            <w:gridSpan w:val="2"/>
            <w:tcBorders>
              <w:top w:val="single" w:sz="12" w:space="0" w:color="auto"/>
              <w:left w:val="nil"/>
              <w:bottom w:val="single" w:sz="12" w:space="0" w:color="auto"/>
              <w:right w:val="nil"/>
            </w:tcBorders>
            <w:shd w:val="clear" w:color="auto" w:fill="auto"/>
            <w:noWrap/>
            <w:vAlign w:val="bottom"/>
            <w:hideMark/>
          </w:tcPr>
          <w:p w14:paraId="64A1CB5F"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661" w:type="pct"/>
            <w:gridSpan w:val="2"/>
            <w:tcBorders>
              <w:top w:val="single" w:sz="12" w:space="0" w:color="auto"/>
              <w:left w:val="nil"/>
              <w:bottom w:val="single" w:sz="12" w:space="0" w:color="auto"/>
              <w:right w:val="nil"/>
            </w:tcBorders>
            <w:shd w:val="clear" w:color="auto" w:fill="auto"/>
            <w:noWrap/>
            <w:vAlign w:val="bottom"/>
            <w:hideMark/>
          </w:tcPr>
          <w:p w14:paraId="2E03E28A"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2735C6" w:rsidRPr="004268BB" w14:paraId="00DE5655" w14:textId="77777777" w:rsidTr="00DE6FE8">
        <w:trPr>
          <w:trHeight w:val="259"/>
        </w:trPr>
        <w:tc>
          <w:tcPr>
            <w:tcW w:w="2163" w:type="pct"/>
            <w:tcBorders>
              <w:top w:val="single" w:sz="12" w:space="0" w:color="auto"/>
              <w:left w:val="nil"/>
              <w:bottom w:val="single" w:sz="12" w:space="0" w:color="auto"/>
              <w:right w:val="nil"/>
            </w:tcBorders>
            <w:shd w:val="clear" w:color="auto" w:fill="auto"/>
            <w:noWrap/>
            <w:vAlign w:val="bottom"/>
            <w:hideMark/>
          </w:tcPr>
          <w:p w14:paraId="0BE94F4C" w14:textId="77777777" w:rsidR="002735C6" w:rsidRPr="00E34177" w:rsidRDefault="002735C6" w:rsidP="00DE6FE8">
            <w:pPr>
              <w:spacing w:after="0" w:line="240" w:lineRule="auto"/>
              <w:rPr>
                <w:rFonts w:ascii="Times New Roman" w:eastAsia="Times New Roman" w:hAnsi="Times New Roman" w:cs="Times New Roman"/>
                <w:i/>
                <w:color w:val="000000"/>
              </w:rPr>
            </w:pPr>
          </w:p>
        </w:tc>
        <w:tc>
          <w:tcPr>
            <w:tcW w:w="825" w:type="pct"/>
            <w:gridSpan w:val="2"/>
            <w:tcBorders>
              <w:top w:val="single" w:sz="12" w:space="0" w:color="auto"/>
              <w:left w:val="nil"/>
              <w:bottom w:val="single" w:sz="12" w:space="0" w:color="auto"/>
              <w:right w:val="nil"/>
            </w:tcBorders>
            <w:shd w:val="clear" w:color="auto" w:fill="auto"/>
            <w:noWrap/>
            <w:vAlign w:val="bottom"/>
            <w:hideMark/>
          </w:tcPr>
          <w:p w14:paraId="1093DA0C" w14:textId="77777777" w:rsidR="002735C6" w:rsidRPr="00E34177" w:rsidRDefault="002735C6" w:rsidP="00DE6FE8">
            <w:pPr>
              <w:spacing w:after="0" w:line="240" w:lineRule="auto"/>
              <w:jc w:val="center"/>
              <w:rPr>
                <w:rFonts w:ascii="Times New Roman" w:eastAsia="Times New Roman" w:hAnsi="Times New Roman" w:cs="Times New Roman"/>
                <w:color w:val="000000"/>
              </w:rPr>
            </w:pPr>
            <w:r w:rsidRPr="00E34177">
              <w:rPr>
                <w:rFonts w:ascii="Times New Roman" w:eastAsia="Times New Roman" w:hAnsi="Times New Roman" w:cs="Times New Roman"/>
                <w:color w:val="000000"/>
              </w:rPr>
              <w:t>SPAC-IPOs</w:t>
            </w:r>
          </w:p>
        </w:tc>
        <w:tc>
          <w:tcPr>
            <w:tcW w:w="1224" w:type="pct"/>
            <w:gridSpan w:val="2"/>
            <w:tcBorders>
              <w:top w:val="single" w:sz="12" w:space="0" w:color="auto"/>
              <w:left w:val="nil"/>
              <w:bottom w:val="single" w:sz="12" w:space="0" w:color="auto"/>
              <w:right w:val="nil"/>
            </w:tcBorders>
            <w:shd w:val="clear" w:color="auto" w:fill="auto"/>
            <w:noWrap/>
            <w:vAlign w:val="bottom"/>
            <w:hideMark/>
          </w:tcPr>
          <w:p w14:paraId="1320C41F" w14:textId="77777777" w:rsidR="002735C6" w:rsidRPr="00E34177" w:rsidRDefault="002735C6" w:rsidP="00DE6FE8">
            <w:pPr>
              <w:spacing w:after="0" w:line="240" w:lineRule="auto"/>
              <w:jc w:val="center"/>
              <w:rPr>
                <w:rFonts w:ascii="Times New Roman" w:eastAsia="Times New Roman" w:hAnsi="Times New Roman" w:cs="Times New Roman"/>
                <w:color w:val="000000"/>
              </w:rPr>
            </w:pPr>
            <w:r w:rsidRPr="00E34177">
              <w:rPr>
                <w:rFonts w:ascii="Times New Roman" w:eastAsia="Times New Roman" w:hAnsi="Times New Roman" w:cs="Times New Roman"/>
                <w:bCs/>
                <w:color w:val="000000"/>
              </w:rPr>
              <w:t>Non-SPAC-IPOs</w:t>
            </w:r>
          </w:p>
        </w:tc>
        <w:tc>
          <w:tcPr>
            <w:tcW w:w="127" w:type="pct"/>
            <w:gridSpan w:val="2"/>
            <w:tcBorders>
              <w:top w:val="single" w:sz="12" w:space="0" w:color="auto"/>
              <w:left w:val="nil"/>
              <w:bottom w:val="single" w:sz="12" w:space="0" w:color="auto"/>
              <w:right w:val="nil"/>
            </w:tcBorders>
            <w:shd w:val="clear" w:color="auto" w:fill="auto"/>
            <w:noWrap/>
            <w:vAlign w:val="bottom"/>
            <w:hideMark/>
          </w:tcPr>
          <w:p w14:paraId="6B1090DB" w14:textId="77777777" w:rsidR="002735C6" w:rsidRPr="00E34177" w:rsidRDefault="002735C6" w:rsidP="00DE6FE8">
            <w:pPr>
              <w:spacing w:after="0" w:line="240" w:lineRule="auto"/>
              <w:rPr>
                <w:rFonts w:ascii="Times New Roman" w:eastAsia="Times New Roman" w:hAnsi="Times New Roman" w:cs="Times New Roman"/>
                <w:color w:val="000000"/>
              </w:rPr>
            </w:pPr>
            <w:r w:rsidRPr="00E34177">
              <w:rPr>
                <w:rFonts w:ascii="Times New Roman" w:eastAsia="Times New Roman" w:hAnsi="Times New Roman" w:cs="Times New Roman"/>
                <w:color w:val="000000"/>
              </w:rPr>
              <w:t> </w:t>
            </w:r>
          </w:p>
        </w:tc>
        <w:tc>
          <w:tcPr>
            <w:tcW w:w="661" w:type="pct"/>
            <w:gridSpan w:val="2"/>
            <w:tcBorders>
              <w:top w:val="single" w:sz="12" w:space="0" w:color="auto"/>
              <w:left w:val="nil"/>
              <w:bottom w:val="single" w:sz="12" w:space="0" w:color="auto"/>
              <w:right w:val="nil"/>
            </w:tcBorders>
            <w:shd w:val="clear" w:color="auto" w:fill="auto"/>
            <w:noWrap/>
            <w:vAlign w:val="bottom"/>
            <w:hideMark/>
          </w:tcPr>
          <w:p w14:paraId="75921937" w14:textId="77777777" w:rsidR="002735C6" w:rsidRPr="00E34177" w:rsidRDefault="002735C6" w:rsidP="00DE6FE8">
            <w:pPr>
              <w:spacing w:after="0" w:line="240" w:lineRule="auto"/>
              <w:rPr>
                <w:rFonts w:ascii="Times New Roman" w:eastAsia="Times New Roman" w:hAnsi="Times New Roman" w:cs="Times New Roman"/>
                <w:color w:val="000000"/>
              </w:rPr>
            </w:pPr>
            <w:r w:rsidRPr="00E34177">
              <w:rPr>
                <w:rFonts w:ascii="Times New Roman" w:eastAsia="Times New Roman" w:hAnsi="Times New Roman" w:cs="Times New Roman"/>
                <w:color w:val="000000"/>
              </w:rPr>
              <w:t>Difference</w:t>
            </w:r>
          </w:p>
        </w:tc>
      </w:tr>
      <w:tr w:rsidR="002735C6" w:rsidRPr="004268BB" w14:paraId="06406075" w14:textId="77777777" w:rsidTr="00DE6FE8">
        <w:trPr>
          <w:trHeight w:val="259"/>
        </w:trPr>
        <w:tc>
          <w:tcPr>
            <w:tcW w:w="2163" w:type="pct"/>
            <w:tcBorders>
              <w:top w:val="single" w:sz="12" w:space="0" w:color="auto"/>
              <w:left w:val="nil"/>
              <w:right w:val="nil"/>
            </w:tcBorders>
            <w:shd w:val="clear" w:color="auto" w:fill="auto"/>
            <w:noWrap/>
            <w:vAlign w:val="bottom"/>
          </w:tcPr>
          <w:p w14:paraId="6CA2BE63"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25" w:type="pct"/>
            <w:gridSpan w:val="2"/>
            <w:tcBorders>
              <w:top w:val="single" w:sz="12" w:space="0" w:color="auto"/>
              <w:left w:val="nil"/>
              <w:right w:val="nil"/>
            </w:tcBorders>
            <w:shd w:val="clear" w:color="auto" w:fill="auto"/>
            <w:noWrap/>
            <w:vAlign w:val="bottom"/>
          </w:tcPr>
          <w:p w14:paraId="3A6ECF0E"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24" w:type="pct"/>
            <w:gridSpan w:val="2"/>
            <w:tcBorders>
              <w:top w:val="single" w:sz="12" w:space="0" w:color="auto"/>
              <w:left w:val="nil"/>
              <w:right w:val="nil"/>
            </w:tcBorders>
            <w:shd w:val="clear" w:color="auto" w:fill="auto"/>
            <w:noWrap/>
            <w:vAlign w:val="bottom"/>
          </w:tcPr>
          <w:p w14:paraId="480A3177"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7" w:type="pct"/>
            <w:gridSpan w:val="2"/>
            <w:tcBorders>
              <w:top w:val="single" w:sz="12" w:space="0" w:color="auto"/>
              <w:left w:val="nil"/>
              <w:bottom w:val="nil"/>
              <w:right w:val="nil"/>
            </w:tcBorders>
            <w:shd w:val="clear" w:color="auto" w:fill="auto"/>
            <w:noWrap/>
            <w:vAlign w:val="bottom"/>
          </w:tcPr>
          <w:p w14:paraId="4A1872DA"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661" w:type="pct"/>
            <w:gridSpan w:val="2"/>
            <w:tcBorders>
              <w:top w:val="single" w:sz="12" w:space="0" w:color="auto"/>
              <w:left w:val="nil"/>
              <w:bottom w:val="nil"/>
              <w:right w:val="nil"/>
            </w:tcBorders>
            <w:shd w:val="clear" w:color="auto" w:fill="auto"/>
            <w:noWrap/>
            <w:vAlign w:val="bottom"/>
          </w:tcPr>
          <w:p w14:paraId="26FB001F" w14:textId="77777777" w:rsidR="002735C6" w:rsidRPr="004268BB" w:rsidRDefault="002735C6" w:rsidP="00DE6FE8">
            <w:pPr>
              <w:spacing w:after="0" w:line="240" w:lineRule="auto"/>
              <w:rPr>
                <w:rFonts w:ascii="Times New Roman" w:eastAsia="Times New Roman" w:hAnsi="Times New Roman" w:cs="Times New Roman"/>
                <w:color w:val="000000"/>
              </w:rPr>
            </w:pPr>
          </w:p>
        </w:tc>
      </w:tr>
      <w:tr w:rsidR="002735C6" w:rsidRPr="004268BB" w14:paraId="4BBF92B0" w14:textId="77777777" w:rsidTr="00DE6FE8">
        <w:trPr>
          <w:trHeight w:val="259"/>
        </w:trPr>
        <w:tc>
          <w:tcPr>
            <w:tcW w:w="2163" w:type="pct"/>
            <w:tcBorders>
              <w:left w:val="nil"/>
              <w:right w:val="nil"/>
            </w:tcBorders>
            <w:shd w:val="clear" w:color="auto" w:fill="auto"/>
            <w:noWrap/>
            <w:vAlign w:val="bottom"/>
            <w:hideMark/>
          </w:tcPr>
          <w:p w14:paraId="6EC12F0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Mean</w:t>
            </w:r>
          </w:p>
        </w:tc>
        <w:tc>
          <w:tcPr>
            <w:tcW w:w="825" w:type="pct"/>
            <w:gridSpan w:val="2"/>
            <w:tcBorders>
              <w:left w:val="nil"/>
              <w:right w:val="nil"/>
            </w:tcBorders>
            <w:shd w:val="clear" w:color="auto" w:fill="auto"/>
            <w:noWrap/>
            <w:vAlign w:val="bottom"/>
            <w:hideMark/>
          </w:tcPr>
          <w:p w14:paraId="04355D03" w14:textId="77777777" w:rsidR="002735C6" w:rsidRPr="004268BB" w:rsidRDefault="002735C6" w:rsidP="00DE6FE8">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0.</w:t>
            </w:r>
            <w:r>
              <w:rPr>
                <w:rFonts w:ascii="Times New Roman" w:eastAsia="Times New Roman" w:hAnsi="Times New Roman" w:cs="Times New Roman"/>
                <w:color w:val="000000"/>
              </w:rPr>
              <w:t>52</w:t>
            </w:r>
          </w:p>
        </w:tc>
        <w:tc>
          <w:tcPr>
            <w:tcW w:w="1224" w:type="pct"/>
            <w:gridSpan w:val="2"/>
            <w:tcBorders>
              <w:left w:val="nil"/>
              <w:right w:val="nil"/>
            </w:tcBorders>
            <w:shd w:val="clear" w:color="auto" w:fill="auto"/>
            <w:noWrap/>
            <w:vAlign w:val="bottom"/>
            <w:hideMark/>
          </w:tcPr>
          <w:p w14:paraId="0E3DE42E" w14:textId="77777777" w:rsidR="002735C6" w:rsidRPr="004268BB" w:rsidRDefault="002735C6" w:rsidP="00DE6FE8">
            <w:pPr>
              <w:spacing w:after="0" w:line="240" w:lineRule="auto"/>
              <w:jc w:val="center"/>
              <w:rPr>
                <w:rFonts w:ascii="Times New Roman" w:eastAsia="Times New Roman" w:hAnsi="Times New Roman" w:cs="Times New Roman"/>
                <w:color w:val="000000"/>
              </w:rPr>
            </w:pPr>
            <w:r w:rsidRPr="004268BB">
              <w:rPr>
                <w:rFonts w:ascii="Times New Roman" w:eastAsia="Times New Roman" w:hAnsi="Times New Roman" w:cs="Times New Roman"/>
                <w:color w:val="000000"/>
              </w:rPr>
              <w:t>0.</w:t>
            </w:r>
            <w:r>
              <w:rPr>
                <w:rFonts w:ascii="Times New Roman" w:eastAsia="Times New Roman" w:hAnsi="Times New Roman" w:cs="Times New Roman"/>
                <w:color w:val="000000"/>
              </w:rPr>
              <w:t>14</w:t>
            </w:r>
          </w:p>
        </w:tc>
        <w:tc>
          <w:tcPr>
            <w:tcW w:w="127" w:type="pct"/>
            <w:gridSpan w:val="2"/>
            <w:tcBorders>
              <w:left w:val="nil"/>
              <w:bottom w:val="nil"/>
              <w:right w:val="nil"/>
            </w:tcBorders>
            <w:shd w:val="clear" w:color="auto" w:fill="auto"/>
            <w:noWrap/>
            <w:vAlign w:val="bottom"/>
            <w:hideMark/>
          </w:tcPr>
          <w:p w14:paraId="77677301"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661" w:type="pct"/>
            <w:gridSpan w:val="2"/>
            <w:tcBorders>
              <w:left w:val="nil"/>
              <w:bottom w:val="nil"/>
              <w:right w:val="nil"/>
            </w:tcBorders>
            <w:shd w:val="clear" w:color="auto" w:fill="auto"/>
            <w:noWrap/>
            <w:vAlign w:val="bottom"/>
            <w:hideMark/>
          </w:tcPr>
          <w:p w14:paraId="56B3D357"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0.3</w:t>
            </w:r>
            <w:r>
              <w:rPr>
                <w:rFonts w:ascii="Times New Roman" w:eastAsia="Times New Roman" w:hAnsi="Times New Roman" w:cs="Times New Roman"/>
                <w:color w:val="000000"/>
              </w:rPr>
              <w:t>8</w:t>
            </w:r>
            <w:r w:rsidRPr="004268BB">
              <w:rPr>
                <w:rFonts w:ascii="Times New Roman" w:eastAsia="Times New Roman" w:hAnsi="Times New Roman" w:cs="Times New Roman"/>
                <w:color w:val="000000"/>
              </w:rPr>
              <w:t>***</w:t>
            </w:r>
          </w:p>
        </w:tc>
      </w:tr>
      <w:tr w:rsidR="002735C6" w:rsidRPr="004268BB" w14:paraId="5A28BE5E" w14:textId="77777777" w:rsidTr="00DE6FE8">
        <w:trPr>
          <w:trHeight w:val="259"/>
        </w:trPr>
        <w:tc>
          <w:tcPr>
            <w:tcW w:w="2163" w:type="pct"/>
            <w:tcBorders>
              <w:left w:val="nil"/>
              <w:right w:val="nil"/>
            </w:tcBorders>
            <w:shd w:val="clear" w:color="auto" w:fill="auto"/>
            <w:noWrap/>
            <w:vAlign w:val="bottom"/>
          </w:tcPr>
          <w:p w14:paraId="0F6B3ADD"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25" w:type="pct"/>
            <w:gridSpan w:val="2"/>
            <w:tcBorders>
              <w:left w:val="nil"/>
              <w:right w:val="nil"/>
            </w:tcBorders>
            <w:shd w:val="clear" w:color="auto" w:fill="auto"/>
            <w:noWrap/>
            <w:vAlign w:val="bottom"/>
          </w:tcPr>
          <w:p w14:paraId="1FBDEA5B"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24" w:type="pct"/>
            <w:gridSpan w:val="2"/>
            <w:tcBorders>
              <w:left w:val="nil"/>
              <w:right w:val="nil"/>
            </w:tcBorders>
            <w:shd w:val="clear" w:color="auto" w:fill="auto"/>
            <w:noWrap/>
            <w:vAlign w:val="bottom"/>
          </w:tcPr>
          <w:p w14:paraId="53D47621"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7" w:type="pct"/>
            <w:gridSpan w:val="2"/>
            <w:tcBorders>
              <w:left w:val="nil"/>
              <w:bottom w:val="nil"/>
              <w:right w:val="nil"/>
            </w:tcBorders>
            <w:shd w:val="clear" w:color="auto" w:fill="auto"/>
            <w:noWrap/>
            <w:vAlign w:val="bottom"/>
          </w:tcPr>
          <w:p w14:paraId="18C4BE5C"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661" w:type="pct"/>
            <w:gridSpan w:val="2"/>
            <w:tcBorders>
              <w:left w:val="nil"/>
              <w:bottom w:val="nil"/>
              <w:right w:val="nil"/>
            </w:tcBorders>
            <w:shd w:val="clear" w:color="auto" w:fill="auto"/>
            <w:noWrap/>
            <w:vAlign w:val="bottom"/>
          </w:tcPr>
          <w:p w14:paraId="4EC79840" w14:textId="77777777" w:rsidR="002735C6" w:rsidRPr="004268BB" w:rsidRDefault="002735C6" w:rsidP="00DE6FE8">
            <w:pPr>
              <w:spacing w:after="0" w:line="240" w:lineRule="auto"/>
              <w:rPr>
                <w:rFonts w:ascii="Times New Roman" w:eastAsia="Times New Roman" w:hAnsi="Times New Roman" w:cs="Times New Roman"/>
                <w:color w:val="000000"/>
              </w:rPr>
            </w:pPr>
          </w:p>
        </w:tc>
      </w:tr>
      <w:tr w:rsidR="002735C6" w:rsidRPr="004268BB" w14:paraId="3B29473B" w14:textId="77777777" w:rsidTr="00DE6FE8">
        <w:trPr>
          <w:trHeight w:hRule="exact" w:val="72"/>
        </w:trPr>
        <w:tc>
          <w:tcPr>
            <w:tcW w:w="2163" w:type="pct"/>
            <w:tcBorders>
              <w:left w:val="nil"/>
              <w:bottom w:val="single" w:sz="12" w:space="0" w:color="auto"/>
              <w:right w:val="nil"/>
            </w:tcBorders>
            <w:shd w:val="clear" w:color="auto" w:fill="auto"/>
            <w:noWrap/>
            <w:vAlign w:val="bottom"/>
          </w:tcPr>
          <w:p w14:paraId="681C044C"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25" w:type="pct"/>
            <w:gridSpan w:val="2"/>
            <w:tcBorders>
              <w:left w:val="nil"/>
              <w:bottom w:val="single" w:sz="12" w:space="0" w:color="auto"/>
              <w:right w:val="nil"/>
            </w:tcBorders>
            <w:shd w:val="clear" w:color="auto" w:fill="auto"/>
            <w:noWrap/>
            <w:vAlign w:val="bottom"/>
          </w:tcPr>
          <w:p w14:paraId="15DDC3E2"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24" w:type="pct"/>
            <w:gridSpan w:val="2"/>
            <w:tcBorders>
              <w:left w:val="nil"/>
              <w:bottom w:val="single" w:sz="12" w:space="0" w:color="auto"/>
              <w:right w:val="nil"/>
            </w:tcBorders>
            <w:shd w:val="clear" w:color="auto" w:fill="auto"/>
            <w:noWrap/>
            <w:vAlign w:val="bottom"/>
          </w:tcPr>
          <w:p w14:paraId="77B07AA2"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127" w:type="pct"/>
            <w:gridSpan w:val="2"/>
            <w:tcBorders>
              <w:left w:val="nil"/>
              <w:bottom w:val="single" w:sz="12" w:space="0" w:color="auto"/>
              <w:right w:val="nil"/>
            </w:tcBorders>
            <w:shd w:val="clear" w:color="auto" w:fill="auto"/>
            <w:noWrap/>
            <w:vAlign w:val="bottom"/>
          </w:tcPr>
          <w:p w14:paraId="485D8845"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661" w:type="pct"/>
            <w:gridSpan w:val="2"/>
            <w:tcBorders>
              <w:left w:val="nil"/>
              <w:bottom w:val="single" w:sz="12" w:space="0" w:color="auto"/>
              <w:right w:val="nil"/>
            </w:tcBorders>
            <w:shd w:val="clear" w:color="auto" w:fill="auto"/>
            <w:noWrap/>
            <w:vAlign w:val="bottom"/>
          </w:tcPr>
          <w:p w14:paraId="47419CCD" w14:textId="77777777" w:rsidR="002735C6" w:rsidRPr="004268BB" w:rsidRDefault="002735C6" w:rsidP="00DE6FE8">
            <w:pPr>
              <w:spacing w:after="0" w:line="240" w:lineRule="auto"/>
              <w:rPr>
                <w:rFonts w:ascii="Times New Roman" w:eastAsia="Times New Roman" w:hAnsi="Times New Roman" w:cs="Times New Roman"/>
                <w:color w:val="000000"/>
              </w:rPr>
            </w:pPr>
          </w:p>
        </w:tc>
      </w:tr>
      <w:tr w:rsidR="002735C6" w:rsidRPr="004268BB" w14:paraId="5B133B4A" w14:textId="77777777" w:rsidTr="00DE6FE8">
        <w:trPr>
          <w:gridAfter w:val="1"/>
          <w:wAfter w:w="32" w:type="pct"/>
          <w:trHeight w:val="259"/>
        </w:trPr>
        <w:tc>
          <w:tcPr>
            <w:tcW w:w="4307" w:type="pct"/>
            <w:gridSpan w:val="6"/>
            <w:tcBorders>
              <w:top w:val="single" w:sz="8" w:space="0" w:color="auto"/>
              <w:left w:val="nil"/>
              <w:bottom w:val="single" w:sz="8" w:space="0" w:color="auto"/>
              <w:right w:val="nil"/>
            </w:tcBorders>
            <w:shd w:val="clear" w:color="auto" w:fill="auto"/>
            <w:noWrap/>
            <w:vAlign w:val="bottom"/>
            <w:hideMark/>
          </w:tcPr>
          <w:p w14:paraId="399E6558"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Panel B: Logistic </w:t>
            </w:r>
            <w:r>
              <w:rPr>
                <w:rFonts w:ascii="Times New Roman" w:eastAsia="Times New Roman" w:hAnsi="Times New Roman" w:cs="Times New Roman"/>
                <w:color w:val="000000"/>
              </w:rPr>
              <w:t>r</w:t>
            </w:r>
            <w:r w:rsidRPr="004268BB">
              <w:rPr>
                <w:rFonts w:ascii="Times New Roman" w:eastAsia="Times New Roman" w:hAnsi="Times New Roman" w:cs="Times New Roman"/>
                <w:color w:val="000000"/>
              </w:rPr>
              <w:t xml:space="preserve">egression </w:t>
            </w:r>
            <w:r>
              <w:rPr>
                <w:rFonts w:ascii="Times New Roman" w:eastAsia="Times New Roman" w:hAnsi="Times New Roman" w:cs="Times New Roman"/>
                <w:color w:val="000000"/>
              </w:rPr>
              <w:t xml:space="preserve">results </w:t>
            </w:r>
            <w:r w:rsidRPr="004268BB">
              <w:rPr>
                <w:rFonts w:ascii="Times New Roman" w:eastAsia="Times New Roman" w:hAnsi="Times New Roman" w:cs="Times New Roman"/>
                <w:color w:val="000000"/>
              </w:rPr>
              <w:t xml:space="preserve">estimating the demand for </w:t>
            </w:r>
            <w:r>
              <w:rPr>
                <w:rFonts w:ascii="Times New Roman" w:eastAsia="Times New Roman" w:hAnsi="Times New Roman" w:cs="Times New Roman"/>
                <w:color w:val="000000"/>
              </w:rPr>
              <w:t>non-</w:t>
            </w:r>
            <w:r w:rsidRPr="004268BB">
              <w:rPr>
                <w:rFonts w:ascii="Times New Roman" w:eastAsia="Times New Roman" w:hAnsi="Times New Roman" w:cs="Times New Roman"/>
                <w:color w:val="000000"/>
              </w:rPr>
              <w:t>Big 4 auditors  </w:t>
            </w:r>
          </w:p>
        </w:tc>
        <w:tc>
          <w:tcPr>
            <w:tcW w:w="661" w:type="pct"/>
            <w:gridSpan w:val="2"/>
            <w:tcBorders>
              <w:top w:val="single" w:sz="12" w:space="0" w:color="auto"/>
              <w:left w:val="nil"/>
              <w:bottom w:val="single" w:sz="12" w:space="0" w:color="auto"/>
              <w:right w:val="nil"/>
            </w:tcBorders>
            <w:shd w:val="clear" w:color="auto" w:fill="auto"/>
            <w:noWrap/>
            <w:vAlign w:val="bottom"/>
            <w:hideMark/>
          </w:tcPr>
          <w:p w14:paraId="0CA2C2AE"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2735C6" w:rsidRPr="004268BB" w14:paraId="4AD65BD1" w14:textId="77777777" w:rsidTr="00DE6FE8">
        <w:trPr>
          <w:gridAfter w:val="1"/>
          <w:wAfter w:w="31" w:type="pct"/>
          <w:trHeight w:val="259"/>
        </w:trPr>
        <w:tc>
          <w:tcPr>
            <w:tcW w:w="2163" w:type="pct"/>
            <w:tcBorders>
              <w:top w:val="single" w:sz="12" w:space="0" w:color="auto"/>
              <w:left w:val="nil"/>
              <w:bottom w:val="single" w:sz="12" w:space="0" w:color="auto"/>
              <w:right w:val="nil"/>
            </w:tcBorders>
            <w:shd w:val="clear" w:color="auto" w:fill="auto"/>
            <w:noWrap/>
            <w:vAlign w:val="bottom"/>
          </w:tcPr>
          <w:p w14:paraId="0BD67AED"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1312" w:type="pct"/>
            <w:gridSpan w:val="3"/>
            <w:tcBorders>
              <w:top w:val="single" w:sz="12" w:space="0" w:color="auto"/>
              <w:left w:val="nil"/>
              <w:bottom w:val="single" w:sz="12" w:space="0" w:color="auto"/>
              <w:right w:val="nil"/>
            </w:tcBorders>
            <w:shd w:val="clear" w:color="auto" w:fill="auto"/>
            <w:noWrap/>
            <w:vAlign w:val="bottom"/>
          </w:tcPr>
          <w:p w14:paraId="3E367EEF" w14:textId="77777777" w:rsidR="002735C6" w:rsidRPr="004268BB" w:rsidRDefault="002735C6"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Proceeds Match</w:t>
            </w:r>
          </w:p>
        </w:tc>
        <w:tc>
          <w:tcPr>
            <w:tcW w:w="1494" w:type="pct"/>
            <w:gridSpan w:val="4"/>
            <w:tcBorders>
              <w:top w:val="single" w:sz="12" w:space="0" w:color="auto"/>
              <w:left w:val="nil"/>
              <w:bottom w:val="single" w:sz="12" w:space="0" w:color="auto"/>
              <w:right w:val="nil"/>
            </w:tcBorders>
            <w:shd w:val="clear" w:color="auto" w:fill="auto"/>
            <w:noWrap/>
            <w:vAlign w:val="bottom"/>
          </w:tcPr>
          <w:p w14:paraId="4BB07070" w14:textId="77777777" w:rsidR="002735C6" w:rsidRPr="004268BB" w:rsidRDefault="002735C6"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Entropy Balanced</w:t>
            </w:r>
          </w:p>
        </w:tc>
      </w:tr>
      <w:tr w:rsidR="002735C6" w:rsidRPr="004268BB" w14:paraId="2FFEDA95" w14:textId="77777777" w:rsidTr="00DE6FE8">
        <w:trPr>
          <w:gridAfter w:val="1"/>
          <w:wAfter w:w="32" w:type="pct"/>
          <w:trHeight w:val="259"/>
        </w:trPr>
        <w:tc>
          <w:tcPr>
            <w:tcW w:w="2163" w:type="pct"/>
            <w:tcBorders>
              <w:top w:val="single" w:sz="12" w:space="0" w:color="auto"/>
              <w:left w:val="nil"/>
              <w:bottom w:val="single" w:sz="12" w:space="0" w:color="auto"/>
              <w:right w:val="nil"/>
            </w:tcBorders>
            <w:shd w:val="clear" w:color="auto" w:fill="auto"/>
            <w:noWrap/>
            <w:vAlign w:val="bottom"/>
            <w:hideMark/>
          </w:tcPr>
          <w:p w14:paraId="1C8D46AE"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Variable</w:t>
            </w:r>
          </w:p>
        </w:tc>
        <w:tc>
          <w:tcPr>
            <w:tcW w:w="825" w:type="pct"/>
            <w:gridSpan w:val="2"/>
            <w:tcBorders>
              <w:top w:val="single" w:sz="12" w:space="0" w:color="auto"/>
              <w:left w:val="nil"/>
              <w:bottom w:val="single" w:sz="12" w:space="0" w:color="auto"/>
              <w:right w:val="nil"/>
            </w:tcBorders>
            <w:shd w:val="clear" w:color="auto" w:fill="auto"/>
            <w:noWrap/>
            <w:vAlign w:val="bottom"/>
            <w:hideMark/>
          </w:tcPr>
          <w:p w14:paraId="72DD4E4F"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Estimate</w:t>
            </w:r>
          </w:p>
        </w:tc>
        <w:tc>
          <w:tcPr>
            <w:tcW w:w="487" w:type="pct"/>
            <w:tcBorders>
              <w:top w:val="single" w:sz="12" w:space="0" w:color="auto"/>
              <w:left w:val="nil"/>
              <w:bottom w:val="single" w:sz="12" w:space="0" w:color="auto"/>
              <w:right w:val="nil"/>
            </w:tcBorders>
            <w:shd w:val="clear" w:color="auto" w:fill="auto"/>
            <w:noWrap/>
            <w:vAlign w:val="bottom"/>
            <w:hideMark/>
          </w:tcPr>
          <w:p w14:paraId="2F12296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χ</w:t>
            </w:r>
            <w:r w:rsidRPr="004268BB">
              <w:rPr>
                <w:rFonts w:ascii="Times New Roman" w:eastAsia="Times New Roman" w:hAnsi="Times New Roman" w:cs="Times New Roman"/>
                <w:color w:val="000000"/>
                <w:vertAlign w:val="superscript"/>
              </w:rPr>
              <w:t>2</w:t>
            </w:r>
            <w:r w:rsidRPr="004268BB">
              <w:rPr>
                <w:rFonts w:ascii="Times New Roman" w:eastAsia="Times New Roman" w:hAnsi="Times New Roman" w:cs="Times New Roman"/>
                <w:color w:val="000000"/>
              </w:rPr>
              <w:t>-stat</w:t>
            </w:r>
          </w:p>
        </w:tc>
        <w:tc>
          <w:tcPr>
            <w:tcW w:w="832" w:type="pct"/>
            <w:gridSpan w:val="2"/>
            <w:tcBorders>
              <w:top w:val="single" w:sz="12" w:space="0" w:color="auto"/>
              <w:left w:val="nil"/>
              <w:bottom w:val="single" w:sz="12" w:space="0" w:color="auto"/>
              <w:right w:val="nil"/>
            </w:tcBorders>
            <w:shd w:val="clear" w:color="auto" w:fill="auto"/>
            <w:noWrap/>
            <w:vAlign w:val="bottom"/>
            <w:hideMark/>
          </w:tcPr>
          <w:p w14:paraId="66CA51AB"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Estimate</w:t>
            </w:r>
          </w:p>
        </w:tc>
        <w:tc>
          <w:tcPr>
            <w:tcW w:w="661" w:type="pct"/>
            <w:gridSpan w:val="2"/>
            <w:tcBorders>
              <w:top w:val="single" w:sz="12" w:space="0" w:color="auto"/>
              <w:left w:val="nil"/>
              <w:bottom w:val="single" w:sz="12" w:space="0" w:color="auto"/>
              <w:right w:val="nil"/>
            </w:tcBorders>
            <w:shd w:val="clear" w:color="auto" w:fill="auto"/>
            <w:noWrap/>
            <w:vAlign w:val="bottom"/>
            <w:hideMark/>
          </w:tcPr>
          <w:p w14:paraId="7AABE861"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χ</w:t>
            </w:r>
            <w:r w:rsidRPr="004268BB">
              <w:rPr>
                <w:rFonts w:ascii="Times New Roman" w:eastAsia="Times New Roman" w:hAnsi="Times New Roman" w:cs="Times New Roman"/>
                <w:color w:val="000000"/>
                <w:vertAlign w:val="superscript"/>
              </w:rPr>
              <w:t>2</w:t>
            </w:r>
            <w:r w:rsidRPr="004268BB">
              <w:rPr>
                <w:rFonts w:ascii="Times New Roman" w:eastAsia="Times New Roman" w:hAnsi="Times New Roman" w:cs="Times New Roman"/>
                <w:color w:val="000000"/>
              </w:rPr>
              <w:t>-stat</w:t>
            </w:r>
          </w:p>
        </w:tc>
      </w:tr>
      <w:tr w:rsidR="002735C6" w:rsidRPr="004268BB" w14:paraId="31E02209" w14:textId="77777777" w:rsidTr="00DE6FE8">
        <w:trPr>
          <w:gridAfter w:val="1"/>
          <w:wAfter w:w="32" w:type="pct"/>
          <w:trHeight w:val="259"/>
        </w:trPr>
        <w:tc>
          <w:tcPr>
            <w:tcW w:w="2163" w:type="pct"/>
            <w:tcBorders>
              <w:left w:val="nil"/>
              <w:bottom w:val="nil"/>
              <w:right w:val="nil"/>
            </w:tcBorders>
            <w:shd w:val="clear" w:color="auto" w:fill="auto"/>
            <w:noWrap/>
            <w:vAlign w:val="bottom"/>
          </w:tcPr>
          <w:p w14:paraId="5F145E05"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25" w:type="pct"/>
            <w:gridSpan w:val="2"/>
            <w:tcBorders>
              <w:left w:val="nil"/>
              <w:bottom w:val="nil"/>
              <w:right w:val="nil"/>
            </w:tcBorders>
            <w:shd w:val="clear" w:color="auto" w:fill="auto"/>
            <w:noWrap/>
            <w:vAlign w:val="bottom"/>
          </w:tcPr>
          <w:p w14:paraId="2B67C221"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487" w:type="pct"/>
            <w:tcBorders>
              <w:left w:val="nil"/>
              <w:bottom w:val="nil"/>
              <w:right w:val="nil"/>
            </w:tcBorders>
            <w:shd w:val="clear" w:color="auto" w:fill="auto"/>
            <w:noWrap/>
            <w:vAlign w:val="bottom"/>
          </w:tcPr>
          <w:p w14:paraId="468F3D6F"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32" w:type="pct"/>
            <w:gridSpan w:val="2"/>
            <w:tcBorders>
              <w:left w:val="nil"/>
              <w:bottom w:val="nil"/>
              <w:right w:val="nil"/>
            </w:tcBorders>
            <w:shd w:val="clear" w:color="auto" w:fill="auto"/>
            <w:noWrap/>
            <w:vAlign w:val="bottom"/>
          </w:tcPr>
          <w:p w14:paraId="0034B62D"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661" w:type="pct"/>
            <w:gridSpan w:val="2"/>
            <w:tcBorders>
              <w:left w:val="nil"/>
              <w:bottom w:val="nil"/>
              <w:right w:val="nil"/>
            </w:tcBorders>
            <w:shd w:val="clear" w:color="auto" w:fill="auto"/>
            <w:noWrap/>
            <w:vAlign w:val="bottom"/>
          </w:tcPr>
          <w:p w14:paraId="013D9094" w14:textId="77777777" w:rsidR="002735C6" w:rsidRPr="004268BB" w:rsidRDefault="002735C6" w:rsidP="00DE6FE8">
            <w:pPr>
              <w:spacing w:after="0" w:line="240" w:lineRule="auto"/>
              <w:rPr>
                <w:rFonts w:ascii="Times New Roman" w:eastAsia="Times New Roman" w:hAnsi="Times New Roman" w:cs="Times New Roman"/>
                <w:color w:val="000000"/>
              </w:rPr>
            </w:pPr>
          </w:p>
        </w:tc>
      </w:tr>
      <w:tr w:rsidR="002735C6" w:rsidRPr="004268BB" w14:paraId="35404F44" w14:textId="77777777" w:rsidTr="00DE6FE8">
        <w:trPr>
          <w:gridAfter w:val="1"/>
          <w:wAfter w:w="32" w:type="pct"/>
          <w:trHeight w:val="259"/>
        </w:trPr>
        <w:tc>
          <w:tcPr>
            <w:tcW w:w="2163" w:type="pct"/>
            <w:tcBorders>
              <w:left w:val="nil"/>
              <w:bottom w:val="nil"/>
              <w:right w:val="nil"/>
            </w:tcBorders>
            <w:shd w:val="clear" w:color="auto" w:fill="auto"/>
            <w:noWrap/>
            <w:vAlign w:val="bottom"/>
            <w:hideMark/>
          </w:tcPr>
          <w:p w14:paraId="7E8671D1"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Intercept</w:t>
            </w:r>
          </w:p>
        </w:tc>
        <w:tc>
          <w:tcPr>
            <w:tcW w:w="825" w:type="pct"/>
            <w:gridSpan w:val="2"/>
            <w:tcBorders>
              <w:left w:val="nil"/>
              <w:bottom w:val="nil"/>
              <w:right w:val="nil"/>
            </w:tcBorders>
            <w:shd w:val="clear" w:color="auto" w:fill="auto"/>
            <w:noWrap/>
            <w:vAlign w:val="bottom"/>
            <w:hideMark/>
          </w:tcPr>
          <w:p w14:paraId="06C96D71"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8.399***</w:t>
            </w:r>
          </w:p>
        </w:tc>
        <w:tc>
          <w:tcPr>
            <w:tcW w:w="487" w:type="pct"/>
            <w:tcBorders>
              <w:left w:val="nil"/>
              <w:bottom w:val="nil"/>
              <w:right w:val="nil"/>
            </w:tcBorders>
            <w:shd w:val="clear" w:color="auto" w:fill="auto"/>
            <w:noWrap/>
            <w:vAlign w:val="bottom"/>
            <w:hideMark/>
          </w:tcPr>
          <w:p w14:paraId="78784E1B"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25.03</w:t>
            </w:r>
            <w:r w:rsidRPr="004268BB">
              <w:rPr>
                <w:rFonts w:ascii="Times New Roman" w:eastAsia="Times New Roman" w:hAnsi="Times New Roman" w:cs="Times New Roman"/>
                <w:color w:val="000000"/>
              </w:rPr>
              <w:t xml:space="preserve">     </w:t>
            </w:r>
          </w:p>
        </w:tc>
        <w:tc>
          <w:tcPr>
            <w:tcW w:w="832" w:type="pct"/>
            <w:gridSpan w:val="2"/>
            <w:tcBorders>
              <w:left w:val="nil"/>
              <w:bottom w:val="nil"/>
              <w:right w:val="nil"/>
            </w:tcBorders>
            <w:shd w:val="clear" w:color="auto" w:fill="auto"/>
            <w:noWrap/>
            <w:vAlign w:val="bottom"/>
            <w:hideMark/>
          </w:tcPr>
          <w:p w14:paraId="3A595BA5"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8.597***</w:t>
            </w:r>
          </w:p>
        </w:tc>
        <w:tc>
          <w:tcPr>
            <w:tcW w:w="661" w:type="pct"/>
            <w:gridSpan w:val="2"/>
            <w:tcBorders>
              <w:left w:val="nil"/>
              <w:bottom w:val="nil"/>
              <w:right w:val="nil"/>
            </w:tcBorders>
            <w:shd w:val="clear" w:color="auto" w:fill="auto"/>
            <w:noWrap/>
            <w:vAlign w:val="bottom"/>
            <w:hideMark/>
          </w:tcPr>
          <w:p w14:paraId="111D89E8"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26.94     </w:t>
            </w:r>
          </w:p>
        </w:tc>
      </w:tr>
      <w:tr w:rsidR="002735C6" w:rsidRPr="004268BB" w14:paraId="7A45FD57"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7F2DB034"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SPAC-IPO</w:t>
            </w:r>
          </w:p>
        </w:tc>
        <w:tc>
          <w:tcPr>
            <w:tcW w:w="825" w:type="pct"/>
            <w:gridSpan w:val="2"/>
            <w:tcBorders>
              <w:top w:val="nil"/>
              <w:left w:val="nil"/>
              <w:bottom w:val="nil"/>
              <w:right w:val="nil"/>
            </w:tcBorders>
            <w:shd w:val="clear" w:color="auto" w:fill="auto"/>
            <w:noWrap/>
            <w:vAlign w:val="bottom"/>
            <w:hideMark/>
          </w:tcPr>
          <w:p w14:paraId="16CDA631"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2.394***</w:t>
            </w:r>
          </w:p>
        </w:tc>
        <w:tc>
          <w:tcPr>
            <w:tcW w:w="487" w:type="pct"/>
            <w:tcBorders>
              <w:top w:val="nil"/>
              <w:left w:val="nil"/>
              <w:bottom w:val="nil"/>
              <w:right w:val="nil"/>
            </w:tcBorders>
            <w:shd w:val="clear" w:color="auto" w:fill="auto"/>
            <w:noWrap/>
            <w:vAlign w:val="bottom"/>
            <w:hideMark/>
          </w:tcPr>
          <w:p w14:paraId="6A6D5D78"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24.12</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00A7C33A"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2.726***</w:t>
            </w:r>
          </w:p>
        </w:tc>
        <w:tc>
          <w:tcPr>
            <w:tcW w:w="661" w:type="pct"/>
            <w:gridSpan w:val="2"/>
            <w:tcBorders>
              <w:top w:val="nil"/>
              <w:left w:val="nil"/>
              <w:bottom w:val="nil"/>
              <w:right w:val="nil"/>
            </w:tcBorders>
            <w:shd w:val="clear" w:color="auto" w:fill="auto"/>
            <w:noWrap/>
            <w:vAlign w:val="bottom"/>
            <w:hideMark/>
          </w:tcPr>
          <w:p w14:paraId="3EF93A7F"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23.81     </w:t>
            </w:r>
          </w:p>
        </w:tc>
      </w:tr>
      <w:tr w:rsidR="002735C6" w:rsidRPr="004268BB" w14:paraId="4A04CBA7"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6A14EACA"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PROCEEDS</w:t>
            </w:r>
          </w:p>
        </w:tc>
        <w:tc>
          <w:tcPr>
            <w:tcW w:w="825" w:type="pct"/>
            <w:gridSpan w:val="2"/>
            <w:tcBorders>
              <w:top w:val="nil"/>
              <w:left w:val="nil"/>
              <w:bottom w:val="nil"/>
              <w:right w:val="nil"/>
            </w:tcBorders>
            <w:shd w:val="clear" w:color="auto" w:fill="auto"/>
            <w:noWrap/>
            <w:vAlign w:val="bottom"/>
            <w:hideMark/>
          </w:tcPr>
          <w:p w14:paraId="3F802EB6"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31F04">
              <w:rPr>
                <w:rFonts w:ascii="Times New Roman" w:eastAsia="Times New Roman" w:hAnsi="Times New Roman" w:cs="Times New Roman"/>
                <w:color w:val="000000"/>
              </w:rPr>
              <w:t>1.479***</w:t>
            </w:r>
          </w:p>
        </w:tc>
        <w:tc>
          <w:tcPr>
            <w:tcW w:w="487" w:type="pct"/>
            <w:tcBorders>
              <w:top w:val="nil"/>
              <w:left w:val="nil"/>
              <w:bottom w:val="nil"/>
              <w:right w:val="nil"/>
            </w:tcBorders>
            <w:shd w:val="clear" w:color="auto" w:fill="auto"/>
            <w:noWrap/>
            <w:vAlign w:val="bottom"/>
            <w:hideMark/>
          </w:tcPr>
          <w:p w14:paraId="338CC21A"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16.33</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39FF2BF3"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-1.833***</w:t>
            </w:r>
          </w:p>
        </w:tc>
        <w:tc>
          <w:tcPr>
            <w:tcW w:w="661" w:type="pct"/>
            <w:gridSpan w:val="2"/>
            <w:tcBorders>
              <w:top w:val="nil"/>
              <w:left w:val="nil"/>
              <w:bottom w:val="nil"/>
              <w:right w:val="nil"/>
            </w:tcBorders>
            <w:shd w:val="clear" w:color="auto" w:fill="auto"/>
            <w:noWrap/>
            <w:vAlign w:val="bottom"/>
            <w:hideMark/>
          </w:tcPr>
          <w:p w14:paraId="0D45CE37"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19.36     </w:t>
            </w:r>
          </w:p>
        </w:tc>
      </w:tr>
      <w:tr w:rsidR="002735C6" w:rsidRPr="004268BB" w14:paraId="10AC9B53"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35059DEF"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ASSETS</w:t>
            </w:r>
          </w:p>
        </w:tc>
        <w:tc>
          <w:tcPr>
            <w:tcW w:w="825" w:type="pct"/>
            <w:gridSpan w:val="2"/>
            <w:tcBorders>
              <w:top w:val="nil"/>
              <w:left w:val="nil"/>
              <w:bottom w:val="nil"/>
              <w:right w:val="nil"/>
            </w:tcBorders>
            <w:shd w:val="clear" w:color="auto" w:fill="auto"/>
            <w:noWrap/>
            <w:vAlign w:val="bottom"/>
            <w:hideMark/>
          </w:tcPr>
          <w:p w14:paraId="3388B29E"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31F04">
              <w:rPr>
                <w:rFonts w:ascii="Times New Roman" w:eastAsia="Times New Roman" w:hAnsi="Times New Roman" w:cs="Times New Roman"/>
                <w:color w:val="000000"/>
              </w:rPr>
              <w:t xml:space="preserve">0.414*    </w:t>
            </w:r>
          </w:p>
        </w:tc>
        <w:tc>
          <w:tcPr>
            <w:tcW w:w="487" w:type="pct"/>
            <w:tcBorders>
              <w:top w:val="nil"/>
              <w:left w:val="nil"/>
              <w:bottom w:val="nil"/>
              <w:right w:val="nil"/>
            </w:tcBorders>
            <w:shd w:val="clear" w:color="auto" w:fill="auto"/>
            <w:noWrap/>
            <w:vAlign w:val="bottom"/>
            <w:hideMark/>
          </w:tcPr>
          <w:p w14:paraId="1E39143E"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2.98</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0ECA54E2"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-0.167      </w:t>
            </w:r>
          </w:p>
        </w:tc>
        <w:tc>
          <w:tcPr>
            <w:tcW w:w="661" w:type="pct"/>
            <w:gridSpan w:val="2"/>
            <w:tcBorders>
              <w:top w:val="nil"/>
              <w:left w:val="nil"/>
              <w:bottom w:val="nil"/>
              <w:right w:val="nil"/>
            </w:tcBorders>
            <w:shd w:val="clear" w:color="auto" w:fill="auto"/>
            <w:noWrap/>
            <w:vAlign w:val="bottom"/>
            <w:hideMark/>
          </w:tcPr>
          <w:p w14:paraId="03272B16"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0.50     </w:t>
            </w:r>
          </w:p>
        </w:tc>
      </w:tr>
      <w:tr w:rsidR="002735C6" w:rsidRPr="004268BB" w14:paraId="4342C1C2"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48CF78B3"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ASSETTURNOVER</w:t>
            </w:r>
          </w:p>
        </w:tc>
        <w:tc>
          <w:tcPr>
            <w:tcW w:w="825" w:type="pct"/>
            <w:gridSpan w:val="2"/>
            <w:tcBorders>
              <w:top w:val="nil"/>
              <w:left w:val="nil"/>
              <w:bottom w:val="nil"/>
              <w:right w:val="nil"/>
            </w:tcBorders>
            <w:shd w:val="clear" w:color="auto" w:fill="auto"/>
            <w:noWrap/>
            <w:vAlign w:val="bottom"/>
            <w:hideMark/>
          </w:tcPr>
          <w:p w14:paraId="5A5648B0"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 xml:space="preserve">0.170      </w:t>
            </w:r>
          </w:p>
        </w:tc>
        <w:tc>
          <w:tcPr>
            <w:tcW w:w="487" w:type="pct"/>
            <w:tcBorders>
              <w:top w:val="nil"/>
              <w:left w:val="nil"/>
              <w:bottom w:val="nil"/>
              <w:right w:val="nil"/>
            </w:tcBorders>
            <w:shd w:val="clear" w:color="auto" w:fill="auto"/>
            <w:noWrap/>
            <w:vAlign w:val="bottom"/>
            <w:hideMark/>
          </w:tcPr>
          <w:p w14:paraId="3B2F63BA"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69</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24119D9B"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 xml:space="preserve">0.109      </w:t>
            </w:r>
          </w:p>
        </w:tc>
        <w:tc>
          <w:tcPr>
            <w:tcW w:w="661" w:type="pct"/>
            <w:gridSpan w:val="2"/>
            <w:tcBorders>
              <w:top w:val="nil"/>
              <w:left w:val="nil"/>
              <w:bottom w:val="nil"/>
              <w:right w:val="nil"/>
            </w:tcBorders>
            <w:shd w:val="clear" w:color="auto" w:fill="auto"/>
            <w:noWrap/>
            <w:vAlign w:val="bottom"/>
            <w:hideMark/>
          </w:tcPr>
          <w:p w14:paraId="52D7FE47"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0.22     </w:t>
            </w:r>
          </w:p>
        </w:tc>
      </w:tr>
      <w:tr w:rsidR="002735C6" w:rsidRPr="004268BB" w14:paraId="326EFF35"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731012C1"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CURRATIO</w:t>
            </w:r>
          </w:p>
        </w:tc>
        <w:tc>
          <w:tcPr>
            <w:tcW w:w="825" w:type="pct"/>
            <w:gridSpan w:val="2"/>
            <w:tcBorders>
              <w:top w:val="nil"/>
              <w:left w:val="nil"/>
              <w:bottom w:val="nil"/>
              <w:right w:val="nil"/>
            </w:tcBorders>
            <w:shd w:val="clear" w:color="auto" w:fill="auto"/>
            <w:noWrap/>
            <w:vAlign w:val="bottom"/>
            <w:hideMark/>
          </w:tcPr>
          <w:p w14:paraId="4AAC69CD"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 xml:space="preserve">0.010      </w:t>
            </w:r>
          </w:p>
        </w:tc>
        <w:tc>
          <w:tcPr>
            <w:tcW w:w="487" w:type="pct"/>
            <w:tcBorders>
              <w:top w:val="nil"/>
              <w:left w:val="nil"/>
              <w:bottom w:val="nil"/>
              <w:right w:val="nil"/>
            </w:tcBorders>
            <w:shd w:val="clear" w:color="auto" w:fill="auto"/>
            <w:noWrap/>
            <w:vAlign w:val="bottom"/>
            <w:hideMark/>
          </w:tcPr>
          <w:p w14:paraId="5363C8B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16</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36172BBB"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 xml:space="preserve">0.008      </w:t>
            </w:r>
          </w:p>
        </w:tc>
        <w:tc>
          <w:tcPr>
            <w:tcW w:w="661" w:type="pct"/>
            <w:gridSpan w:val="2"/>
            <w:tcBorders>
              <w:top w:val="nil"/>
              <w:left w:val="nil"/>
              <w:bottom w:val="nil"/>
              <w:right w:val="nil"/>
            </w:tcBorders>
            <w:shd w:val="clear" w:color="auto" w:fill="auto"/>
            <w:noWrap/>
            <w:vAlign w:val="bottom"/>
            <w:hideMark/>
          </w:tcPr>
          <w:p w14:paraId="31F58152"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0.08     </w:t>
            </w:r>
          </w:p>
        </w:tc>
      </w:tr>
      <w:tr w:rsidR="002735C6" w:rsidRPr="004268BB" w14:paraId="4647A51C"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6741549E"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LEVERAGE</w:t>
            </w:r>
          </w:p>
        </w:tc>
        <w:tc>
          <w:tcPr>
            <w:tcW w:w="825" w:type="pct"/>
            <w:gridSpan w:val="2"/>
            <w:tcBorders>
              <w:top w:val="nil"/>
              <w:left w:val="nil"/>
              <w:bottom w:val="nil"/>
              <w:right w:val="nil"/>
            </w:tcBorders>
            <w:shd w:val="clear" w:color="auto" w:fill="auto"/>
            <w:noWrap/>
            <w:vAlign w:val="bottom"/>
            <w:hideMark/>
          </w:tcPr>
          <w:p w14:paraId="50580C5C"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 xml:space="preserve">0.146      </w:t>
            </w:r>
          </w:p>
        </w:tc>
        <w:tc>
          <w:tcPr>
            <w:tcW w:w="487" w:type="pct"/>
            <w:tcBorders>
              <w:top w:val="nil"/>
              <w:left w:val="nil"/>
              <w:bottom w:val="nil"/>
              <w:right w:val="nil"/>
            </w:tcBorders>
            <w:shd w:val="clear" w:color="auto" w:fill="auto"/>
            <w:noWrap/>
            <w:vAlign w:val="bottom"/>
            <w:hideMark/>
          </w:tcPr>
          <w:p w14:paraId="5CDF12E4"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04</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74E49D20"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-0.786      </w:t>
            </w:r>
          </w:p>
        </w:tc>
        <w:tc>
          <w:tcPr>
            <w:tcW w:w="661" w:type="pct"/>
            <w:gridSpan w:val="2"/>
            <w:tcBorders>
              <w:top w:val="nil"/>
              <w:left w:val="nil"/>
              <w:bottom w:val="nil"/>
              <w:right w:val="nil"/>
            </w:tcBorders>
            <w:shd w:val="clear" w:color="auto" w:fill="auto"/>
            <w:noWrap/>
            <w:vAlign w:val="bottom"/>
            <w:hideMark/>
          </w:tcPr>
          <w:p w14:paraId="016CCED6"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0.76     </w:t>
            </w:r>
          </w:p>
        </w:tc>
      </w:tr>
      <w:tr w:rsidR="002735C6" w:rsidRPr="004268BB" w14:paraId="67DA7C8F"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4595F3F2"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ROA</w:t>
            </w:r>
          </w:p>
        </w:tc>
        <w:tc>
          <w:tcPr>
            <w:tcW w:w="825" w:type="pct"/>
            <w:gridSpan w:val="2"/>
            <w:tcBorders>
              <w:top w:val="nil"/>
              <w:left w:val="nil"/>
              <w:bottom w:val="nil"/>
              <w:right w:val="nil"/>
            </w:tcBorders>
            <w:shd w:val="clear" w:color="auto" w:fill="auto"/>
            <w:noWrap/>
            <w:vAlign w:val="bottom"/>
            <w:hideMark/>
          </w:tcPr>
          <w:p w14:paraId="24BC68E0"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 xml:space="preserve">1.264**  </w:t>
            </w:r>
          </w:p>
        </w:tc>
        <w:tc>
          <w:tcPr>
            <w:tcW w:w="487" w:type="pct"/>
            <w:tcBorders>
              <w:top w:val="nil"/>
              <w:left w:val="nil"/>
              <w:bottom w:val="nil"/>
              <w:right w:val="nil"/>
            </w:tcBorders>
            <w:shd w:val="clear" w:color="auto" w:fill="auto"/>
            <w:noWrap/>
            <w:vAlign w:val="bottom"/>
            <w:hideMark/>
          </w:tcPr>
          <w:p w14:paraId="6B102AAB"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5.25</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6641E565"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 xml:space="preserve">1.211**  </w:t>
            </w:r>
          </w:p>
        </w:tc>
        <w:tc>
          <w:tcPr>
            <w:tcW w:w="661" w:type="pct"/>
            <w:gridSpan w:val="2"/>
            <w:tcBorders>
              <w:top w:val="nil"/>
              <w:left w:val="nil"/>
              <w:bottom w:val="nil"/>
              <w:right w:val="nil"/>
            </w:tcBorders>
            <w:shd w:val="clear" w:color="auto" w:fill="auto"/>
            <w:noWrap/>
            <w:vAlign w:val="bottom"/>
            <w:hideMark/>
          </w:tcPr>
          <w:p w14:paraId="090A3687"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5.34     </w:t>
            </w:r>
          </w:p>
        </w:tc>
      </w:tr>
      <w:tr w:rsidR="002735C6" w:rsidRPr="004268BB" w14:paraId="772BF055"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43E95789"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EGC</w:t>
            </w:r>
          </w:p>
        </w:tc>
        <w:tc>
          <w:tcPr>
            <w:tcW w:w="825" w:type="pct"/>
            <w:gridSpan w:val="2"/>
            <w:tcBorders>
              <w:top w:val="nil"/>
              <w:left w:val="nil"/>
              <w:bottom w:val="nil"/>
              <w:right w:val="nil"/>
            </w:tcBorders>
            <w:shd w:val="clear" w:color="auto" w:fill="auto"/>
            <w:noWrap/>
            <w:vAlign w:val="bottom"/>
            <w:hideMark/>
          </w:tcPr>
          <w:p w14:paraId="69CFF796"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31F04">
              <w:rPr>
                <w:rFonts w:ascii="Times New Roman" w:eastAsia="Times New Roman" w:hAnsi="Times New Roman" w:cs="Times New Roman"/>
                <w:color w:val="000000"/>
              </w:rPr>
              <w:t xml:space="preserve">0.584      </w:t>
            </w:r>
          </w:p>
        </w:tc>
        <w:tc>
          <w:tcPr>
            <w:tcW w:w="487" w:type="pct"/>
            <w:tcBorders>
              <w:top w:val="nil"/>
              <w:left w:val="nil"/>
              <w:bottom w:val="nil"/>
              <w:right w:val="nil"/>
            </w:tcBorders>
            <w:shd w:val="clear" w:color="auto" w:fill="auto"/>
            <w:noWrap/>
            <w:vAlign w:val="bottom"/>
            <w:hideMark/>
          </w:tcPr>
          <w:p w14:paraId="6A5A270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2.23</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1F9758B0"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55A08">
              <w:rPr>
                <w:rFonts w:ascii="Times New Roman" w:eastAsia="Times New Roman" w:hAnsi="Times New Roman" w:cs="Times New Roman"/>
                <w:color w:val="000000"/>
              </w:rPr>
              <w:t xml:space="preserve">0.519      </w:t>
            </w:r>
          </w:p>
        </w:tc>
        <w:tc>
          <w:tcPr>
            <w:tcW w:w="661" w:type="pct"/>
            <w:gridSpan w:val="2"/>
            <w:tcBorders>
              <w:top w:val="nil"/>
              <w:left w:val="nil"/>
              <w:bottom w:val="nil"/>
              <w:right w:val="nil"/>
            </w:tcBorders>
            <w:shd w:val="clear" w:color="auto" w:fill="auto"/>
            <w:noWrap/>
            <w:vAlign w:val="bottom"/>
            <w:hideMark/>
          </w:tcPr>
          <w:p w14:paraId="0C320D11"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1.74     </w:t>
            </w:r>
          </w:p>
        </w:tc>
      </w:tr>
      <w:tr w:rsidR="002735C6" w:rsidRPr="004268BB" w14:paraId="77D6D6FA"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6BAFDEB1" w14:textId="77777777" w:rsidR="002735C6" w:rsidRPr="004268BB" w:rsidRDefault="002735C6" w:rsidP="00DE6FE8">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FOREIGNFIRM</w:t>
            </w:r>
          </w:p>
        </w:tc>
        <w:tc>
          <w:tcPr>
            <w:tcW w:w="825" w:type="pct"/>
            <w:gridSpan w:val="2"/>
            <w:tcBorders>
              <w:top w:val="nil"/>
              <w:left w:val="nil"/>
              <w:bottom w:val="nil"/>
              <w:right w:val="nil"/>
            </w:tcBorders>
            <w:shd w:val="clear" w:color="auto" w:fill="auto"/>
            <w:noWrap/>
            <w:vAlign w:val="bottom"/>
            <w:hideMark/>
          </w:tcPr>
          <w:p w14:paraId="54FF2935"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31F04">
              <w:rPr>
                <w:rFonts w:ascii="Times New Roman" w:eastAsia="Times New Roman" w:hAnsi="Times New Roman" w:cs="Times New Roman"/>
                <w:color w:val="000000"/>
              </w:rPr>
              <w:t xml:space="preserve">1.103**  </w:t>
            </w:r>
          </w:p>
        </w:tc>
        <w:tc>
          <w:tcPr>
            <w:tcW w:w="487" w:type="pct"/>
            <w:tcBorders>
              <w:top w:val="nil"/>
              <w:left w:val="nil"/>
              <w:bottom w:val="nil"/>
              <w:right w:val="nil"/>
            </w:tcBorders>
            <w:shd w:val="clear" w:color="auto" w:fill="auto"/>
            <w:noWrap/>
            <w:vAlign w:val="bottom"/>
            <w:hideMark/>
          </w:tcPr>
          <w:p w14:paraId="5BDCA84D"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5.</w:t>
            </w:r>
            <w:r>
              <w:rPr>
                <w:rFonts w:ascii="Times New Roman" w:eastAsia="Times New Roman" w:hAnsi="Times New Roman" w:cs="Times New Roman"/>
                <w:color w:val="000000"/>
              </w:rPr>
              <w:t>11</w:t>
            </w:r>
            <w:r w:rsidRPr="004268BB">
              <w:rPr>
                <w:rFonts w:ascii="Times New Roman" w:eastAsia="Times New Roman" w:hAnsi="Times New Roman" w:cs="Times New Roman"/>
                <w:color w:val="000000"/>
              </w:rPr>
              <w:t xml:space="preserve">     </w:t>
            </w:r>
          </w:p>
        </w:tc>
        <w:tc>
          <w:tcPr>
            <w:tcW w:w="832" w:type="pct"/>
            <w:gridSpan w:val="2"/>
            <w:tcBorders>
              <w:top w:val="nil"/>
              <w:left w:val="nil"/>
              <w:bottom w:val="nil"/>
              <w:right w:val="nil"/>
            </w:tcBorders>
            <w:shd w:val="clear" w:color="auto" w:fill="auto"/>
            <w:noWrap/>
            <w:vAlign w:val="bottom"/>
            <w:hideMark/>
          </w:tcPr>
          <w:p w14:paraId="3B3167D7"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-1.136**  </w:t>
            </w:r>
          </w:p>
        </w:tc>
        <w:tc>
          <w:tcPr>
            <w:tcW w:w="661" w:type="pct"/>
            <w:gridSpan w:val="2"/>
            <w:tcBorders>
              <w:top w:val="nil"/>
              <w:left w:val="nil"/>
              <w:bottom w:val="nil"/>
              <w:right w:val="nil"/>
            </w:tcBorders>
            <w:shd w:val="clear" w:color="auto" w:fill="auto"/>
            <w:noWrap/>
            <w:vAlign w:val="bottom"/>
            <w:hideMark/>
          </w:tcPr>
          <w:p w14:paraId="71698316" w14:textId="77777777" w:rsidR="002735C6" w:rsidRPr="004268BB" w:rsidRDefault="002735C6" w:rsidP="00DE6FE8">
            <w:pPr>
              <w:spacing w:after="0" w:line="240" w:lineRule="auto"/>
              <w:rPr>
                <w:rFonts w:ascii="Times New Roman" w:eastAsia="Times New Roman" w:hAnsi="Times New Roman" w:cs="Times New Roman"/>
                <w:color w:val="000000"/>
              </w:rPr>
            </w:pPr>
            <w:r w:rsidRPr="00855A08">
              <w:rPr>
                <w:rFonts w:ascii="Times New Roman" w:eastAsia="Times New Roman" w:hAnsi="Times New Roman" w:cs="Times New Roman"/>
                <w:color w:val="000000"/>
              </w:rPr>
              <w:t xml:space="preserve">5.11     </w:t>
            </w:r>
          </w:p>
        </w:tc>
      </w:tr>
      <w:tr w:rsidR="002735C6" w:rsidRPr="004268BB" w14:paraId="171866F3" w14:textId="77777777" w:rsidTr="00DE6FE8">
        <w:trPr>
          <w:trHeight w:hRule="exact" w:val="72"/>
        </w:trPr>
        <w:tc>
          <w:tcPr>
            <w:tcW w:w="2163" w:type="pct"/>
            <w:tcBorders>
              <w:top w:val="nil"/>
              <w:left w:val="nil"/>
              <w:bottom w:val="nil"/>
              <w:right w:val="nil"/>
            </w:tcBorders>
            <w:shd w:val="clear" w:color="auto" w:fill="auto"/>
            <w:noWrap/>
            <w:vAlign w:val="bottom"/>
            <w:hideMark/>
          </w:tcPr>
          <w:p w14:paraId="08023BEB" w14:textId="77777777" w:rsidR="002735C6" w:rsidRPr="004268BB" w:rsidRDefault="002735C6" w:rsidP="00DE6FE8">
            <w:pPr>
              <w:spacing w:after="0" w:line="240" w:lineRule="auto"/>
              <w:jc w:val="right"/>
              <w:rPr>
                <w:rFonts w:ascii="Times New Roman" w:eastAsia="Times New Roman" w:hAnsi="Times New Roman" w:cs="Times New Roman"/>
                <w:color w:val="000000"/>
              </w:rPr>
            </w:pPr>
          </w:p>
        </w:tc>
        <w:tc>
          <w:tcPr>
            <w:tcW w:w="825" w:type="pct"/>
            <w:gridSpan w:val="2"/>
            <w:tcBorders>
              <w:top w:val="nil"/>
              <w:left w:val="nil"/>
              <w:bottom w:val="nil"/>
              <w:right w:val="nil"/>
            </w:tcBorders>
            <w:shd w:val="clear" w:color="auto" w:fill="auto"/>
            <w:noWrap/>
            <w:vAlign w:val="bottom"/>
            <w:hideMark/>
          </w:tcPr>
          <w:p w14:paraId="58C16D07" w14:textId="77777777" w:rsidR="002735C6" w:rsidRPr="004268BB" w:rsidRDefault="002735C6" w:rsidP="00DE6FE8">
            <w:pPr>
              <w:spacing w:after="0" w:line="240" w:lineRule="auto"/>
              <w:rPr>
                <w:rFonts w:ascii="Times New Roman" w:eastAsia="Times New Roman" w:hAnsi="Times New Roman" w:cs="Times New Roman"/>
              </w:rPr>
            </w:pPr>
          </w:p>
        </w:tc>
        <w:tc>
          <w:tcPr>
            <w:tcW w:w="487" w:type="pct"/>
            <w:tcBorders>
              <w:top w:val="nil"/>
              <w:left w:val="nil"/>
              <w:bottom w:val="nil"/>
              <w:right w:val="nil"/>
            </w:tcBorders>
            <w:shd w:val="clear" w:color="auto" w:fill="auto"/>
            <w:noWrap/>
            <w:vAlign w:val="bottom"/>
            <w:hideMark/>
          </w:tcPr>
          <w:p w14:paraId="0F808A66" w14:textId="77777777" w:rsidR="002735C6" w:rsidRPr="004268BB" w:rsidRDefault="002735C6" w:rsidP="00DE6FE8">
            <w:pPr>
              <w:spacing w:after="0" w:line="240" w:lineRule="auto"/>
              <w:rPr>
                <w:rFonts w:ascii="Times New Roman" w:eastAsia="Times New Roman" w:hAnsi="Times New Roman" w:cs="Times New Roman"/>
              </w:rPr>
            </w:pPr>
          </w:p>
        </w:tc>
        <w:tc>
          <w:tcPr>
            <w:tcW w:w="737" w:type="pct"/>
            <w:tcBorders>
              <w:top w:val="nil"/>
              <w:left w:val="nil"/>
              <w:bottom w:val="nil"/>
              <w:right w:val="nil"/>
            </w:tcBorders>
            <w:shd w:val="clear" w:color="auto" w:fill="auto"/>
            <w:noWrap/>
            <w:vAlign w:val="bottom"/>
            <w:hideMark/>
          </w:tcPr>
          <w:p w14:paraId="514A3143" w14:textId="77777777" w:rsidR="002735C6" w:rsidRPr="004268BB" w:rsidRDefault="002735C6" w:rsidP="00DE6FE8">
            <w:pPr>
              <w:spacing w:after="0" w:line="240" w:lineRule="auto"/>
              <w:rPr>
                <w:rFonts w:ascii="Times New Roman" w:eastAsia="Times New Roman" w:hAnsi="Times New Roman" w:cs="Times New Roman"/>
              </w:rPr>
            </w:pPr>
          </w:p>
        </w:tc>
        <w:tc>
          <w:tcPr>
            <w:tcW w:w="127" w:type="pct"/>
            <w:gridSpan w:val="2"/>
            <w:tcBorders>
              <w:top w:val="nil"/>
              <w:left w:val="nil"/>
              <w:bottom w:val="nil"/>
              <w:right w:val="nil"/>
            </w:tcBorders>
            <w:shd w:val="clear" w:color="auto" w:fill="auto"/>
            <w:noWrap/>
            <w:vAlign w:val="bottom"/>
            <w:hideMark/>
          </w:tcPr>
          <w:p w14:paraId="2650B8C0" w14:textId="77777777" w:rsidR="002735C6" w:rsidRPr="004268BB" w:rsidRDefault="002735C6" w:rsidP="00DE6FE8">
            <w:pPr>
              <w:spacing w:after="0" w:line="240" w:lineRule="auto"/>
              <w:jc w:val="center"/>
              <w:rPr>
                <w:rFonts w:ascii="Times New Roman" w:eastAsia="Times New Roman" w:hAnsi="Times New Roman" w:cs="Times New Roman"/>
              </w:rPr>
            </w:pPr>
          </w:p>
        </w:tc>
        <w:tc>
          <w:tcPr>
            <w:tcW w:w="661" w:type="pct"/>
            <w:gridSpan w:val="2"/>
            <w:tcBorders>
              <w:top w:val="nil"/>
              <w:left w:val="nil"/>
              <w:bottom w:val="nil"/>
              <w:right w:val="nil"/>
            </w:tcBorders>
            <w:shd w:val="clear" w:color="auto" w:fill="auto"/>
            <w:noWrap/>
            <w:vAlign w:val="bottom"/>
            <w:hideMark/>
          </w:tcPr>
          <w:p w14:paraId="01CC5653" w14:textId="77777777" w:rsidR="002735C6" w:rsidRPr="00855A08" w:rsidRDefault="002735C6" w:rsidP="00DE6FE8">
            <w:pPr>
              <w:spacing w:after="0" w:line="240" w:lineRule="auto"/>
              <w:rPr>
                <w:rFonts w:ascii="Times New Roman" w:eastAsia="Times New Roman" w:hAnsi="Times New Roman" w:cs="Times New Roman"/>
                <w:color w:val="000000"/>
              </w:rPr>
            </w:pPr>
          </w:p>
        </w:tc>
      </w:tr>
      <w:tr w:rsidR="002735C6" w:rsidRPr="004268BB" w14:paraId="56CFF237"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1E3245FC"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Industry Fixed Effects</w:t>
            </w:r>
          </w:p>
        </w:tc>
        <w:tc>
          <w:tcPr>
            <w:tcW w:w="825" w:type="pct"/>
            <w:gridSpan w:val="2"/>
            <w:tcBorders>
              <w:top w:val="nil"/>
              <w:left w:val="nil"/>
              <w:bottom w:val="nil"/>
              <w:right w:val="nil"/>
            </w:tcBorders>
            <w:shd w:val="clear" w:color="auto" w:fill="auto"/>
            <w:noWrap/>
            <w:vAlign w:val="bottom"/>
            <w:hideMark/>
          </w:tcPr>
          <w:p w14:paraId="09B38687" w14:textId="77777777" w:rsidR="002735C6" w:rsidRPr="004268BB" w:rsidRDefault="002735C6"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Yes</w:t>
            </w:r>
            <w:r w:rsidRPr="004268BB">
              <w:rPr>
                <w:rFonts w:ascii="Times New Roman" w:eastAsia="Times New Roman" w:hAnsi="Times New Roman" w:cs="Times New Roman"/>
                <w:color w:val="000000"/>
              </w:rPr>
              <w:t xml:space="preserve">      </w:t>
            </w:r>
          </w:p>
        </w:tc>
        <w:tc>
          <w:tcPr>
            <w:tcW w:w="487" w:type="pct"/>
            <w:tcBorders>
              <w:top w:val="nil"/>
              <w:left w:val="nil"/>
              <w:bottom w:val="nil"/>
              <w:right w:val="nil"/>
            </w:tcBorders>
            <w:shd w:val="clear" w:color="auto" w:fill="auto"/>
            <w:noWrap/>
            <w:vAlign w:val="bottom"/>
            <w:hideMark/>
          </w:tcPr>
          <w:p w14:paraId="473CA270"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832" w:type="pct"/>
            <w:gridSpan w:val="2"/>
            <w:tcBorders>
              <w:top w:val="nil"/>
              <w:left w:val="nil"/>
              <w:bottom w:val="nil"/>
              <w:right w:val="nil"/>
            </w:tcBorders>
            <w:shd w:val="clear" w:color="auto" w:fill="auto"/>
            <w:noWrap/>
            <w:vAlign w:val="bottom"/>
            <w:hideMark/>
          </w:tcPr>
          <w:p w14:paraId="7C3081C5"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Yes      </w:t>
            </w:r>
          </w:p>
        </w:tc>
        <w:tc>
          <w:tcPr>
            <w:tcW w:w="661" w:type="pct"/>
            <w:gridSpan w:val="2"/>
            <w:tcBorders>
              <w:top w:val="nil"/>
              <w:left w:val="nil"/>
              <w:bottom w:val="nil"/>
              <w:right w:val="nil"/>
            </w:tcBorders>
            <w:shd w:val="clear" w:color="auto" w:fill="auto"/>
            <w:noWrap/>
            <w:vAlign w:val="bottom"/>
            <w:hideMark/>
          </w:tcPr>
          <w:p w14:paraId="6BEF4FA9"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r>
      <w:tr w:rsidR="002735C6" w:rsidRPr="004268BB" w14:paraId="45C81284"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028C108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Observations</w:t>
            </w:r>
          </w:p>
        </w:tc>
        <w:tc>
          <w:tcPr>
            <w:tcW w:w="825" w:type="pct"/>
            <w:gridSpan w:val="2"/>
            <w:tcBorders>
              <w:top w:val="nil"/>
              <w:left w:val="nil"/>
              <w:bottom w:val="nil"/>
              <w:right w:val="nil"/>
            </w:tcBorders>
            <w:shd w:val="clear" w:color="auto" w:fill="auto"/>
            <w:noWrap/>
            <w:vAlign w:val="bottom"/>
            <w:hideMark/>
          </w:tcPr>
          <w:p w14:paraId="52620D9D"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290      </w:t>
            </w:r>
          </w:p>
        </w:tc>
        <w:tc>
          <w:tcPr>
            <w:tcW w:w="487" w:type="pct"/>
            <w:tcBorders>
              <w:top w:val="nil"/>
              <w:left w:val="nil"/>
              <w:bottom w:val="nil"/>
              <w:right w:val="nil"/>
            </w:tcBorders>
            <w:shd w:val="clear" w:color="auto" w:fill="auto"/>
            <w:noWrap/>
            <w:vAlign w:val="bottom"/>
            <w:hideMark/>
          </w:tcPr>
          <w:p w14:paraId="16B11755"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832" w:type="pct"/>
            <w:gridSpan w:val="2"/>
            <w:tcBorders>
              <w:top w:val="nil"/>
              <w:left w:val="nil"/>
              <w:bottom w:val="nil"/>
              <w:right w:val="nil"/>
            </w:tcBorders>
            <w:shd w:val="clear" w:color="auto" w:fill="auto"/>
            <w:noWrap/>
            <w:vAlign w:val="bottom"/>
            <w:hideMark/>
          </w:tcPr>
          <w:p w14:paraId="22D8D373"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290      </w:t>
            </w:r>
          </w:p>
        </w:tc>
        <w:tc>
          <w:tcPr>
            <w:tcW w:w="661" w:type="pct"/>
            <w:gridSpan w:val="2"/>
            <w:tcBorders>
              <w:top w:val="nil"/>
              <w:left w:val="nil"/>
              <w:bottom w:val="nil"/>
              <w:right w:val="nil"/>
            </w:tcBorders>
            <w:shd w:val="clear" w:color="auto" w:fill="auto"/>
            <w:noWrap/>
            <w:vAlign w:val="bottom"/>
            <w:hideMark/>
          </w:tcPr>
          <w:p w14:paraId="7334A5C3"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r>
      <w:tr w:rsidR="002735C6" w:rsidRPr="004268BB" w14:paraId="0B31A5BB" w14:textId="77777777" w:rsidTr="00DE6FE8">
        <w:trPr>
          <w:gridAfter w:val="1"/>
          <w:wAfter w:w="32" w:type="pct"/>
          <w:trHeight w:val="259"/>
        </w:trPr>
        <w:tc>
          <w:tcPr>
            <w:tcW w:w="2163" w:type="pct"/>
            <w:tcBorders>
              <w:top w:val="nil"/>
              <w:left w:val="nil"/>
              <w:right w:val="nil"/>
            </w:tcBorders>
            <w:shd w:val="clear" w:color="auto" w:fill="auto"/>
            <w:noWrap/>
            <w:vAlign w:val="bottom"/>
            <w:hideMark/>
          </w:tcPr>
          <w:p w14:paraId="277B225A"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Likelihood Ratio</w:t>
            </w:r>
          </w:p>
        </w:tc>
        <w:tc>
          <w:tcPr>
            <w:tcW w:w="825" w:type="pct"/>
            <w:gridSpan w:val="2"/>
            <w:tcBorders>
              <w:top w:val="nil"/>
              <w:left w:val="nil"/>
              <w:right w:val="nil"/>
            </w:tcBorders>
            <w:shd w:val="clear" w:color="auto" w:fill="auto"/>
            <w:noWrap/>
            <w:vAlign w:val="bottom"/>
            <w:hideMark/>
          </w:tcPr>
          <w:p w14:paraId="39E1ACB7"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142.99</w:t>
            </w:r>
            <w:r w:rsidRPr="004268BB">
              <w:rPr>
                <w:rFonts w:ascii="Times New Roman" w:eastAsia="Times New Roman" w:hAnsi="Times New Roman" w:cs="Times New Roman"/>
                <w:color w:val="000000"/>
              </w:rPr>
              <w:t>***</w:t>
            </w:r>
          </w:p>
        </w:tc>
        <w:tc>
          <w:tcPr>
            <w:tcW w:w="487" w:type="pct"/>
            <w:tcBorders>
              <w:top w:val="nil"/>
              <w:left w:val="nil"/>
              <w:right w:val="nil"/>
            </w:tcBorders>
            <w:shd w:val="clear" w:color="auto" w:fill="auto"/>
            <w:noWrap/>
            <w:vAlign w:val="bottom"/>
            <w:hideMark/>
          </w:tcPr>
          <w:p w14:paraId="21ABB00A"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c>
          <w:tcPr>
            <w:tcW w:w="832" w:type="pct"/>
            <w:gridSpan w:val="2"/>
            <w:tcBorders>
              <w:top w:val="nil"/>
              <w:left w:val="nil"/>
              <w:right w:val="nil"/>
            </w:tcBorders>
            <w:shd w:val="clear" w:color="auto" w:fill="auto"/>
            <w:noWrap/>
            <w:vAlign w:val="bottom"/>
            <w:hideMark/>
          </w:tcPr>
          <w:p w14:paraId="528D3504"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111.71</w:t>
            </w:r>
            <w:r w:rsidRPr="004268BB">
              <w:rPr>
                <w:rFonts w:ascii="Times New Roman" w:eastAsia="Times New Roman" w:hAnsi="Times New Roman" w:cs="Times New Roman"/>
                <w:color w:val="000000"/>
              </w:rPr>
              <w:t>***</w:t>
            </w:r>
          </w:p>
        </w:tc>
        <w:tc>
          <w:tcPr>
            <w:tcW w:w="661" w:type="pct"/>
            <w:gridSpan w:val="2"/>
            <w:tcBorders>
              <w:top w:val="nil"/>
              <w:left w:val="nil"/>
              <w:right w:val="nil"/>
            </w:tcBorders>
            <w:shd w:val="clear" w:color="auto" w:fill="auto"/>
            <w:noWrap/>
            <w:vAlign w:val="bottom"/>
            <w:hideMark/>
          </w:tcPr>
          <w:p w14:paraId="0E37BBF0" w14:textId="77777777" w:rsidR="002735C6" w:rsidRPr="004268BB" w:rsidRDefault="002735C6" w:rsidP="00DE6FE8">
            <w:pPr>
              <w:spacing w:after="0" w:line="240" w:lineRule="auto"/>
              <w:jc w:val="center"/>
              <w:rPr>
                <w:rFonts w:ascii="Times New Roman" w:eastAsia="Times New Roman" w:hAnsi="Times New Roman" w:cs="Times New Roman"/>
                <w:color w:val="000000"/>
              </w:rPr>
            </w:pPr>
          </w:p>
        </w:tc>
      </w:tr>
      <w:tr w:rsidR="002735C6" w:rsidRPr="004268BB" w14:paraId="45E4111A" w14:textId="77777777" w:rsidTr="00DE6FE8">
        <w:trPr>
          <w:gridAfter w:val="1"/>
          <w:wAfter w:w="32" w:type="pct"/>
          <w:trHeight w:val="259"/>
        </w:trPr>
        <w:tc>
          <w:tcPr>
            <w:tcW w:w="2163" w:type="pct"/>
            <w:tcBorders>
              <w:top w:val="nil"/>
              <w:left w:val="nil"/>
              <w:bottom w:val="nil"/>
              <w:right w:val="nil"/>
            </w:tcBorders>
            <w:shd w:val="clear" w:color="auto" w:fill="auto"/>
            <w:noWrap/>
            <w:vAlign w:val="bottom"/>
            <w:hideMark/>
          </w:tcPr>
          <w:p w14:paraId="0AAFAB9D"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Pseudo R</w:t>
            </w:r>
            <w:r w:rsidRPr="004268BB">
              <w:rPr>
                <w:rFonts w:ascii="Times New Roman" w:eastAsia="Times New Roman" w:hAnsi="Times New Roman" w:cs="Times New Roman"/>
                <w:color w:val="000000"/>
                <w:vertAlign w:val="superscript"/>
              </w:rPr>
              <w:t>2</w:t>
            </w:r>
          </w:p>
        </w:tc>
        <w:tc>
          <w:tcPr>
            <w:tcW w:w="825" w:type="pct"/>
            <w:gridSpan w:val="2"/>
            <w:tcBorders>
              <w:top w:val="nil"/>
              <w:left w:val="nil"/>
              <w:bottom w:val="nil"/>
              <w:right w:val="nil"/>
            </w:tcBorders>
            <w:shd w:val="clear" w:color="auto" w:fill="auto"/>
            <w:noWrap/>
            <w:vAlign w:val="bottom"/>
            <w:hideMark/>
          </w:tcPr>
          <w:p w14:paraId="10574DC0"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0.3</w:t>
            </w:r>
            <w:r>
              <w:rPr>
                <w:rFonts w:ascii="Times New Roman" w:eastAsia="Times New Roman" w:hAnsi="Times New Roman" w:cs="Times New Roman"/>
                <w:color w:val="000000"/>
              </w:rPr>
              <w:t>9</w:t>
            </w:r>
            <w:r w:rsidRPr="004268BB">
              <w:rPr>
                <w:rFonts w:ascii="Times New Roman" w:eastAsia="Times New Roman" w:hAnsi="Times New Roman" w:cs="Times New Roman"/>
                <w:color w:val="000000"/>
              </w:rPr>
              <w:t xml:space="preserve">      </w:t>
            </w:r>
          </w:p>
        </w:tc>
        <w:tc>
          <w:tcPr>
            <w:tcW w:w="487" w:type="pct"/>
            <w:tcBorders>
              <w:top w:val="nil"/>
              <w:left w:val="nil"/>
              <w:bottom w:val="nil"/>
              <w:right w:val="nil"/>
            </w:tcBorders>
            <w:shd w:val="clear" w:color="auto" w:fill="auto"/>
            <w:noWrap/>
            <w:vAlign w:val="bottom"/>
            <w:hideMark/>
          </w:tcPr>
          <w:p w14:paraId="004E7C92"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832" w:type="pct"/>
            <w:gridSpan w:val="2"/>
            <w:tcBorders>
              <w:top w:val="nil"/>
              <w:left w:val="nil"/>
              <w:bottom w:val="nil"/>
              <w:right w:val="nil"/>
            </w:tcBorders>
            <w:shd w:val="clear" w:color="auto" w:fill="auto"/>
            <w:noWrap/>
            <w:vAlign w:val="bottom"/>
            <w:hideMark/>
          </w:tcPr>
          <w:p w14:paraId="5E0D9AE5"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0.39      </w:t>
            </w:r>
          </w:p>
        </w:tc>
        <w:tc>
          <w:tcPr>
            <w:tcW w:w="661" w:type="pct"/>
            <w:gridSpan w:val="2"/>
            <w:tcBorders>
              <w:top w:val="nil"/>
              <w:left w:val="nil"/>
              <w:bottom w:val="nil"/>
              <w:right w:val="nil"/>
            </w:tcBorders>
            <w:shd w:val="clear" w:color="auto" w:fill="auto"/>
            <w:noWrap/>
            <w:vAlign w:val="bottom"/>
            <w:hideMark/>
          </w:tcPr>
          <w:p w14:paraId="4AFC2353" w14:textId="77777777" w:rsidR="002735C6" w:rsidRPr="004268BB" w:rsidRDefault="002735C6" w:rsidP="00DE6FE8">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2735C6" w:rsidRPr="004268BB" w14:paraId="0A48E256" w14:textId="77777777" w:rsidTr="00DE6FE8">
        <w:trPr>
          <w:gridAfter w:val="1"/>
          <w:wAfter w:w="32" w:type="pct"/>
          <w:trHeight w:val="259"/>
        </w:trPr>
        <w:tc>
          <w:tcPr>
            <w:tcW w:w="2163" w:type="pct"/>
            <w:tcBorders>
              <w:top w:val="nil"/>
              <w:left w:val="nil"/>
              <w:bottom w:val="single" w:sz="12" w:space="0" w:color="auto"/>
              <w:right w:val="nil"/>
            </w:tcBorders>
            <w:shd w:val="clear" w:color="auto" w:fill="auto"/>
            <w:noWrap/>
            <w:vAlign w:val="bottom"/>
          </w:tcPr>
          <w:p w14:paraId="5970E624"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25" w:type="pct"/>
            <w:gridSpan w:val="2"/>
            <w:tcBorders>
              <w:top w:val="nil"/>
              <w:left w:val="nil"/>
              <w:bottom w:val="single" w:sz="12" w:space="0" w:color="auto"/>
              <w:right w:val="nil"/>
            </w:tcBorders>
            <w:shd w:val="clear" w:color="auto" w:fill="auto"/>
            <w:noWrap/>
            <w:vAlign w:val="bottom"/>
          </w:tcPr>
          <w:p w14:paraId="5B39C8CB"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487" w:type="pct"/>
            <w:tcBorders>
              <w:top w:val="nil"/>
              <w:left w:val="nil"/>
              <w:bottom w:val="single" w:sz="12" w:space="0" w:color="auto"/>
              <w:right w:val="nil"/>
            </w:tcBorders>
            <w:shd w:val="clear" w:color="auto" w:fill="auto"/>
            <w:noWrap/>
            <w:vAlign w:val="bottom"/>
          </w:tcPr>
          <w:p w14:paraId="52D90C28"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832" w:type="pct"/>
            <w:gridSpan w:val="2"/>
            <w:tcBorders>
              <w:top w:val="nil"/>
              <w:left w:val="nil"/>
              <w:bottom w:val="single" w:sz="12" w:space="0" w:color="auto"/>
              <w:right w:val="nil"/>
            </w:tcBorders>
            <w:shd w:val="clear" w:color="auto" w:fill="auto"/>
            <w:noWrap/>
            <w:vAlign w:val="bottom"/>
          </w:tcPr>
          <w:p w14:paraId="6BB43066" w14:textId="77777777" w:rsidR="002735C6" w:rsidRPr="004268BB" w:rsidRDefault="002735C6" w:rsidP="00DE6FE8">
            <w:pPr>
              <w:spacing w:after="0" w:line="240" w:lineRule="auto"/>
              <w:rPr>
                <w:rFonts w:ascii="Times New Roman" w:eastAsia="Times New Roman" w:hAnsi="Times New Roman" w:cs="Times New Roman"/>
                <w:color w:val="000000"/>
              </w:rPr>
            </w:pPr>
          </w:p>
        </w:tc>
        <w:tc>
          <w:tcPr>
            <w:tcW w:w="661" w:type="pct"/>
            <w:gridSpan w:val="2"/>
            <w:tcBorders>
              <w:top w:val="nil"/>
              <w:left w:val="nil"/>
              <w:bottom w:val="single" w:sz="12" w:space="0" w:color="auto"/>
              <w:right w:val="nil"/>
            </w:tcBorders>
            <w:shd w:val="clear" w:color="auto" w:fill="auto"/>
            <w:noWrap/>
            <w:vAlign w:val="bottom"/>
          </w:tcPr>
          <w:p w14:paraId="7AB19909" w14:textId="77777777" w:rsidR="002735C6" w:rsidRPr="004268BB" w:rsidRDefault="002735C6" w:rsidP="00DE6FE8">
            <w:pPr>
              <w:spacing w:after="0" w:line="240" w:lineRule="auto"/>
              <w:rPr>
                <w:rFonts w:ascii="Times New Roman" w:eastAsia="Times New Roman" w:hAnsi="Times New Roman" w:cs="Times New Roman"/>
                <w:color w:val="000000"/>
              </w:rPr>
            </w:pPr>
          </w:p>
        </w:tc>
      </w:tr>
    </w:tbl>
    <w:p w14:paraId="291FBEA8" w14:textId="1163578E" w:rsidR="002735C6" w:rsidRPr="004268BB" w:rsidRDefault="002735C6" w:rsidP="002735C6">
      <w:pPr>
        <w:spacing w:after="0" w:line="240" w:lineRule="auto"/>
        <w:ind w:right="90"/>
        <w:jc w:val="both"/>
        <w:rPr>
          <w:rFonts w:ascii="Times New Roman" w:hAnsi="Times New Roman" w:cs="Times New Roman"/>
        </w:rPr>
      </w:pPr>
      <w:r w:rsidRPr="004268BB">
        <w:rPr>
          <w:rFonts w:ascii="Times New Roman" w:hAnsi="Times New Roman" w:cs="Times New Roman"/>
        </w:rPr>
        <w:t xml:space="preserve">Panel A presents the mean proportion of </w:t>
      </w:r>
      <w:r>
        <w:rPr>
          <w:rFonts w:ascii="Times New Roman" w:hAnsi="Times New Roman" w:cs="Times New Roman"/>
        </w:rPr>
        <w:t>non-</w:t>
      </w:r>
      <w:r w:rsidRPr="004268BB">
        <w:rPr>
          <w:rFonts w:ascii="Times New Roman" w:hAnsi="Times New Roman" w:cs="Times New Roman"/>
        </w:rPr>
        <w:t xml:space="preserve">Big 4 auditors in the SPAC-IPO and non-SPAC-IPO samples and the difference in the mean numbers between the two groups. Panel B presents </w:t>
      </w:r>
      <w:r>
        <w:rPr>
          <w:rFonts w:ascii="Times New Roman" w:hAnsi="Times New Roman" w:cs="Times New Roman"/>
        </w:rPr>
        <w:t xml:space="preserve">the </w:t>
      </w:r>
      <w:r w:rsidRPr="004268BB">
        <w:rPr>
          <w:rFonts w:ascii="Times New Roman" w:hAnsi="Times New Roman" w:cs="Times New Roman"/>
        </w:rPr>
        <w:t>logistic regression</w:t>
      </w:r>
      <w:r>
        <w:rPr>
          <w:rFonts w:ascii="Times New Roman" w:hAnsi="Times New Roman" w:cs="Times New Roman"/>
        </w:rPr>
        <w:t xml:space="preserve"> results estimating </w:t>
      </w:r>
      <w:r w:rsidRPr="004268BB">
        <w:rPr>
          <w:rFonts w:ascii="Times New Roman" w:hAnsi="Times New Roman" w:cs="Times New Roman"/>
        </w:rPr>
        <w:t xml:space="preserve">of the </w:t>
      </w:r>
      <w:r>
        <w:rPr>
          <w:rFonts w:ascii="Times New Roman" w:hAnsi="Times New Roman" w:cs="Times New Roman"/>
        </w:rPr>
        <w:t>demand for non-</w:t>
      </w:r>
      <w:r w:rsidRPr="004268BB">
        <w:rPr>
          <w:rFonts w:ascii="Times New Roman" w:hAnsi="Times New Roman" w:cs="Times New Roman"/>
        </w:rPr>
        <w:t>Big 4 auditor</w:t>
      </w:r>
      <w:r>
        <w:rPr>
          <w:rFonts w:ascii="Times New Roman" w:hAnsi="Times New Roman" w:cs="Times New Roman"/>
        </w:rPr>
        <w:t>s</w:t>
      </w:r>
      <w:r w:rsidRPr="004268BB">
        <w:rPr>
          <w:rFonts w:ascii="Times New Roman" w:hAnsi="Times New Roman" w:cs="Times New Roman"/>
        </w:rPr>
        <w:t xml:space="preserve"> </w:t>
      </w:r>
      <w:r w:rsidR="00DE6FE8">
        <w:rPr>
          <w:rFonts w:ascii="Times New Roman" w:hAnsi="Times New Roman" w:cs="Times New Roman"/>
        </w:rPr>
        <w:t>(</w:t>
      </w:r>
      <w:r w:rsidR="00DE6FE8" w:rsidRPr="00DE6FE8">
        <w:rPr>
          <w:rFonts w:ascii="Times New Roman" w:hAnsi="Times New Roman" w:cs="Times New Roman"/>
          <w:i/>
        </w:rPr>
        <w:t>NONBIG4</w:t>
      </w:r>
      <w:r w:rsidR="00DE6FE8">
        <w:rPr>
          <w:rFonts w:ascii="Times New Roman" w:hAnsi="Times New Roman" w:cs="Times New Roman"/>
        </w:rPr>
        <w:t xml:space="preserve">) </w:t>
      </w:r>
      <w:r w:rsidRPr="004268BB">
        <w:rPr>
          <w:rFonts w:ascii="Times New Roman" w:hAnsi="Times New Roman" w:cs="Times New Roman"/>
        </w:rPr>
        <w:t>using a sample of SPAC- and non-SPAC-IPO firms</w:t>
      </w:r>
      <w:r>
        <w:rPr>
          <w:rFonts w:ascii="Times New Roman" w:hAnsi="Times New Roman" w:cs="Times New Roman"/>
        </w:rPr>
        <w:t>.</w:t>
      </w:r>
      <w:r w:rsidRPr="004268BB">
        <w:rPr>
          <w:rFonts w:ascii="Times New Roman" w:hAnsi="Times New Roman" w:cs="Times New Roman"/>
        </w:rPr>
        <w:t xml:space="preserve"> </w:t>
      </w:r>
      <w:r>
        <w:rPr>
          <w:rFonts w:ascii="Times New Roman" w:hAnsi="Times New Roman" w:cs="Times New Roman"/>
        </w:rPr>
        <w:t xml:space="preserve">The first (second) regression reports the results </w:t>
      </w:r>
      <w:r w:rsidRPr="008E7087">
        <w:rPr>
          <w:rFonts w:ascii="Times New Roman" w:hAnsi="Times New Roman" w:cs="Times New Roman"/>
        </w:rPr>
        <w:t xml:space="preserve">without (with) </w:t>
      </w:r>
      <w:r>
        <w:rPr>
          <w:rFonts w:ascii="Times New Roman" w:hAnsi="Times New Roman" w:cs="Times New Roman"/>
        </w:rPr>
        <w:t>entropy balancing on the first moment.</w:t>
      </w:r>
      <w:r w:rsidRPr="008C4A73">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 **, and *** represent statistical significance at the 10%, 5%, and 1% levels, respectively, for a two-tailed test.</w:t>
      </w:r>
    </w:p>
    <w:p w14:paraId="721DB934" w14:textId="77777777" w:rsidR="00D652C8" w:rsidRDefault="00D652C8" w:rsidP="00D652C8">
      <w:pPr>
        <w:rPr>
          <w:rFonts w:ascii="Times New Roman" w:eastAsia="Times New Roman" w:hAnsi="Times New Roman" w:cs="Times New Roman"/>
          <w:color w:val="000000"/>
          <w:szCs w:val="24"/>
        </w:rPr>
      </w:pPr>
      <w:r w:rsidRPr="004268BB">
        <w:rPr>
          <w:b/>
          <w:bCs/>
          <w:color w:val="000000"/>
          <w:szCs w:val="24"/>
        </w:rPr>
        <w:br w:type="page"/>
      </w:r>
    </w:p>
    <w:tbl>
      <w:tblPr>
        <w:tblW w:w="9422" w:type="dxa"/>
        <w:tblLayout w:type="fixed"/>
        <w:tblLook w:val="04A0" w:firstRow="1" w:lastRow="0" w:firstColumn="1" w:lastColumn="0" w:noHBand="0" w:noVBand="1"/>
      </w:tblPr>
      <w:tblGrid>
        <w:gridCol w:w="4410"/>
        <w:gridCol w:w="733"/>
        <w:gridCol w:w="887"/>
        <w:gridCol w:w="825"/>
        <w:gridCol w:w="1295"/>
        <w:gridCol w:w="13"/>
        <w:gridCol w:w="201"/>
        <w:gridCol w:w="279"/>
        <w:gridCol w:w="717"/>
        <w:gridCol w:w="62"/>
      </w:tblGrid>
      <w:tr w:rsidR="00D652C8" w:rsidRPr="004268BB" w14:paraId="487576BC" w14:textId="77777777" w:rsidTr="000669E5">
        <w:trPr>
          <w:trHeight w:val="259"/>
        </w:trPr>
        <w:tc>
          <w:tcPr>
            <w:tcW w:w="4410" w:type="dxa"/>
            <w:tcBorders>
              <w:top w:val="nil"/>
              <w:left w:val="nil"/>
              <w:bottom w:val="nil"/>
              <w:right w:val="nil"/>
            </w:tcBorders>
            <w:shd w:val="clear" w:color="auto" w:fill="auto"/>
            <w:noWrap/>
            <w:vAlign w:val="bottom"/>
            <w:hideMark/>
          </w:tcPr>
          <w:p w14:paraId="7956E291" w14:textId="77777777" w:rsidR="00D652C8" w:rsidRPr="004268BB" w:rsidRDefault="00D652C8" w:rsidP="000669E5">
            <w:pPr>
              <w:spacing w:after="0" w:line="240" w:lineRule="auto"/>
              <w:rPr>
                <w:rFonts w:ascii="Times New Roman" w:eastAsia="Times New Roman" w:hAnsi="Times New Roman" w:cs="Times New Roman"/>
                <w:b/>
                <w:bCs/>
                <w:color w:val="000000"/>
              </w:rPr>
            </w:pPr>
            <w:r w:rsidRPr="004268BB">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6</w:t>
            </w:r>
          </w:p>
        </w:tc>
        <w:tc>
          <w:tcPr>
            <w:tcW w:w="733" w:type="dxa"/>
            <w:tcBorders>
              <w:top w:val="nil"/>
              <w:left w:val="nil"/>
              <w:bottom w:val="nil"/>
              <w:right w:val="nil"/>
            </w:tcBorders>
            <w:shd w:val="clear" w:color="auto" w:fill="auto"/>
            <w:noWrap/>
            <w:vAlign w:val="bottom"/>
            <w:hideMark/>
          </w:tcPr>
          <w:p w14:paraId="153EDD6C" w14:textId="77777777" w:rsidR="00D652C8" w:rsidRPr="004268BB" w:rsidRDefault="00D652C8" w:rsidP="000669E5">
            <w:pPr>
              <w:spacing w:after="0" w:line="240" w:lineRule="auto"/>
              <w:rPr>
                <w:rFonts w:ascii="Times New Roman" w:eastAsia="Times New Roman" w:hAnsi="Times New Roman" w:cs="Times New Roman"/>
                <w:b/>
                <w:bCs/>
                <w:color w:val="000000"/>
              </w:rPr>
            </w:pPr>
          </w:p>
        </w:tc>
        <w:tc>
          <w:tcPr>
            <w:tcW w:w="887" w:type="dxa"/>
            <w:tcBorders>
              <w:top w:val="nil"/>
              <w:left w:val="nil"/>
              <w:bottom w:val="nil"/>
              <w:right w:val="nil"/>
            </w:tcBorders>
            <w:shd w:val="clear" w:color="auto" w:fill="auto"/>
            <w:noWrap/>
            <w:vAlign w:val="bottom"/>
            <w:hideMark/>
          </w:tcPr>
          <w:p w14:paraId="27C13EBE" w14:textId="77777777" w:rsidR="00D652C8" w:rsidRPr="004268BB" w:rsidRDefault="00D652C8" w:rsidP="000669E5">
            <w:pPr>
              <w:spacing w:after="0" w:line="240" w:lineRule="auto"/>
              <w:rPr>
                <w:rFonts w:ascii="Times New Roman" w:eastAsia="Times New Roman" w:hAnsi="Times New Roman" w:cs="Times New Roman"/>
              </w:rPr>
            </w:pPr>
          </w:p>
        </w:tc>
        <w:tc>
          <w:tcPr>
            <w:tcW w:w="825" w:type="dxa"/>
            <w:tcBorders>
              <w:top w:val="nil"/>
              <w:left w:val="nil"/>
              <w:bottom w:val="nil"/>
              <w:right w:val="nil"/>
            </w:tcBorders>
            <w:shd w:val="clear" w:color="auto" w:fill="auto"/>
            <w:noWrap/>
            <w:vAlign w:val="bottom"/>
            <w:hideMark/>
          </w:tcPr>
          <w:p w14:paraId="3B90D5F1" w14:textId="77777777" w:rsidR="00D652C8" w:rsidRPr="004268BB" w:rsidRDefault="00D652C8" w:rsidP="000669E5">
            <w:pPr>
              <w:spacing w:after="0" w:line="240" w:lineRule="auto"/>
              <w:rPr>
                <w:rFonts w:ascii="Times New Roman" w:eastAsia="Times New Roman" w:hAnsi="Times New Roman" w:cs="Times New Roman"/>
              </w:rPr>
            </w:pPr>
          </w:p>
        </w:tc>
        <w:tc>
          <w:tcPr>
            <w:tcW w:w="1509" w:type="dxa"/>
            <w:gridSpan w:val="3"/>
            <w:tcBorders>
              <w:top w:val="nil"/>
              <w:left w:val="nil"/>
              <w:bottom w:val="nil"/>
              <w:right w:val="nil"/>
            </w:tcBorders>
            <w:shd w:val="clear" w:color="auto" w:fill="auto"/>
            <w:noWrap/>
            <w:vAlign w:val="bottom"/>
            <w:hideMark/>
          </w:tcPr>
          <w:p w14:paraId="3E6C4D00" w14:textId="77777777" w:rsidR="00D652C8" w:rsidRPr="004268BB" w:rsidRDefault="00D652C8" w:rsidP="000669E5">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14:paraId="5BD2D9A8" w14:textId="77777777" w:rsidR="00D652C8" w:rsidRPr="004268BB" w:rsidRDefault="00D652C8" w:rsidP="000669E5">
            <w:pPr>
              <w:spacing w:after="0" w:line="240" w:lineRule="auto"/>
              <w:rPr>
                <w:rFonts w:ascii="Times New Roman" w:eastAsia="Times New Roman" w:hAnsi="Times New Roman" w:cs="Times New Roman"/>
              </w:rPr>
            </w:pPr>
          </w:p>
        </w:tc>
        <w:tc>
          <w:tcPr>
            <w:tcW w:w="779" w:type="dxa"/>
            <w:gridSpan w:val="2"/>
            <w:tcBorders>
              <w:top w:val="nil"/>
              <w:left w:val="nil"/>
              <w:bottom w:val="nil"/>
              <w:right w:val="nil"/>
            </w:tcBorders>
            <w:shd w:val="clear" w:color="auto" w:fill="auto"/>
            <w:noWrap/>
            <w:vAlign w:val="bottom"/>
            <w:hideMark/>
          </w:tcPr>
          <w:p w14:paraId="42F4E802" w14:textId="77777777" w:rsidR="00D652C8" w:rsidRPr="004268BB" w:rsidRDefault="00D652C8" w:rsidP="000669E5">
            <w:pPr>
              <w:spacing w:after="0" w:line="240" w:lineRule="auto"/>
              <w:rPr>
                <w:rFonts w:ascii="Times New Roman" w:eastAsia="Times New Roman" w:hAnsi="Times New Roman" w:cs="Times New Roman"/>
              </w:rPr>
            </w:pPr>
          </w:p>
        </w:tc>
      </w:tr>
      <w:tr w:rsidR="00D652C8" w:rsidRPr="004268BB" w14:paraId="53DAD288" w14:textId="77777777" w:rsidTr="000669E5">
        <w:trPr>
          <w:gridAfter w:val="1"/>
          <w:wAfter w:w="62" w:type="dxa"/>
          <w:trHeight w:val="259"/>
        </w:trPr>
        <w:tc>
          <w:tcPr>
            <w:tcW w:w="9360" w:type="dxa"/>
            <w:gridSpan w:val="9"/>
            <w:tcBorders>
              <w:top w:val="nil"/>
              <w:left w:val="nil"/>
              <w:bottom w:val="single" w:sz="12" w:space="0" w:color="auto"/>
              <w:right w:val="nil"/>
            </w:tcBorders>
            <w:shd w:val="clear" w:color="auto" w:fill="auto"/>
            <w:noWrap/>
            <w:vAlign w:val="bottom"/>
            <w:hideMark/>
          </w:tcPr>
          <w:p w14:paraId="5D58D440" w14:textId="7EC9DF24" w:rsidR="00D652C8" w:rsidRDefault="00D652C8" w:rsidP="000669E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Differences in Earnings, Cash Flows, and Accruals Persistence</w:t>
            </w:r>
            <w:r w:rsidR="008775BE">
              <w:rPr>
                <w:rFonts w:ascii="Times New Roman" w:eastAsia="Times New Roman" w:hAnsi="Times New Roman" w:cs="Times New Roman"/>
                <w:color w:val="000000"/>
              </w:rPr>
              <w:t xml:space="preserve"> </w:t>
            </w:r>
            <w:r w:rsidR="008775BE" w:rsidRPr="004268BB">
              <w:rPr>
                <w:rFonts w:ascii="Times New Roman" w:eastAsia="Times New Roman" w:hAnsi="Times New Roman" w:cs="Times New Roman"/>
                <w:color w:val="000000"/>
              </w:rPr>
              <w:t xml:space="preserve">Between SPAC- </w:t>
            </w:r>
            <w:r w:rsidR="00EF6D58">
              <w:rPr>
                <w:rFonts w:ascii="Times New Roman" w:eastAsia="Times New Roman" w:hAnsi="Times New Roman" w:cs="Times New Roman"/>
                <w:color w:val="000000"/>
              </w:rPr>
              <w:t xml:space="preserve">and </w:t>
            </w:r>
            <w:r w:rsidR="008775BE" w:rsidRPr="004268BB">
              <w:rPr>
                <w:rFonts w:ascii="Times New Roman" w:eastAsia="Times New Roman" w:hAnsi="Times New Roman" w:cs="Times New Roman"/>
                <w:color w:val="000000"/>
              </w:rPr>
              <w:t>non-SPAC-IPO</w:t>
            </w:r>
            <w:r w:rsidR="00EF6D58">
              <w:rPr>
                <w:rFonts w:ascii="Times New Roman" w:eastAsia="Times New Roman" w:hAnsi="Times New Roman" w:cs="Times New Roman"/>
                <w:color w:val="000000"/>
              </w:rPr>
              <w:t>s</w:t>
            </w:r>
            <w:r w:rsidR="008775BE" w:rsidRPr="004268BB">
              <w:rPr>
                <w:rFonts w:ascii="Times New Roman" w:eastAsia="Times New Roman" w:hAnsi="Times New Roman" w:cs="Times New Roman"/>
                <w:color w:val="000000"/>
              </w:rPr>
              <w:t>. </w:t>
            </w:r>
            <w:r w:rsidRPr="004268BB">
              <w:rPr>
                <w:rFonts w:ascii="Times New Roman" w:eastAsia="Times New Roman" w:hAnsi="Times New Roman" w:cs="Times New Roman"/>
                <w:color w:val="000000"/>
              </w:rPr>
              <w:t> </w:t>
            </w:r>
          </w:p>
          <w:p w14:paraId="33D37FCE" w14:textId="77777777" w:rsidR="00D652C8" w:rsidRPr="004268BB" w:rsidRDefault="00D652C8" w:rsidP="000669E5">
            <w:pPr>
              <w:spacing w:after="0" w:line="240" w:lineRule="auto"/>
              <w:rPr>
                <w:rFonts w:ascii="Times New Roman" w:eastAsia="Times New Roman" w:hAnsi="Times New Roman" w:cs="Times New Roman"/>
                <w:color w:val="000000"/>
              </w:rPr>
            </w:pPr>
          </w:p>
        </w:tc>
      </w:tr>
      <w:tr w:rsidR="00D652C8" w:rsidRPr="004268BB" w14:paraId="0E4B753F" w14:textId="77777777" w:rsidTr="000669E5">
        <w:trPr>
          <w:gridAfter w:val="1"/>
          <w:wAfter w:w="62" w:type="dxa"/>
          <w:trHeight w:val="259"/>
        </w:trPr>
        <w:tc>
          <w:tcPr>
            <w:tcW w:w="8163" w:type="dxa"/>
            <w:gridSpan w:val="6"/>
            <w:tcBorders>
              <w:top w:val="single" w:sz="8" w:space="0" w:color="auto"/>
              <w:left w:val="nil"/>
              <w:bottom w:val="single" w:sz="8" w:space="0" w:color="auto"/>
              <w:right w:val="nil"/>
            </w:tcBorders>
            <w:shd w:val="clear" w:color="auto" w:fill="auto"/>
            <w:noWrap/>
            <w:vAlign w:val="bottom"/>
            <w:hideMark/>
          </w:tcPr>
          <w:p w14:paraId="0CCB9D4D"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Panel </w:t>
            </w:r>
            <w:r>
              <w:rPr>
                <w:rFonts w:ascii="Times New Roman" w:eastAsia="Times New Roman" w:hAnsi="Times New Roman" w:cs="Times New Roman"/>
                <w:color w:val="000000"/>
              </w:rPr>
              <w:t>A</w:t>
            </w: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w:t>
            </w:r>
            <w:r w:rsidRPr="004268BB">
              <w:rPr>
                <w:rFonts w:ascii="Times New Roman" w:eastAsia="Times New Roman" w:hAnsi="Times New Roman" w:cs="Times New Roman"/>
                <w:color w:val="000000"/>
              </w:rPr>
              <w:t xml:space="preserve">egression </w:t>
            </w:r>
            <w:r>
              <w:rPr>
                <w:rFonts w:ascii="Times New Roman" w:eastAsia="Times New Roman" w:hAnsi="Times New Roman" w:cs="Times New Roman"/>
                <w:color w:val="000000"/>
              </w:rPr>
              <w:t xml:space="preserve">results </w:t>
            </w:r>
            <w:r w:rsidRPr="004268BB">
              <w:rPr>
                <w:rFonts w:ascii="Times New Roman" w:eastAsia="Times New Roman" w:hAnsi="Times New Roman" w:cs="Times New Roman"/>
                <w:color w:val="000000"/>
              </w:rPr>
              <w:t xml:space="preserve">estimating </w:t>
            </w:r>
            <w:r>
              <w:rPr>
                <w:rFonts w:ascii="Times New Roman" w:eastAsia="Times New Roman" w:hAnsi="Times New Roman" w:cs="Times New Roman"/>
                <w:color w:val="000000"/>
              </w:rPr>
              <w:t>earnings persistence</w:t>
            </w: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using decile rankings</w:t>
            </w:r>
            <w:r w:rsidRPr="004268BB">
              <w:rPr>
                <w:rFonts w:ascii="Times New Roman" w:eastAsia="Times New Roman" w:hAnsi="Times New Roman" w:cs="Times New Roman"/>
                <w:color w:val="000000"/>
              </w:rPr>
              <w:t> </w:t>
            </w:r>
          </w:p>
        </w:tc>
        <w:tc>
          <w:tcPr>
            <w:tcW w:w="1197" w:type="dxa"/>
            <w:gridSpan w:val="3"/>
            <w:tcBorders>
              <w:top w:val="single" w:sz="12" w:space="0" w:color="auto"/>
              <w:left w:val="nil"/>
              <w:bottom w:val="single" w:sz="12" w:space="0" w:color="auto"/>
              <w:right w:val="nil"/>
            </w:tcBorders>
            <w:shd w:val="clear" w:color="auto" w:fill="auto"/>
            <w:noWrap/>
            <w:vAlign w:val="bottom"/>
            <w:hideMark/>
          </w:tcPr>
          <w:p w14:paraId="7A5E4A0B"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D652C8" w:rsidRPr="004268BB" w14:paraId="60394D3A" w14:textId="77777777" w:rsidTr="000669E5">
        <w:trPr>
          <w:gridAfter w:val="1"/>
          <w:wAfter w:w="62" w:type="dxa"/>
          <w:trHeight w:val="259"/>
        </w:trPr>
        <w:tc>
          <w:tcPr>
            <w:tcW w:w="4410" w:type="dxa"/>
            <w:tcBorders>
              <w:top w:val="single" w:sz="12" w:space="0" w:color="auto"/>
              <w:left w:val="nil"/>
              <w:right w:val="nil"/>
            </w:tcBorders>
            <w:shd w:val="clear" w:color="auto" w:fill="auto"/>
            <w:noWrap/>
            <w:vAlign w:val="bottom"/>
          </w:tcPr>
          <w:p w14:paraId="7FDD9F11"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4950" w:type="dxa"/>
            <w:gridSpan w:val="8"/>
            <w:tcBorders>
              <w:top w:val="single" w:sz="12" w:space="0" w:color="auto"/>
              <w:left w:val="nil"/>
              <w:right w:val="nil"/>
            </w:tcBorders>
            <w:shd w:val="clear" w:color="auto" w:fill="auto"/>
            <w:noWrap/>
            <w:vAlign w:val="bottom"/>
          </w:tcPr>
          <w:p w14:paraId="742C3D51" w14:textId="77777777" w:rsidR="00D652C8" w:rsidRPr="004268BB"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Dependent Variable: </w:t>
            </w:r>
            <w:r w:rsidRPr="00242EFB">
              <w:rPr>
                <w:rFonts w:ascii="Times New Roman" w:eastAsia="Times New Roman" w:hAnsi="Times New Roman" w:cs="Times New Roman"/>
                <w:i/>
                <w:color w:val="000000"/>
              </w:rPr>
              <w:t>EARN</w:t>
            </w:r>
            <w:r w:rsidRPr="00242EFB">
              <w:rPr>
                <w:rFonts w:ascii="Times New Roman" w:eastAsia="Times New Roman" w:hAnsi="Times New Roman" w:cs="Times New Roman"/>
                <w:color w:val="000000"/>
                <w:vertAlign w:val="subscript"/>
              </w:rPr>
              <w:t>t</w:t>
            </w:r>
          </w:p>
        </w:tc>
      </w:tr>
      <w:tr w:rsidR="00D652C8" w:rsidRPr="004268BB" w14:paraId="71E3B05E" w14:textId="77777777" w:rsidTr="000669E5">
        <w:trPr>
          <w:gridAfter w:val="1"/>
          <w:wAfter w:w="62" w:type="dxa"/>
          <w:trHeight w:val="259"/>
        </w:trPr>
        <w:tc>
          <w:tcPr>
            <w:tcW w:w="4410" w:type="dxa"/>
            <w:tcBorders>
              <w:left w:val="nil"/>
              <w:bottom w:val="single" w:sz="12" w:space="0" w:color="auto"/>
              <w:right w:val="nil"/>
            </w:tcBorders>
            <w:shd w:val="clear" w:color="auto" w:fill="auto"/>
            <w:noWrap/>
            <w:vAlign w:val="bottom"/>
          </w:tcPr>
          <w:p w14:paraId="11548D34"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2445" w:type="dxa"/>
            <w:gridSpan w:val="3"/>
            <w:tcBorders>
              <w:top w:val="single" w:sz="4" w:space="0" w:color="auto"/>
              <w:left w:val="nil"/>
              <w:bottom w:val="single" w:sz="12" w:space="0" w:color="auto"/>
              <w:right w:val="nil"/>
            </w:tcBorders>
            <w:shd w:val="clear" w:color="auto" w:fill="auto"/>
            <w:noWrap/>
            <w:vAlign w:val="bottom"/>
          </w:tcPr>
          <w:p w14:paraId="73B9C347" w14:textId="77777777" w:rsidR="00D652C8"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Proceeds Match</w:t>
            </w:r>
          </w:p>
        </w:tc>
        <w:tc>
          <w:tcPr>
            <w:tcW w:w="2505" w:type="dxa"/>
            <w:gridSpan w:val="5"/>
            <w:tcBorders>
              <w:top w:val="single" w:sz="4" w:space="0" w:color="auto"/>
              <w:left w:val="nil"/>
              <w:bottom w:val="single" w:sz="12" w:space="0" w:color="auto"/>
              <w:right w:val="nil"/>
            </w:tcBorders>
            <w:shd w:val="clear" w:color="auto" w:fill="auto"/>
            <w:noWrap/>
            <w:vAlign w:val="bottom"/>
          </w:tcPr>
          <w:p w14:paraId="38856E42" w14:textId="77777777" w:rsidR="00D652C8" w:rsidRDefault="00D652C8" w:rsidP="000669E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Entropy Balanced</w:t>
            </w:r>
          </w:p>
        </w:tc>
      </w:tr>
      <w:tr w:rsidR="00D652C8" w:rsidRPr="004268BB" w14:paraId="2703E08E" w14:textId="77777777" w:rsidTr="000669E5">
        <w:trPr>
          <w:gridAfter w:val="1"/>
          <w:wAfter w:w="62" w:type="dxa"/>
          <w:trHeight w:val="259"/>
        </w:trPr>
        <w:tc>
          <w:tcPr>
            <w:tcW w:w="4410" w:type="dxa"/>
            <w:tcBorders>
              <w:left w:val="nil"/>
              <w:bottom w:val="single" w:sz="12" w:space="0" w:color="auto"/>
              <w:right w:val="nil"/>
            </w:tcBorders>
            <w:shd w:val="clear" w:color="auto" w:fill="auto"/>
            <w:noWrap/>
            <w:vAlign w:val="bottom"/>
            <w:hideMark/>
          </w:tcPr>
          <w:p w14:paraId="46F1F08C"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Variable</w:t>
            </w:r>
          </w:p>
        </w:tc>
        <w:tc>
          <w:tcPr>
            <w:tcW w:w="1620" w:type="dxa"/>
            <w:gridSpan w:val="2"/>
            <w:tcBorders>
              <w:top w:val="single" w:sz="4" w:space="0" w:color="auto"/>
              <w:left w:val="nil"/>
              <w:bottom w:val="single" w:sz="12" w:space="0" w:color="auto"/>
              <w:right w:val="nil"/>
            </w:tcBorders>
            <w:shd w:val="clear" w:color="auto" w:fill="auto"/>
            <w:noWrap/>
            <w:vAlign w:val="bottom"/>
            <w:hideMark/>
          </w:tcPr>
          <w:p w14:paraId="4AA60200"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Estimate</w:t>
            </w:r>
          </w:p>
        </w:tc>
        <w:tc>
          <w:tcPr>
            <w:tcW w:w="825" w:type="dxa"/>
            <w:tcBorders>
              <w:top w:val="single" w:sz="4" w:space="0" w:color="auto"/>
              <w:left w:val="nil"/>
              <w:bottom w:val="single" w:sz="12" w:space="0" w:color="auto"/>
              <w:right w:val="nil"/>
            </w:tcBorders>
            <w:shd w:val="clear" w:color="auto" w:fill="auto"/>
            <w:noWrap/>
            <w:vAlign w:val="bottom"/>
            <w:hideMark/>
          </w:tcPr>
          <w:p w14:paraId="5DA79D5A" w14:textId="77777777" w:rsidR="00D652C8" w:rsidRPr="004268BB"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4268BB">
              <w:rPr>
                <w:rFonts w:ascii="Times New Roman" w:eastAsia="Times New Roman" w:hAnsi="Times New Roman" w:cs="Times New Roman"/>
                <w:color w:val="000000"/>
              </w:rPr>
              <w:t>-stat</w:t>
            </w:r>
          </w:p>
        </w:tc>
        <w:tc>
          <w:tcPr>
            <w:tcW w:w="1295" w:type="dxa"/>
            <w:tcBorders>
              <w:top w:val="single" w:sz="4" w:space="0" w:color="auto"/>
              <w:left w:val="nil"/>
              <w:bottom w:val="single" w:sz="12" w:space="0" w:color="auto"/>
              <w:right w:val="nil"/>
            </w:tcBorders>
            <w:shd w:val="clear" w:color="auto" w:fill="auto"/>
            <w:noWrap/>
            <w:vAlign w:val="bottom"/>
            <w:hideMark/>
          </w:tcPr>
          <w:p w14:paraId="024C805B"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Estimate</w:t>
            </w:r>
          </w:p>
        </w:tc>
        <w:tc>
          <w:tcPr>
            <w:tcW w:w="1210" w:type="dxa"/>
            <w:gridSpan w:val="4"/>
            <w:tcBorders>
              <w:top w:val="single" w:sz="4" w:space="0" w:color="auto"/>
              <w:left w:val="nil"/>
              <w:bottom w:val="single" w:sz="12" w:space="0" w:color="auto"/>
              <w:right w:val="nil"/>
            </w:tcBorders>
            <w:shd w:val="clear" w:color="auto" w:fill="auto"/>
            <w:noWrap/>
            <w:vAlign w:val="bottom"/>
            <w:hideMark/>
          </w:tcPr>
          <w:p w14:paraId="4BE4E3CC" w14:textId="77777777" w:rsidR="00D652C8" w:rsidRPr="004268BB"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4268BB">
              <w:rPr>
                <w:rFonts w:ascii="Times New Roman" w:eastAsia="Times New Roman" w:hAnsi="Times New Roman" w:cs="Times New Roman"/>
                <w:color w:val="000000"/>
              </w:rPr>
              <w:t>-stat</w:t>
            </w:r>
          </w:p>
        </w:tc>
      </w:tr>
      <w:tr w:rsidR="00D652C8" w:rsidRPr="004268BB" w14:paraId="1FE2D950" w14:textId="77777777" w:rsidTr="000669E5">
        <w:trPr>
          <w:gridAfter w:val="1"/>
          <w:wAfter w:w="62" w:type="dxa"/>
          <w:trHeight w:val="288"/>
        </w:trPr>
        <w:tc>
          <w:tcPr>
            <w:tcW w:w="4410" w:type="dxa"/>
            <w:tcBorders>
              <w:top w:val="single" w:sz="12" w:space="0" w:color="auto"/>
              <w:left w:val="nil"/>
              <w:bottom w:val="nil"/>
              <w:right w:val="nil"/>
            </w:tcBorders>
            <w:shd w:val="clear" w:color="auto" w:fill="auto"/>
            <w:noWrap/>
            <w:vAlign w:val="bottom"/>
          </w:tcPr>
          <w:p w14:paraId="5ACA7117"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620" w:type="dxa"/>
            <w:gridSpan w:val="2"/>
            <w:tcBorders>
              <w:top w:val="single" w:sz="12" w:space="0" w:color="auto"/>
              <w:left w:val="nil"/>
              <w:bottom w:val="nil"/>
              <w:right w:val="nil"/>
            </w:tcBorders>
            <w:shd w:val="clear" w:color="auto" w:fill="auto"/>
            <w:noWrap/>
            <w:vAlign w:val="bottom"/>
          </w:tcPr>
          <w:p w14:paraId="23616077" w14:textId="77777777" w:rsidR="00D652C8" w:rsidRPr="004876A4" w:rsidRDefault="00D652C8" w:rsidP="000669E5">
            <w:pPr>
              <w:spacing w:after="0" w:line="240" w:lineRule="auto"/>
              <w:rPr>
                <w:rFonts w:ascii="Times New Roman" w:eastAsia="Times New Roman" w:hAnsi="Times New Roman" w:cs="Times New Roman"/>
                <w:color w:val="000000"/>
              </w:rPr>
            </w:pPr>
          </w:p>
        </w:tc>
        <w:tc>
          <w:tcPr>
            <w:tcW w:w="825" w:type="dxa"/>
            <w:tcBorders>
              <w:top w:val="single" w:sz="12" w:space="0" w:color="auto"/>
              <w:left w:val="nil"/>
              <w:bottom w:val="nil"/>
              <w:right w:val="nil"/>
            </w:tcBorders>
            <w:shd w:val="clear" w:color="auto" w:fill="auto"/>
            <w:noWrap/>
            <w:vAlign w:val="bottom"/>
          </w:tcPr>
          <w:p w14:paraId="69BE784A" w14:textId="77777777" w:rsidR="00D652C8" w:rsidRDefault="00D652C8" w:rsidP="000669E5">
            <w:pPr>
              <w:spacing w:after="0" w:line="240" w:lineRule="auto"/>
              <w:rPr>
                <w:rFonts w:ascii="Times New Roman" w:eastAsia="Times New Roman" w:hAnsi="Times New Roman" w:cs="Times New Roman"/>
                <w:color w:val="000000"/>
              </w:rPr>
            </w:pPr>
          </w:p>
        </w:tc>
        <w:tc>
          <w:tcPr>
            <w:tcW w:w="1295" w:type="dxa"/>
            <w:tcBorders>
              <w:top w:val="single" w:sz="12" w:space="0" w:color="auto"/>
              <w:left w:val="nil"/>
              <w:bottom w:val="nil"/>
              <w:right w:val="nil"/>
            </w:tcBorders>
            <w:shd w:val="clear" w:color="auto" w:fill="auto"/>
            <w:noWrap/>
            <w:vAlign w:val="bottom"/>
          </w:tcPr>
          <w:p w14:paraId="4B199E87" w14:textId="77777777" w:rsidR="00D652C8" w:rsidRPr="004876A4" w:rsidRDefault="00D652C8" w:rsidP="000669E5">
            <w:pPr>
              <w:spacing w:after="0" w:line="240" w:lineRule="auto"/>
              <w:rPr>
                <w:rFonts w:ascii="Times New Roman" w:eastAsia="Times New Roman" w:hAnsi="Times New Roman" w:cs="Times New Roman"/>
                <w:color w:val="000000"/>
              </w:rPr>
            </w:pPr>
          </w:p>
        </w:tc>
        <w:tc>
          <w:tcPr>
            <w:tcW w:w="1210" w:type="dxa"/>
            <w:gridSpan w:val="4"/>
            <w:tcBorders>
              <w:top w:val="single" w:sz="12" w:space="0" w:color="auto"/>
              <w:left w:val="nil"/>
              <w:bottom w:val="nil"/>
              <w:right w:val="nil"/>
            </w:tcBorders>
            <w:shd w:val="clear" w:color="auto" w:fill="auto"/>
            <w:noWrap/>
            <w:vAlign w:val="bottom"/>
          </w:tcPr>
          <w:p w14:paraId="30E36D3F" w14:textId="77777777" w:rsidR="00D652C8" w:rsidRDefault="00D652C8" w:rsidP="000669E5">
            <w:pPr>
              <w:spacing w:after="0" w:line="240" w:lineRule="auto"/>
              <w:rPr>
                <w:rFonts w:ascii="Times New Roman" w:eastAsia="Times New Roman" w:hAnsi="Times New Roman" w:cs="Times New Roman"/>
                <w:color w:val="000000"/>
              </w:rPr>
            </w:pPr>
          </w:p>
        </w:tc>
      </w:tr>
      <w:tr w:rsidR="00D652C8" w:rsidRPr="004268BB" w14:paraId="55600FF0" w14:textId="77777777" w:rsidTr="000669E5">
        <w:trPr>
          <w:gridAfter w:val="1"/>
          <w:wAfter w:w="62" w:type="dxa"/>
          <w:trHeight w:val="288"/>
        </w:trPr>
        <w:tc>
          <w:tcPr>
            <w:tcW w:w="4410" w:type="dxa"/>
            <w:tcBorders>
              <w:left w:val="nil"/>
              <w:bottom w:val="nil"/>
              <w:right w:val="nil"/>
            </w:tcBorders>
            <w:shd w:val="clear" w:color="auto" w:fill="auto"/>
            <w:noWrap/>
            <w:vAlign w:val="bottom"/>
            <w:hideMark/>
          </w:tcPr>
          <w:p w14:paraId="5CB79A3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Intercept</w:t>
            </w:r>
          </w:p>
        </w:tc>
        <w:tc>
          <w:tcPr>
            <w:tcW w:w="1620" w:type="dxa"/>
            <w:gridSpan w:val="2"/>
            <w:tcBorders>
              <w:left w:val="nil"/>
              <w:bottom w:val="nil"/>
              <w:right w:val="nil"/>
            </w:tcBorders>
            <w:shd w:val="clear" w:color="auto" w:fill="auto"/>
            <w:noWrap/>
            <w:vAlign w:val="bottom"/>
            <w:hideMark/>
          </w:tcPr>
          <w:p w14:paraId="0AA42D1D"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-0.825</w:t>
            </w:r>
            <w:r w:rsidRPr="004876A4">
              <w:rPr>
                <w:rFonts w:ascii="Times New Roman" w:eastAsia="Times New Roman" w:hAnsi="Times New Roman" w:cs="Times New Roman"/>
                <w:color w:val="000000"/>
              </w:rPr>
              <w:t xml:space="preserve">  </w:t>
            </w:r>
          </w:p>
        </w:tc>
        <w:tc>
          <w:tcPr>
            <w:tcW w:w="825" w:type="dxa"/>
            <w:tcBorders>
              <w:left w:val="nil"/>
              <w:bottom w:val="nil"/>
              <w:right w:val="nil"/>
            </w:tcBorders>
            <w:shd w:val="clear" w:color="auto" w:fill="auto"/>
            <w:noWrap/>
            <w:vAlign w:val="bottom"/>
            <w:hideMark/>
          </w:tcPr>
          <w:p w14:paraId="5763720C"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-1.10</w:t>
            </w:r>
            <w:r w:rsidRPr="004876A4">
              <w:rPr>
                <w:rFonts w:ascii="Times New Roman" w:eastAsia="Times New Roman" w:hAnsi="Times New Roman" w:cs="Times New Roman"/>
                <w:color w:val="000000"/>
              </w:rPr>
              <w:t xml:space="preserve">     </w:t>
            </w:r>
          </w:p>
        </w:tc>
        <w:tc>
          <w:tcPr>
            <w:tcW w:w="1295" w:type="dxa"/>
            <w:tcBorders>
              <w:left w:val="nil"/>
              <w:bottom w:val="nil"/>
              <w:right w:val="nil"/>
            </w:tcBorders>
            <w:shd w:val="clear" w:color="auto" w:fill="auto"/>
            <w:noWrap/>
            <w:vAlign w:val="bottom"/>
            <w:hideMark/>
          </w:tcPr>
          <w:p w14:paraId="1D1B1F43" w14:textId="77777777" w:rsidR="00D652C8" w:rsidRPr="004876A4" w:rsidRDefault="00D652C8" w:rsidP="000669E5">
            <w:pPr>
              <w:spacing w:after="0" w:line="240" w:lineRule="auto"/>
              <w:rPr>
                <w:rFonts w:ascii="Times New Roman" w:eastAsia="Times New Roman" w:hAnsi="Times New Roman" w:cs="Times New Roman"/>
                <w:color w:val="000000"/>
              </w:rPr>
            </w:pPr>
            <w:r w:rsidRPr="004876A4">
              <w:rPr>
                <w:rFonts w:ascii="Times New Roman" w:eastAsia="Times New Roman" w:hAnsi="Times New Roman" w:cs="Times New Roman"/>
                <w:color w:val="000000"/>
              </w:rPr>
              <w:t>-</w:t>
            </w:r>
            <w:r>
              <w:rPr>
                <w:rFonts w:ascii="Times New Roman" w:eastAsia="Times New Roman" w:hAnsi="Times New Roman" w:cs="Times New Roman"/>
                <w:color w:val="000000"/>
              </w:rPr>
              <w:t>2.274</w:t>
            </w:r>
          </w:p>
        </w:tc>
        <w:tc>
          <w:tcPr>
            <w:tcW w:w="1210" w:type="dxa"/>
            <w:gridSpan w:val="4"/>
            <w:tcBorders>
              <w:left w:val="nil"/>
              <w:bottom w:val="nil"/>
              <w:right w:val="nil"/>
            </w:tcBorders>
            <w:shd w:val="clear" w:color="auto" w:fill="auto"/>
            <w:noWrap/>
            <w:vAlign w:val="bottom"/>
            <w:hideMark/>
          </w:tcPr>
          <w:p w14:paraId="348B0C35"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-3.90</w:t>
            </w:r>
          </w:p>
        </w:tc>
      </w:tr>
      <w:tr w:rsidR="00D652C8" w:rsidRPr="004268BB" w14:paraId="016C299C" w14:textId="77777777" w:rsidTr="000669E5">
        <w:trPr>
          <w:gridAfter w:val="1"/>
          <w:wAfter w:w="62" w:type="dxa"/>
          <w:trHeight w:val="288"/>
        </w:trPr>
        <w:tc>
          <w:tcPr>
            <w:tcW w:w="4410" w:type="dxa"/>
            <w:tcBorders>
              <w:top w:val="nil"/>
              <w:left w:val="nil"/>
              <w:bottom w:val="nil"/>
              <w:right w:val="nil"/>
            </w:tcBorders>
            <w:shd w:val="clear" w:color="auto" w:fill="auto"/>
            <w:noWrap/>
            <w:vAlign w:val="bottom"/>
            <w:hideMark/>
          </w:tcPr>
          <w:p w14:paraId="61505D5A"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SPAC-IPO</w:t>
            </w:r>
          </w:p>
        </w:tc>
        <w:tc>
          <w:tcPr>
            <w:tcW w:w="1620" w:type="dxa"/>
            <w:gridSpan w:val="2"/>
            <w:tcBorders>
              <w:top w:val="nil"/>
              <w:left w:val="nil"/>
              <w:bottom w:val="nil"/>
              <w:right w:val="nil"/>
            </w:tcBorders>
            <w:shd w:val="clear" w:color="auto" w:fill="auto"/>
            <w:noWrap/>
            <w:vAlign w:val="bottom"/>
            <w:hideMark/>
          </w:tcPr>
          <w:p w14:paraId="631A2680"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1.894</w:t>
            </w:r>
            <w:r w:rsidRPr="004876A4">
              <w:rPr>
                <w:rFonts w:ascii="Times New Roman" w:eastAsia="Times New Roman" w:hAnsi="Times New Roman" w:cs="Times New Roman"/>
                <w:color w:val="000000"/>
              </w:rPr>
              <w:t>***</w:t>
            </w:r>
          </w:p>
        </w:tc>
        <w:tc>
          <w:tcPr>
            <w:tcW w:w="825" w:type="dxa"/>
            <w:tcBorders>
              <w:top w:val="nil"/>
              <w:left w:val="nil"/>
              <w:bottom w:val="nil"/>
              <w:right w:val="nil"/>
            </w:tcBorders>
            <w:shd w:val="clear" w:color="auto" w:fill="auto"/>
            <w:noWrap/>
            <w:vAlign w:val="bottom"/>
            <w:hideMark/>
          </w:tcPr>
          <w:p w14:paraId="7D43F069"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3.73</w:t>
            </w:r>
            <w:r w:rsidRPr="004876A4">
              <w:rPr>
                <w:rFonts w:ascii="Times New Roman" w:eastAsia="Times New Roman" w:hAnsi="Times New Roman" w:cs="Times New Roman"/>
                <w:color w:val="000000"/>
              </w:rPr>
              <w:t xml:space="preserve">     </w:t>
            </w:r>
          </w:p>
        </w:tc>
        <w:tc>
          <w:tcPr>
            <w:tcW w:w="1295" w:type="dxa"/>
            <w:tcBorders>
              <w:top w:val="nil"/>
              <w:left w:val="nil"/>
              <w:bottom w:val="nil"/>
              <w:right w:val="nil"/>
            </w:tcBorders>
            <w:shd w:val="clear" w:color="auto" w:fill="auto"/>
            <w:noWrap/>
            <w:vAlign w:val="bottom"/>
            <w:hideMark/>
          </w:tcPr>
          <w:p w14:paraId="326AEC46"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3.388</w:t>
            </w:r>
            <w:r w:rsidRPr="004876A4">
              <w:rPr>
                <w:rFonts w:ascii="Times New Roman" w:eastAsia="Times New Roman" w:hAnsi="Times New Roman" w:cs="Times New Roman"/>
                <w:color w:val="000000"/>
              </w:rPr>
              <w:t>***</w:t>
            </w:r>
          </w:p>
        </w:tc>
        <w:tc>
          <w:tcPr>
            <w:tcW w:w="1210" w:type="dxa"/>
            <w:gridSpan w:val="4"/>
            <w:tcBorders>
              <w:top w:val="nil"/>
              <w:left w:val="nil"/>
              <w:bottom w:val="nil"/>
              <w:right w:val="nil"/>
            </w:tcBorders>
            <w:shd w:val="clear" w:color="auto" w:fill="auto"/>
            <w:noWrap/>
            <w:vAlign w:val="bottom"/>
            <w:hideMark/>
          </w:tcPr>
          <w:p w14:paraId="4AF70448"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4.30</w:t>
            </w:r>
            <w:r w:rsidRPr="004876A4">
              <w:rPr>
                <w:rFonts w:ascii="Times New Roman" w:eastAsia="Times New Roman" w:hAnsi="Times New Roman" w:cs="Times New Roman"/>
                <w:color w:val="000000"/>
              </w:rPr>
              <w:t xml:space="preserve">     </w:t>
            </w:r>
          </w:p>
        </w:tc>
      </w:tr>
      <w:tr w:rsidR="00D652C8" w:rsidRPr="004268BB" w14:paraId="3BCD4084" w14:textId="77777777" w:rsidTr="000669E5">
        <w:trPr>
          <w:gridAfter w:val="1"/>
          <w:wAfter w:w="62" w:type="dxa"/>
          <w:trHeight w:val="288"/>
        </w:trPr>
        <w:tc>
          <w:tcPr>
            <w:tcW w:w="4410" w:type="dxa"/>
            <w:tcBorders>
              <w:top w:val="nil"/>
              <w:left w:val="nil"/>
              <w:bottom w:val="nil"/>
              <w:right w:val="nil"/>
            </w:tcBorders>
            <w:shd w:val="clear" w:color="auto" w:fill="auto"/>
            <w:noWrap/>
            <w:vAlign w:val="bottom"/>
            <w:hideMark/>
          </w:tcPr>
          <w:p w14:paraId="2D84E4EB"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EARN</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bottom w:val="nil"/>
              <w:right w:val="nil"/>
            </w:tcBorders>
            <w:shd w:val="clear" w:color="auto" w:fill="auto"/>
            <w:noWrap/>
            <w:vAlign w:val="bottom"/>
            <w:hideMark/>
          </w:tcPr>
          <w:p w14:paraId="5E4EDB65"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876A4">
              <w:rPr>
                <w:rFonts w:ascii="Times New Roman" w:eastAsia="Times New Roman" w:hAnsi="Times New Roman" w:cs="Times New Roman"/>
                <w:color w:val="000000"/>
              </w:rPr>
              <w:t>0.</w:t>
            </w:r>
            <w:r>
              <w:rPr>
                <w:rFonts w:ascii="Times New Roman" w:eastAsia="Times New Roman" w:hAnsi="Times New Roman" w:cs="Times New Roman"/>
                <w:color w:val="000000"/>
              </w:rPr>
              <w:t>738***</w:t>
            </w:r>
            <w:r w:rsidRPr="004876A4">
              <w:rPr>
                <w:rFonts w:ascii="Times New Roman" w:eastAsia="Times New Roman" w:hAnsi="Times New Roman" w:cs="Times New Roman"/>
                <w:color w:val="000000"/>
              </w:rPr>
              <w:t xml:space="preserve">      </w:t>
            </w:r>
          </w:p>
        </w:tc>
        <w:tc>
          <w:tcPr>
            <w:tcW w:w="825" w:type="dxa"/>
            <w:tcBorders>
              <w:top w:val="nil"/>
              <w:left w:val="nil"/>
              <w:bottom w:val="nil"/>
              <w:right w:val="nil"/>
            </w:tcBorders>
            <w:shd w:val="clear" w:color="auto" w:fill="auto"/>
            <w:noWrap/>
            <w:vAlign w:val="bottom"/>
            <w:hideMark/>
          </w:tcPr>
          <w:p w14:paraId="124396BC"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11.74</w:t>
            </w:r>
            <w:r w:rsidRPr="004876A4">
              <w:rPr>
                <w:rFonts w:ascii="Times New Roman" w:eastAsia="Times New Roman" w:hAnsi="Times New Roman" w:cs="Times New Roman"/>
                <w:color w:val="000000"/>
              </w:rPr>
              <w:t xml:space="preserve">     </w:t>
            </w:r>
          </w:p>
        </w:tc>
        <w:tc>
          <w:tcPr>
            <w:tcW w:w="1295" w:type="dxa"/>
            <w:tcBorders>
              <w:top w:val="nil"/>
              <w:left w:val="nil"/>
              <w:bottom w:val="nil"/>
              <w:right w:val="nil"/>
            </w:tcBorders>
            <w:shd w:val="clear" w:color="auto" w:fill="auto"/>
            <w:noWrap/>
            <w:vAlign w:val="bottom"/>
            <w:hideMark/>
          </w:tcPr>
          <w:p w14:paraId="45FA6EC8"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876A4">
              <w:rPr>
                <w:rFonts w:ascii="Times New Roman" w:eastAsia="Times New Roman" w:hAnsi="Times New Roman" w:cs="Times New Roman"/>
                <w:color w:val="000000"/>
              </w:rPr>
              <w:t>0.</w:t>
            </w:r>
            <w:r>
              <w:rPr>
                <w:rFonts w:ascii="Times New Roman" w:eastAsia="Times New Roman" w:hAnsi="Times New Roman" w:cs="Times New Roman"/>
                <w:color w:val="000000"/>
              </w:rPr>
              <w:t>982***</w:t>
            </w:r>
            <w:r w:rsidRPr="004876A4">
              <w:rPr>
                <w:rFonts w:ascii="Times New Roman" w:eastAsia="Times New Roman" w:hAnsi="Times New Roman" w:cs="Times New Roman"/>
                <w:color w:val="000000"/>
              </w:rPr>
              <w:t xml:space="preserve">      </w:t>
            </w:r>
          </w:p>
        </w:tc>
        <w:tc>
          <w:tcPr>
            <w:tcW w:w="1210" w:type="dxa"/>
            <w:gridSpan w:val="4"/>
            <w:tcBorders>
              <w:top w:val="nil"/>
              <w:left w:val="nil"/>
              <w:bottom w:val="nil"/>
              <w:right w:val="nil"/>
            </w:tcBorders>
            <w:shd w:val="clear" w:color="auto" w:fill="auto"/>
            <w:noWrap/>
            <w:vAlign w:val="bottom"/>
            <w:hideMark/>
          </w:tcPr>
          <w:p w14:paraId="3378C93F"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11.99</w:t>
            </w:r>
            <w:r w:rsidRPr="004876A4">
              <w:rPr>
                <w:rFonts w:ascii="Times New Roman" w:eastAsia="Times New Roman" w:hAnsi="Times New Roman" w:cs="Times New Roman"/>
                <w:color w:val="000000"/>
              </w:rPr>
              <w:t xml:space="preserve">     </w:t>
            </w:r>
          </w:p>
        </w:tc>
      </w:tr>
      <w:tr w:rsidR="00D652C8" w:rsidRPr="004268BB" w14:paraId="5DD4920E" w14:textId="77777777" w:rsidTr="000669E5">
        <w:trPr>
          <w:gridAfter w:val="1"/>
          <w:wAfter w:w="62" w:type="dxa"/>
          <w:trHeight w:val="288"/>
        </w:trPr>
        <w:tc>
          <w:tcPr>
            <w:tcW w:w="4410" w:type="dxa"/>
            <w:tcBorders>
              <w:top w:val="nil"/>
              <w:left w:val="nil"/>
              <w:bottom w:val="nil"/>
              <w:right w:val="nil"/>
            </w:tcBorders>
            <w:shd w:val="clear" w:color="auto" w:fill="auto"/>
            <w:noWrap/>
            <w:vAlign w:val="bottom"/>
            <w:hideMark/>
          </w:tcPr>
          <w:p w14:paraId="4C30DE7F"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SPAC-IPO*EARN</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bottom w:val="nil"/>
              <w:right w:val="nil"/>
            </w:tcBorders>
            <w:shd w:val="clear" w:color="auto" w:fill="auto"/>
            <w:noWrap/>
            <w:vAlign w:val="bottom"/>
            <w:hideMark/>
          </w:tcPr>
          <w:p w14:paraId="09D4801D"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876A4">
              <w:rPr>
                <w:rFonts w:ascii="Times New Roman" w:eastAsia="Times New Roman" w:hAnsi="Times New Roman" w:cs="Times New Roman"/>
                <w:color w:val="000000"/>
              </w:rPr>
              <w:t>0.</w:t>
            </w:r>
            <w:r>
              <w:rPr>
                <w:rFonts w:ascii="Times New Roman" w:eastAsia="Times New Roman" w:hAnsi="Times New Roman" w:cs="Times New Roman"/>
                <w:color w:val="000000"/>
              </w:rPr>
              <w:t>144*</w:t>
            </w:r>
            <w:r w:rsidRPr="004876A4">
              <w:rPr>
                <w:rFonts w:ascii="Times New Roman" w:eastAsia="Times New Roman" w:hAnsi="Times New Roman" w:cs="Times New Roman"/>
                <w:color w:val="000000"/>
              </w:rPr>
              <w:t xml:space="preserve">      </w:t>
            </w:r>
          </w:p>
        </w:tc>
        <w:tc>
          <w:tcPr>
            <w:tcW w:w="825" w:type="dxa"/>
            <w:tcBorders>
              <w:top w:val="nil"/>
              <w:left w:val="nil"/>
              <w:bottom w:val="nil"/>
              <w:right w:val="nil"/>
            </w:tcBorders>
            <w:shd w:val="clear" w:color="auto" w:fill="auto"/>
            <w:noWrap/>
            <w:vAlign w:val="bottom"/>
            <w:hideMark/>
          </w:tcPr>
          <w:p w14:paraId="38438112"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-1.76</w:t>
            </w:r>
            <w:r w:rsidRPr="004876A4">
              <w:rPr>
                <w:rFonts w:ascii="Times New Roman" w:eastAsia="Times New Roman" w:hAnsi="Times New Roman" w:cs="Times New Roman"/>
                <w:color w:val="000000"/>
              </w:rPr>
              <w:t xml:space="preserve">     </w:t>
            </w:r>
          </w:p>
        </w:tc>
        <w:tc>
          <w:tcPr>
            <w:tcW w:w="1295" w:type="dxa"/>
            <w:tcBorders>
              <w:top w:val="nil"/>
              <w:left w:val="nil"/>
              <w:bottom w:val="nil"/>
              <w:right w:val="nil"/>
            </w:tcBorders>
            <w:shd w:val="clear" w:color="auto" w:fill="auto"/>
            <w:noWrap/>
            <w:vAlign w:val="bottom"/>
            <w:hideMark/>
          </w:tcPr>
          <w:p w14:paraId="10BB73A5"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-0.404***</w:t>
            </w:r>
            <w:r w:rsidRPr="004876A4">
              <w:rPr>
                <w:rFonts w:ascii="Times New Roman" w:eastAsia="Times New Roman" w:hAnsi="Times New Roman" w:cs="Times New Roman"/>
                <w:color w:val="000000"/>
              </w:rPr>
              <w:t xml:space="preserve">      </w:t>
            </w:r>
          </w:p>
        </w:tc>
        <w:tc>
          <w:tcPr>
            <w:tcW w:w="1210" w:type="dxa"/>
            <w:gridSpan w:val="4"/>
            <w:tcBorders>
              <w:top w:val="nil"/>
              <w:left w:val="nil"/>
              <w:bottom w:val="nil"/>
              <w:right w:val="nil"/>
            </w:tcBorders>
            <w:shd w:val="clear" w:color="auto" w:fill="auto"/>
            <w:noWrap/>
            <w:vAlign w:val="bottom"/>
            <w:hideMark/>
          </w:tcPr>
          <w:p w14:paraId="02504E32"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-3.98</w:t>
            </w:r>
            <w:r w:rsidRPr="004876A4">
              <w:rPr>
                <w:rFonts w:ascii="Times New Roman" w:eastAsia="Times New Roman" w:hAnsi="Times New Roman" w:cs="Times New Roman"/>
                <w:color w:val="000000"/>
              </w:rPr>
              <w:t xml:space="preserve">    </w:t>
            </w:r>
          </w:p>
        </w:tc>
      </w:tr>
      <w:tr w:rsidR="00D652C8" w:rsidRPr="004268BB" w14:paraId="3AA67457" w14:textId="77777777" w:rsidTr="000669E5">
        <w:trPr>
          <w:trHeight w:hRule="exact" w:val="72"/>
        </w:trPr>
        <w:tc>
          <w:tcPr>
            <w:tcW w:w="4410" w:type="dxa"/>
            <w:tcBorders>
              <w:top w:val="nil"/>
              <w:left w:val="nil"/>
              <w:bottom w:val="nil"/>
              <w:right w:val="nil"/>
            </w:tcBorders>
            <w:shd w:val="clear" w:color="auto" w:fill="auto"/>
            <w:noWrap/>
            <w:vAlign w:val="bottom"/>
            <w:hideMark/>
          </w:tcPr>
          <w:p w14:paraId="3EF3FE47"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1620" w:type="dxa"/>
            <w:gridSpan w:val="2"/>
            <w:tcBorders>
              <w:top w:val="nil"/>
              <w:left w:val="nil"/>
              <w:bottom w:val="nil"/>
              <w:right w:val="nil"/>
            </w:tcBorders>
            <w:shd w:val="clear" w:color="auto" w:fill="auto"/>
            <w:noWrap/>
            <w:vAlign w:val="bottom"/>
            <w:hideMark/>
          </w:tcPr>
          <w:p w14:paraId="316EB672" w14:textId="77777777" w:rsidR="00D652C8" w:rsidRPr="004268BB" w:rsidRDefault="00D652C8" w:rsidP="000669E5">
            <w:pPr>
              <w:spacing w:after="0" w:line="240" w:lineRule="auto"/>
              <w:rPr>
                <w:rFonts w:ascii="Times New Roman" w:eastAsia="Times New Roman" w:hAnsi="Times New Roman" w:cs="Times New Roman"/>
              </w:rPr>
            </w:pPr>
          </w:p>
        </w:tc>
        <w:tc>
          <w:tcPr>
            <w:tcW w:w="825" w:type="dxa"/>
            <w:tcBorders>
              <w:top w:val="nil"/>
              <w:left w:val="nil"/>
              <w:bottom w:val="nil"/>
              <w:right w:val="nil"/>
            </w:tcBorders>
            <w:shd w:val="clear" w:color="auto" w:fill="auto"/>
            <w:noWrap/>
            <w:vAlign w:val="bottom"/>
            <w:hideMark/>
          </w:tcPr>
          <w:p w14:paraId="7F5A0648" w14:textId="77777777" w:rsidR="00D652C8" w:rsidRPr="004268BB" w:rsidRDefault="00D652C8" w:rsidP="000669E5">
            <w:pPr>
              <w:spacing w:after="0" w:line="240" w:lineRule="auto"/>
              <w:rPr>
                <w:rFonts w:ascii="Times New Roman" w:eastAsia="Times New Roman" w:hAnsi="Times New Roman" w:cs="Times New Roman"/>
              </w:rPr>
            </w:pPr>
          </w:p>
        </w:tc>
        <w:tc>
          <w:tcPr>
            <w:tcW w:w="1509" w:type="dxa"/>
            <w:gridSpan w:val="3"/>
            <w:tcBorders>
              <w:top w:val="nil"/>
              <w:left w:val="nil"/>
              <w:bottom w:val="nil"/>
              <w:right w:val="nil"/>
            </w:tcBorders>
            <w:shd w:val="clear" w:color="auto" w:fill="auto"/>
            <w:noWrap/>
            <w:vAlign w:val="bottom"/>
            <w:hideMark/>
          </w:tcPr>
          <w:p w14:paraId="3BAFF450" w14:textId="77777777" w:rsidR="00D652C8" w:rsidRPr="004268BB" w:rsidRDefault="00D652C8" w:rsidP="000669E5">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14:paraId="683C7A26" w14:textId="77777777" w:rsidR="00D652C8" w:rsidRPr="004268BB" w:rsidRDefault="00D652C8" w:rsidP="000669E5">
            <w:pPr>
              <w:spacing w:after="0" w:line="240" w:lineRule="auto"/>
              <w:jc w:val="center"/>
              <w:rPr>
                <w:rFonts w:ascii="Times New Roman" w:eastAsia="Times New Roman" w:hAnsi="Times New Roman" w:cs="Times New Roman"/>
              </w:rPr>
            </w:pPr>
          </w:p>
        </w:tc>
        <w:tc>
          <w:tcPr>
            <w:tcW w:w="779" w:type="dxa"/>
            <w:gridSpan w:val="2"/>
            <w:tcBorders>
              <w:top w:val="nil"/>
              <w:left w:val="nil"/>
              <w:bottom w:val="nil"/>
              <w:right w:val="nil"/>
            </w:tcBorders>
            <w:shd w:val="clear" w:color="auto" w:fill="auto"/>
            <w:noWrap/>
            <w:vAlign w:val="bottom"/>
            <w:hideMark/>
          </w:tcPr>
          <w:p w14:paraId="732702E1" w14:textId="77777777" w:rsidR="00D652C8" w:rsidRPr="004268BB" w:rsidRDefault="00D652C8" w:rsidP="000669E5">
            <w:pPr>
              <w:spacing w:after="0" w:line="240" w:lineRule="auto"/>
              <w:rPr>
                <w:rFonts w:ascii="Times New Roman" w:eastAsia="Times New Roman" w:hAnsi="Times New Roman" w:cs="Times New Roman"/>
              </w:rPr>
            </w:pPr>
          </w:p>
        </w:tc>
      </w:tr>
      <w:tr w:rsidR="00D652C8" w:rsidRPr="004268BB" w14:paraId="0BDB40A2" w14:textId="77777777" w:rsidTr="000669E5">
        <w:trPr>
          <w:gridAfter w:val="1"/>
          <w:wAfter w:w="62" w:type="dxa"/>
          <w:trHeight w:val="288"/>
        </w:trPr>
        <w:tc>
          <w:tcPr>
            <w:tcW w:w="4410" w:type="dxa"/>
            <w:tcBorders>
              <w:top w:val="nil"/>
              <w:left w:val="nil"/>
              <w:bottom w:val="nil"/>
              <w:right w:val="nil"/>
            </w:tcBorders>
            <w:shd w:val="clear" w:color="auto" w:fill="auto"/>
            <w:noWrap/>
            <w:vAlign w:val="bottom"/>
            <w:hideMark/>
          </w:tcPr>
          <w:p w14:paraId="1EC9F829"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Industry Fixed Effects</w:t>
            </w:r>
          </w:p>
        </w:tc>
        <w:tc>
          <w:tcPr>
            <w:tcW w:w="1620" w:type="dxa"/>
            <w:gridSpan w:val="2"/>
            <w:tcBorders>
              <w:top w:val="nil"/>
              <w:left w:val="nil"/>
              <w:bottom w:val="nil"/>
              <w:right w:val="nil"/>
            </w:tcBorders>
            <w:shd w:val="clear" w:color="auto" w:fill="auto"/>
            <w:noWrap/>
            <w:vAlign w:val="bottom"/>
            <w:hideMark/>
          </w:tcPr>
          <w:p w14:paraId="45420C7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Yes</w:t>
            </w:r>
            <w:r w:rsidRPr="004268BB">
              <w:rPr>
                <w:rFonts w:ascii="Times New Roman" w:eastAsia="Times New Roman" w:hAnsi="Times New Roman" w:cs="Times New Roman"/>
                <w:color w:val="000000"/>
              </w:rPr>
              <w:t xml:space="preserve">     </w:t>
            </w:r>
          </w:p>
        </w:tc>
        <w:tc>
          <w:tcPr>
            <w:tcW w:w="825" w:type="dxa"/>
            <w:tcBorders>
              <w:top w:val="nil"/>
              <w:left w:val="nil"/>
              <w:bottom w:val="nil"/>
              <w:right w:val="nil"/>
            </w:tcBorders>
            <w:shd w:val="clear" w:color="auto" w:fill="auto"/>
            <w:noWrap/>
            <w:vAlign w:val="bottom"/>
            <w:hideMark/>
          </w:tcPr>
          <w:p w14:paraId="11E52DB1"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hideMark/>
          </w:tcPr>
          <w:p w14:paraId="20168777"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 xml:space="preserve">Yes      </w:t>
            </w:r>
          </w:p>
        </w:tc>
        <w:tc>
          <w:tcPr>
            <w:tcW w:w="1210" w:type="dxa"/>
            <w:gridSpan w:val="4"/>
            <w:tcBorders>
              <w:top w:val="nil"/>
              <w:left w:val="nil"/>
              <w:bottom w:val="nil"/>
              <w:right w:val="nil"/>
            </w:tcBorders>
            <w:shd w:val="clear" w:color="auto" w:fill="auto"/>
            <w:noWrap/>
            <w:vAlign w:val="bottom"/>
            <w:hideMark/>
          </w:tcPr>
          <w:p w14:paraId="1B57A17F"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r>
      <w:tr w:rsidR="00D652C8" w:rsidRPr="004268BB" w14:paraId="6978701A" w14:textId="77777777" w:rsidTr="000669E5">
        <w:trPr>
          <w:gridAfter w:val="1"/>
          <w:wAfter w:w="62" w:type="dxa"/>
          <w:trHeight w:val="288"/>
        </w:trPr>
        <w:tc>
          <w:tcPr>
            <w:tcW w:w="4410" w:type="dxa"/>
            <w:tcBorders>
              <w:top w:val="nil"/>
              <w:left w:val="nil"/>
              <w:bottom w:val="nil"/>
              <w:right w:val="nil"/>
            </w:tcBorders>
            <w:shd w:val="clear" w:color="auto" w:fill="auto"/>
            <w:noWrap/>
            <w:vAlign w:val="bottom"/>
            <w:hideMark/>
          </w:tcPr>
          <w:p w14:paraId="754B42DE"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Observations</w:t>
            </w:r>
          </w:p>
        </w:tc>
        <w:tc>
          <w:tcPr>
            <w:tcW w:w="1620" w:type="dxa"/>
            <w:gridSpan w:val="2"/>
            <w:tcBorders>
              <w:top w:val="nil"/>
              <w:left w:val="nil"/>
              <w:bottom w:val="nil"/>
              <w:right w:val="nil"/>
            </w:tcBorders>
            <w:shd w:val="clear" w:color="auto" w:fill="auto"/>
            <w:noWrap/>
            <w:vAlign w:val="bottom"/>
            <w:hideMark/>
          </w:tcPr>
          <w:p w14:paraId="63512B71"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282</w:t>
            </w:r>
            <w:r w:rsidRPr="004268BB">
              <w:rPr>
                <w:rFonts w:ascii="Times New Roman" w:eastAsia="Times New Roman" w:hAnsi="Times New Roman" w:cs="Times New Roman"/>
                <w:color w:val="000000"/>
              </w:rPr>
              <w:t xml:space="preserve">     </w:t>
            </w:r>
          </w:p>
        </w:tc>
        <w:tc>
          <w:tcPr>
            <w:tcW w:w="825" w:type="dxa"/>
            <w:tcBorders>
              <w:top w:val="nil"/>
              <w:left w:val="nil"/>
              <w:bottom w:val="nil"/>
              <w:right w:val="nil"/>
            </w:tcBorders>
            <w:shd w:val="clear" w:color="auto" w:fill="auto"/>
            <w:noWrap/>
            <w:vAlign w:val="bottom"/>
            <w:hideMark/>
          </w:tcPr>
          <w:p w14:paraId="3BFC845D"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bottom"/>
            <w:hideMark/>
          </w:tcPr>
          <w:p w14:paraId="616EB65B"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282</w:t>
            </w:r>
            <w:r w:rsidRPr="004268BB">
              <w:rPr>
                <w:rFonts w:ascii="Times New Roman" w:eastAsia="Times New Roman" w:hAnsi="Times New Roman" w:cs="Times New Roman"/>
                <w:color w:val="000000"/>
              </w:rPr>
              <w:t xml:space="preserve">    </w:t>
            </w:r>
          </w:p>
        </w:tc>
        <w:tc>
          <w:tcPr>
            <w:tcW w:w="1210" w:type="dxa"/>
            <w:gridSpan w:val="4"/>
            <w:tcBorders>
              <w:top w:val="nil"/>
              <w:left w:val="nil"/>
              <w:bottom w:val="nil"/>
              <w:right w:val="nil"/>
            </w:tcBorders>
            <w:shd w:val="clear" w:color="auto" w:fill="auto"/>
            <w:noWrap/>
            <w:vAlign w:val="bottom"/>
            <w:hideMark/>
          </w:tcPr>
          <w:p w14:paraId="6F56A157"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r>
      <w:tr w:rsidR="00D652C8" w:rsidRPr="004268BB" w14:paraId="361BF3A9" w14:textId="77777777" w:rsidTr="000669E5">
        <w:trPr>
          <w:gridAfter w:val="1"/>
          <w:wAfter w:w="62" w:type="dxa"/>
          <w:trHeight w:val="288"/>
        </w:trPr>
        <w:tc>
          <w:tcPr>
            <w:tcW w:w="4410" w:type="dxa"/>
            <w:tcBorders>
              <w:top w:val="nil"/>
              <w:left w:val="nil"/>
              <w:right w:val="nil"/>
            </w:tcBorders>
            <w:shd w:val="clear" w:color="auto" w:fill="auto"/>
            <w:noWrap/>
            <w:vAlign w:val="bottom"/>
            <w:hideMark/>
          </w:tcPr>
          <w:p w14:paraId="4C718C0E" w14:textId="77777777" w:rsidR="00D652C8" w:rsidRPr="004268BB"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Adjusted</w:t>
            </w:r>
            <w:r w:rsidRPr="004268BB">
              <w:rPr>
                <w:rFonts w:ascii="Times New Roman" w:eastAsia="Times New Roman" w:hAnsi="Times New Roman" w:cs="Times New Roman"/>
                <w:color w:val="000000"/>
              </w:rPr>
              <w:t xml:space="preserve"> R</w:t>
            </w:r>
            <w:r w:rsidRPr="004268BB">
              <w:rPr>
                <w:rFonts w:ascii="Times New Roman" w:eastAsia="Times New Roman" w:hAnsi="Times New Roman" w:cs="Times New Roman"/>
                <w:color w:val="000000"/>
                <w:vertAlign w:val="superscript"/>
              </w:rPr>
              <w:t>2</w:t>
            </w:r>
          </w:p>
        </w:tc>
        <w:tc>
          <w:tcPr>
            <w:tcW w:w="1620" w:type="dxa"/>
            <w:gridSpan w:val="2"/>
            <w:tcBorders>
              <w:top w:val="nil"/>
              <w:left w:val="nil"/>
              <w:right w:val="nil"/>
            </w:tcBorders>
            <w:shd w:val="clear" w:color="auto" w:fill="auto"/>
            <w:noWrap/>
            <w:vAlign w:val="bottom"/>
            <w:hideMark/>
          </w:tcPr>
          <w:p w14:paraId="3B16E38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58</w:t>
            </w:r>
            <w:r w:rsidRPr="004268BB">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hideMark/>
          </w:tcPr>
          <w:p w14:paraId="7823A834"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1295" w:type="dxa"/>
            <w:tcBorders>
              <w:top w:val="nil"/>
              <w:left w:val="nil"/>
              <w:right w:val="nil"/>
            </w:tcBorders>
            <w:shd w:val="clear" w:color="auto" w:fill="auto"/>
            <w:noWrap/>
            <w:vAlign w:val="bottom"/>
            <w:hideMark/>
          </w:tcPr>
          <w:p w14:paraId="0AF8BDE4"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70</w:t>
            </w:r>
            <w:r w:rsidRPr="004268BB">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hideMark/>
          </w:tcPr>
          <w:p w14:paraId="039995FE"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D652C8" w:rsidRPr="004268BB" w14:paraId="2349BDBC" w14:textId="77777777" w:rsidTr="000669E5">
        <w:trPr>
          <w:gridAfter w:val="1"/>
          <w:wAfter w:w="62" w:type="dxa"/>
          <w:trHeight w:val="288"/>
        </w:trPr>
        <w:tc>
          <w:tcPr>
            <w:tcW w:w="4410" w:type="dxa"/>
            <w:tcBorders>
              <w:top w:val="nil"/>
              <w:left w:val="nil"/>
              <w:bottom w:val="single" w:sz="12" w:space="0" w:color="auto"/>
              <w:right w:val="nil"/>
            </w:tcBorders>
            <w:shd w:val="clear" w:color="auto" w:fill="auto"/>
            <w:noWrap/>
            <w:vAlign w:val="bottom"/>
          </w:tcPr>
          <w:p w14:paraId="695F71AF"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620" w:type="dxa"/>
            <w:gridSpan w:val="2"/>
            <w:tcBorders>
              <w:top w:val="nil"/>
              <w:left w:val="nil"/>
              <w:bottom w:val="single" w:sz="12" w:space="0" w:color="auto"/>
              <w:right w:val="nil"/>
            </w:tcBorders>
            <w:shd w:val="clear" w:color="auto" w:fill="auto"/>
            <w:noWrap/>
            <w:vAlign w:val="bottom"/>
          </w:tcPr>
          <w:p w14:paraId="0D9937DF"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825" w:type="dxa"/>
            <w:tcBorders>
              <w:top w:val="nil"/>
              <w:left w:val="nil"/>
              <w:bottom w:val="single" w:sz="12" w:space="0" w:color="auto"/>
              <w:right w:val="nil"/>
            </w:tcBorders>
            <w:shd w:val="clear" w:color="auto" w:fill="auto"/>
            <w:noWrap/>
            <w:vAlign w:val="bottom"/>
          </w:tcPr>
          <w:p w14:paraId="4A010BB3"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95" w:type="dxa"/>
            <w:tcBorders>
              <w:top w:val="nil"/>
              <w:left w:val="nil"/>
              <w:bottom w:val="single" w:sz="12" w:space="0" w:color="auto"/>
              <w:right w:val="nil"/>
            </w:tcBorders>
            <w:shd w:val="clear" w:color="auto" w:fill="auto"/>
            <w:noWrap/>
            <w:vAlign w:val="bottom"/>
          </w:tcPr>
          <w:p w14:paraId="252AB9E1"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10" w:type="dxa"/>
            <w:gridSpan w:val="4"/>
            <w:tcBorders>
              <w:top w:val="nil"/>
              <w:left w:val="nil"/>
              <w:bottom w:val="single" w:sz="12" w:space="0" w:color="auto"/>
              <w:right w:val="nil"/>
            </w:tcBorders>
            <w:shd w:val="clear" w:color="auto" w:fill="auto"/>
            <w:noWrap/>
            <w:vAlign w:val="bottom"/>
          </w:tcPr>
          <w:p w14:paraId="7329BD22" w14:textId="77777777" w:rsidR="00D652C8" w:rsidRPr="004268BB" w:rsidRDefault="00D652C8" w:rsidP="000669E5">
            <w:pPr>
              <w:spacing w:after="0" w:line="240" w:lineRule="auto"/>
              <w:rPr>
                <w:rFonts w:ascii="Times New Roman" w:eastAsia="Times New Roman" w:hAnsi="Times New Roman" w:cs="Times New Roman"/>
                <w:color w:val="000000"/>
              </w:rPr>
            </w:pPr>
          </w:p>
        </w:tc>
      </w:tr>
      <w:tr w:rsidR="00D652C8" w:rsidRPr="004268BB" w14:paraId="358E42F1" w14:textId="77777777" w:rsidTr="000669E5">
        <w:trPr>
          <w:gridAfter w:val="1"/>
          <w:wAfter w:w="62" w:type="dxa"/>
          <w:trHeight w:val="288"/>
        </w:trPr>
        <w:tc>
          <w:tcPr>
            <w:tcW w:w="9360" w:type="dxa"/>
            <w:gridSpan w:val="9"/>
            <w:tcBorders>
              <w:top w:val="nil"/>
              <w:left w:val="nil"/>
              <w:bottom w:val="single" w:sz="12" w:space="0" w:color="auto"/>
              <w:right w:val="nil"/>
            </w:tcBorders>
            <w:shd w:val="clear" w:color="auto" w:fill="auto"/>
            <w:noWrap/>
            <w:vAlign w:val="bottom"/>
          </w:tcPr>
          <w:p w14:paraId="5F009CDA" w14:textId="77777777" w:rsidR="00D652C8"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Panel </w:t>
            </w:r>
            <w:r>
              <w:rPr>
                <w:rFonts w:ascii="Times New Roman" w:eastAsia="Times New Roman" w:hAnsi="Times New Roman" w:cs="Times New Roman"/>
                <w:color w:val="000000"/>
              </w:rPr>
              <w:t>B</w:t>
            </w: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w:t>
            </w:r>
            <w:r w:rsidRPr="004268BB">
              <w:rPr>
                <w:rFonts w:ascii="Times New Roman" w:eastAsia="Times New Roman" w:hAnsi="Times New Roman" w:cs="Times New Roman"/>
                <w:color w:val="000000"/>
              </w:rPr>
              <w:t xml:space="preserve">egression </w:t>
            </w:r>
            <w:r>
              <w:rPr>
                <w:rFonts w:ascii="Times New Roman" w:eastAsia="Times New Roman" w:hAnsi="Times New Roman" w:cs="Times New Roman"/>
                <w:color w:val="000000"/>
              </w:rPr>
              <w:t xml:space="preserve">results </w:t>
            </w:r>
            <w:r w:rsidRPr="004268BB">
              <w:rPr>
                <w:rFonts w:ascii="Times New Roman" w:eastAsia="Times New Roman" w:hAnsi="Times New Roman" w:cs="Times New Roman"/>
                <w:color w:val="000000"/>
              </w:rPr>
              <w:t xml:space="preserve">estimating </w:t>
            </w:r>
            <w:r>
              <w:rPr>
                <w:rFonts w:ascii="Times New Roman" w:eastAsia="Times New Roman" w:hAnsi="Times New Roman" w:cs="Times New Roman"/>
                <w:color w:val="000000"/>
              </w:rPr>
              <w:t>cash flows and accruals persistence</w:t>
            </w: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using decile rankings</w:t>
            </w:r>
            <w:r w:rsidRPr="004268BB">
              <w:rPr>
                <w:rFonts w:ascii="Times New Roman" w:eastAsia="Times New Roman" w:hAnsi="Times New Roman" w:cs="Times New Roman"/>
                <w:color w:val="000000"/>
              </w:rPr>
              <w:t> </w:t>
            </w:r>
          </w:p>
        </w:tc>
      </w:tr>
      <w:tr w:rsidR="00D652C8" w:rsidRPr="004268BB" w14:paraId="7C998709" w14:textId="77777777" w:rsidTr="000669E5">
        <w:trPr>
          <w:gridAfter w:val="1"/>
          <w:wAfter w:w="62" w:type="dxa"/>
          <w:trHeight w:val="288"/>
        </w:trPr>
        <w:tc>
          <w:tcPr>
            <w:tcW w:w="4410" w:type="dxa"/>
            <w:tcBorders>
              <w:top w:val="single" w:sz="12" w:space="0" w:color="auto"/>
              <w:left w:val="nil"/>
              <w:right w:val="nil"/>
            </w:tcBorders>
            <w:shd w:val="clear" w:color="auto" w:fill="auto"/>
            <w:noWrap/>
            <w:vAlign w:val="bottom"/>
          </w:tcPr>
          <w:p w14:paraId="2DAAF909"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620" w:type="dxa"/>
            <w:gridSpan w:val="2"/>
            <w:tcBorders>
              <w:top w:val="single" w:sz="12" w:space="0" w:color="auto"/>
              <w:left w:val="nil"/>
              <w:right w:val="nil"/>
            </w:tcBorders>
            <w:shd w:val="clear" w:color="auto" w:fill="auto"/>
            <w:noWrap/>
            <w:vAlign w:val="bottom"/>
          </w:tcPr>
          <w:p w14:paraId="13208DD0" w14:textId="77777777" w:rsidR="00D652C8" w:rsidRPr="004876A4" w:rsidRDefault="00D652C8" w:rsidP="000669E5">
            <w:pPr>
              <w:spacing w:after="0" w:line="240" w:lineRule="auto"/>
              <w:rPr>
                <w:rFonts w:ascii="Times New Roman" w:eastAsia="Times New Roman" w:hAnsi="Times New Roman" w:cs="Times New Roman"/>
                <w:color w:val="000000"/>
              </w:rPr>
            </w:pPr>
          </w:p>
        </w:tc>
        <w:tc>
          <w:tcPr>
            <w:tcW w:w="825" w:type="dxa"/>
            <w:tcBorders>
              <w:top w:val="single" w:sz="12" w:space="0" w:color="auto"/>
              <w:left w:val="nil"/>
              <w:right w:val="nil"/>
            </w:tcBorders>
            <w:shd w:val="clear" w:color="auto" w:fill="auto"/>
            <w:noWrap/>
            <w:vAlign w:val="bottom"/>
          </w:tcPr>
          <w:p w14:paraId="62ED193C" w14:textId="77777777" w:rsidR="00D652C8" w:rsidRDefault="00D652C8" w:rsidP="000669E5">
            <w:pPr>
              <w:spacing w:after="0" w:line="240" w:lineRule="auto"/>
              <w:rPr>
                <w:rFonts w:ascii="Times New Roman" w:eastAsia="Times New Roman" w:hAnsi="Times New Roman" w:cs="Times New Roman"/>
                <w:color w:val="000000"/>
              </w:rPr>
            </w:pPr>
          </w:p>
        </w:tc>
        <w:tc>
          <w:tcPr>
            <w:tcW w:w="1295" w:type="dxa"/>
            <w:tcBorders>
              <w:top w:val="single" w:sz="12" w:space="0" w:color="auto"/>
              <w:left w:val="nil"/>
              <w:right w:val="nil"/>
            </w:tcBorders>
            <w:shd w:val="clear" w:color="auto" w:fill="auto"/>
            <w:noWrap/>
            <w:vAlign w:val="bottom"/>
          </w:tcPr>
          <w:p w14:paraId="3CEE073C" w14:textId="77777777" w:rsidR="00D652C8" w:rsidRPr="004876A4" w:rsidRDefault="00D652C8" w:rsidP="000669E5">
            <w:pPr>
              <w:spacing w:after="0" w:line="240" w:lineRule="auto"/>
              <w:rPr>
                <w:rFonts w:ascii="Times New Roman" w:eastAsia="Times New Roman" w:hAnsi="Times New Roman" w:cs="Times New Roman"/>
                <w:color w:val="000000"/>
              </w:rPr>
            </w:pPr>
          </w:p>
        </w:tc>
        <w:tc>
          <w:tcPr>
            <w:tcW w:w="1210" w:type="dxa"/>
            <w:gridSpan w:val="4"/>
            <w:tcBorders>
              <w:top w:val="single" w:sz="12" w:space="0" w:color="auto"/>
              <w:left w:val="nil"/>
              <w:right w:val="nil"/>
            </w:tcBorders>
            <w:shd w:val="clear" w:color="auto" w:fill="auto"/>
            <w:noWrap/>
            <w:vAlign w:val="bottom"/>
          </w:tcPr>
          <w:p w14:paraId="12986CFB" w14:textId="77777777" w:rsidR="00D652C8" w:rsidRDefault="00D652C8" w:rsidP="000669E5">
            <w:pPr>
              <w:spacing w:after="0" w:line="240" w:lineRule="auto"/>
              <w:rPr>
                <w:rFonts w:ascii="Times New Roman" w:eastAsia="Times New Roman" w:hAnsi="Times New Roman" w:cs="Times New Roman"/>
                <w:color w:val="000000"/>
              </w:rPr>
            </w:pPr>
          </w:p>
        </w:tc>
      </w:tr>
      <w:tr w:rsidR="00D652C8" w:rsidRPr="004268BB" w14:paraId="2D017451"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28DE6AC4"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Intercept</w:t>
            </w:r>
          </w:p>
        </w:tc>
        <w:tc>
          <w:tcPr>
            <w:tcW w:w="1620" w:type="dxa"/>
            <w:gridSpan w:val="2"/>
            <w:tcBorders>
              <w:top w:val="nil"/>
              <w:left w:val="nil"/>
              <w:right w:val="nil"/>
            </w:tcBorders>
            <w:shd w:val="clear" w:color="auto" w:fill="auto"/>
            <w:noWrap/>
            <w:vAlign w:val="bottom"/>
          </w:tcPr>
          <w:p w14:paraId="77B2BCD6" w14:textId="77777777" w:rsidR="00D652C8" w:rsidRPr="004876A4" w:rsidRDefault="00D652C8" w:rsidP="000669E5">
            <w:pPr>
              <w:spacing w:after="0" w:line="240" w:lineRule="auto"/>
              <w:rPr>
                <w:rFonts w:ascii="Times New Roman" w:eastAsia="Times New Roman" w:hAnsi="Times New Roman" w:cs="Times New Roman"/>
                <w:color w:val="000000"/>
              </w:rPr>
            </w:pPr>
            <w:r w:rsidRPr="004876A4">
              <w:rPr>
                <w:rFonts w:ascii="Times New Roman" w:eastAsia="Times New Roman" w:hAnsi="Times New Roman" w:cs="Times New Roman"/>
                <w:color w:val="000000"/>
              </w:rPr>
              <w:t>-</w:t>
            </w:r>
            <w:r>
              <w:rPr>
                <w:rFonts w:ascii="Times New Roman" w:eastAsia="Times New Roman" w:hAnsi="Times New Roman" w:cs="Times New Roman"/>
                <w:color w:val="000000"/>
              </w:rPr>
              <w:t>2.530*</w:t>
            </w:r>
            <w:r w:rsidRPr="004876A4">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1F036391"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-2.93</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600F7509" w14:textId="77777777" w:rsidR="00D652C8" w:rsidRPr="004876A4" w:rsidRDefault="00D652C8" w:rsidP="000669E5">
            <w:pPr>
              <w:spacing w:after="0" w:line="240" w:lineRule="auto"/>
              <w:rPr>
                <w:rFonts w:ascii="Times New Roman" w:eastAsia="Times New Roman" w:hAnsi="Times New Roman" w:cs="Times New Roman"/>
                <w:color w:val="000000"/>
              </w:rPr>
            </w:pPr>
            <w:r w:rsidRPr="004876A4">
              <w:rPr>
                <w:rFonts w:ascii="Times New Roman" w:eastAsia="Times New Roman" w:hAnsi="Times New Roman" w:cs="Times New Roman"/>
                <w:color w:val="000000"/>
              </w:rPr>
              <w:t>-</w:t>
            </w:r>
            <w:r>
              <w:rPr>
                <w:rFonts w:ascii="Times New Roman" w:eastAsia="Times New Roman" w:hAnsi="Times New Roman" w:cs="Times New Roman"/>
                <w:color w:val="000000"/>
              </w:rPr>
              <w:t>2.227**</w:t>
            </w:r>
          </w:p>
        </w:tc>
        <w:tc>
          <w:tcPr>
            <w:tcW w:w="1210" w:type="dxa"/>
            <w:gridSpan w:val="4"/>
            <w:tcBorders>
              <w:top w:val="nil"/>
              <w:left w:val="nil"/>
              <w:right w:val="nil"/>
            </w:tcBorders>
            <w:shd w:val="clear" w:color="auto" w:fill="auto"/>
            <w:noWrap/>
            <w:vAlign w:val="bottom"/>
          </w:tcPr>
          <w:p w14:paraId="4C09BF6C"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-2.26</w:t>
            </w:r>
            <w:r w:rsidRPr="004876A4">
              <w:rPr>
                <w:rFonts w:ascii="Times New Roman" w:eastAsia="Times New Roman" w:hAnsi="Times New Roman" w:cs="Times New Roman"/>
                <w:color w:val="000000"/>
              </w:rPr>
              <w:t xml:space="preserve">     </w:t>
            </w:r>
          </w:p>
        </w:tc>
      </w:tr>
      <w:tr w:rsidR="00D652C8" w:rsidRPr="004268BB" w14:paraId="658F9717"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2BD8185A"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sidRPr="004268BB">
              <w:rPr>
                <w:rFonts w:ascii="Times New Roman" w:eastAsia="Times New Roman" w:hAnsi="Times New Roman" w:cs="Times New Roman"/>
                <w:i/>
                <w:iCs/>
                <w:color w:val="000000"/>
              </w:rPr>
              <w:t>SPAC-IPO</w:t>
            </w:r>
          </w:p>
        </w:tc>
        <w:tc>
          <w:tcPr>
            <w:tcW w:w="1620" w:type="dxa"/>
            <w:gridSpan w:val="2"/>
            <w:tcBorders>
              <w:top w:val="nil"/>
              <w:left w:val="nil"/>
              <w:right w:val="nil"/>
            </w:tcBorders>
            <w:shd w:val="clear" w:color="auto" w:fill="auto"/>
            <w:noWrap/>
            <w:vAlign w:val="bottom"/>
          </w:tcPr>
          <w:p w14:paraId="1C2AEEC4"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2.713</w:t>
            </w:r>
            <w:r w:rsidRPr="004876A4">
              <w:rPr>
                <w:rFonts w:ascii="Times New Roman" w:eastAsia="Times New Roman" w:hAnsi="Times New Roman" w:cs="Times New Roman"/>
                <w:color w:val="000000"/>
              </w:rPr>
              <w:t>***</w:t>
            </w:r>
          </w:p>
        </w:tc>
        <w:tc>
          <w:tcPr>
            <w:tcW w:w="825" w:type="dxa"/>
            <w:tcBorders>
              <w:top w:val="nil"/>
              <w:left w:val="nil"/>
              <w:right w:val="nil"/>
            </w:tcBorders>
            <w:shd w:val="clear" w:color="auto" w:fill="auto"/>
            <w:noWrap/>
            <w:vAlign w:val="bottom"/>
          </w:tcPr>
          <w:p w14:paraId="3616A647"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3.53</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1DF5B9CD"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2.160**</w:t>
            </w:r>
          </w:p>
        </w:tc>
        <w:tc>
          <w:tcPr>
            <w:tcW w:w="1210" w:type="dxa"/>
            <w:gridSpan w:val="4"/>
            <w:tcBorders>
              <w:top w:val="nil"/>
              <w:left w:val="nil"/>
              <w:right w:val="nil"/>
            </w:tcBorders>
            <w:shd w:val="clear" w:color="auto" w:fill="auto"/>
            <w:noWrap/>
            <w:vAlign w:val="bottom"/>
          </w:tcPr>
          <w:p w14:paraId="76E5B64D"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2.01</w:t>
            </w:r>
            <w:r w:rsidRPr="004876A4">
              <w:rPr>
                <w:rFonts w:ascii="Times New Roman" w:eastAsia="Times New Roman" w:hAnsi="Times New Roman" w:cs="Times New Roman"/>
                <w:color w:val="000000"/>
              </w:rPr>
              <w:t xml:space="preserve">     </w:t>
            </w:r>
          </w:p>
        </w:tc>
      </w:tr>
      <w:tr w:rsidR="00D652C8" w:rsidRPr="004268BB" w14:paraId="34CB2455"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50A43594"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CFO</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right w:val="nil"/>
            </w:tcBorders>
            <w:shd w:val="clear" w:color="auto" w:fill="auto"/>
            <w:noWrap/>
            <w:vAlign w:val="bottom"/>
          </w:tcPr>
          <w:p w14:paraId="46A86201"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0.678***</w:t>
            </w:r>
            <w:r w:rsidRPr="004876A4">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44C4A824"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10.03</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47733682"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0.685***</w:t>
            </w:r>
            <w:r w:rsidRPr="004876A4">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tcPr>
          <w:p w14:paraId="29FEF35E"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8.61</w:t>
            </w:r>
            <w:r w:rsidRPr="004876A4">
              <w:rPr>
                <w:rFonts w:ascii="Times New Roman" w:eastAsia="Times New Roman" w:hAnsi="Times New Roman" w:cs="Times New Roman"/>
                <w:color w:val="000000"/>
              </w:rPr>
              <w:t xml:space="preserve">     </w:t>
            </w:r>
          </w:p>
        </w:tc>
      </w:tr>
      <w:tr w:rsidR="00D652C8" w:rsidRPr="004268BB" w14:paraId="669B107E"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703D99C8"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SPAC-IPO*CFO</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right w:val="nil"/>
            </w:tcBorders>
            <w:shd w:val="clear" w:color="auto" w:fill="auto"/>
            <w:noWrap/>
            <w:vAlign w:val="bottom"/>
          </w:tcPr>
          <w:p w14:paraId="064183BF"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-0.083</w:t>
            </w:r>
            <w:r w:rsidRPr="004876A4">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1A67F40E"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-0.96</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210A835F"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-0.076</w:t>
            </w:r>
            <w:r w:rsidRPr="004876A4">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tcPr>
          <w:p w14:paraId="2B5E9586"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-0.71</w:t>
            </w:r>
            <w:r w:rsidRPr="004876A4">
              <w:rPr>
                <w:rFonts w:ascii="Times New Roman" w:eastAsia="Times New Roman" w:hAnsi="Times New Roman" w:cs="Times New Roman"/>
                <w:color w:val="000000"/>
              </w:rPr>
              <w:t xml:space="preserve">     </w:t>
            </w:r>
          </w:p>
        </w:tc>
      </w:tr>
      <w:tr w:rsidR="00D652C8" w:rsidRPr="004268BB" w14:paraId="79BA5E3D"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65D4914E"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ACC</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right w:val="nil"/>
            </w:tcBorders>
            <w:shd w:val="clear" w:color="auto" w:fill="auto"/>
            <w:noWrap/>
            <w:vAlign w:val="bottom"/>
          </w:tcPr>
          <w:p w14:paraId="26D74DE1"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0.371***</w:t>
            </w:r>
            <w:r w:rsidRPr="004876A4">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2CD383D6"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6.16</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49756D14"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876A4">
              <w:rPr>
                <w:rFonts w:ascii="Times New Roman" w:eastAsia="Times New Roman" w:hAnsi="Times New Roman" w:cs="Times New Roman"/>
                <w:color w:val="000000"/>
              </w:rPr>
              <w:t>0.</w:t>
            </w:r>
            <w:r>
              <w:rPr>
                <w:rFonts w:ascii="Times New Roman" w:eastAsia="Times New Roman" w:hAnsi="Times New Roman" w:cs="Times New Roman"/>
                <w:color w:val="000000"/>
              </w:rPr>
              <w:t>349***</w:t>
            </w:r>
            <w:r w:rsidRPr="004876A4">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tcPr>
          <w:p w14:paraId="38E664EB"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5.04</w:t>
            </w:r>
            <w:r w:rsidRPr="004876A4">
              <w:rPr>
                <w:rFonts w:ascii="Times New Roman" w:eastAsia="Times New Roman" w:hAnsi="Times New Roman" w:cs="Times New Roman"/>
                <w:color w:val="000000"/>
              </w:rPr>
              <w:t xml:space="preserve">     </w:t>
            </w:r>
          </w:p>
        </w:tc>
      </w:tr>
      <w:tr w:rsidR="00D652C8" w:rsidRPr="004268BB" w14:paraId="71B423B9"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7DBE4650" w14:textId="77777777" w:rsidR="00D652C8" w:rsidRPr="004268BB" w:rsidRDefault="00D652C8" w:rsidP="000669E5">
            <w:pPr>
              <w:spacing w:after="0" w:line="240" w:lineRule="auto"/>
              <w:ind w:firstLineChars="100" w:firstLine="220"/>
              <w:rPr>
                <w:rFonts w:ascii="Times New Roman" w:eastAsia="Times New Roman" w:hAnsi="Times New Roman" w:cs="Times New Roman"/>
                <w:i/>
                <w:iCs/>
                <w:color w:val="000000"/>
              </w:rPr>
            </w:pPr>
            <w:r>
              <w:rPr>
                <w:rFonts w:ascii="Times New Roman" w:eastAsia="Times New Roman" w:hAnsi="Times New Roman" w:cs="Times New Roman"/>
                <w:i/>
                <w:iCs/>
                <w:color w:val="000000"/>
              </w:rPr>
              <w:t>SPAC-IPO*ACC</w:t>
            </w:r>
            <w:r w:rsidRPr="00BE71CA">
              <w:rPr>
                <w:rFonts w:ascii="Times New Roman" w:eastAsia="Times New Roman" w:hAnsi="Times New Roman" w:cs="Times New Roman"/>
                <w:i/>
                <w:iCs/>
                <w:color w:val="000000"/>
                <w:vertAlign w:val="subscript"/>
              </w:rPr>
              <w:t>t-1</w:t>
            </w:r>
          </w:p>
        </w:tc>
        <w:tc>
          <w:tcPr>
            <w:tcW w:w="1620" w:type="dxa"/>
            <w:gridSpan w:val="2"/>
            <w:tcBorders>
              <w:top w:val="nil"/>
              <w:left w:val="nil"/>
              <w:right w:val="nil"/>
            </w:tcBorders>
            <w:shd w:val="clear" w:color="auto" w:fill="auto"/>
            <w:noWrap/>
            <w:vAlign w:val="bottom"/>
          </w:tcPr>
          <w:p w14:paraId="079C6A85"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-0.200**</w:t>
            </w:r>
            <w:r w:rsidRPr="004876A4">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16AF22BF"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-2.42</w:t>
            </w:r>
            <w:r w:rsidRPr="004876A4">
              <w:rPr>
                <w:rFonts w:ascii="Times New Roman" w:eastAsia="Times New Roman" w:hAnsi="Times New Roman" w:cs="Times New Roman"/>
                <w:color w:val="000000"/>
              </w:rPr>
              <w:t xml:space="preserve">     </w:t>
            </w:r>
          </w:p>
        </w:tc>
        <w:tc>
          <w:tcPr>
            <w:tcW w:w="1295" w:type="dxa"/>
            <w:tcBorders>
              <w:top w:val="nil"/>
              <w:left w:val="nil"/>
              <w:right w:val="nil"/>
            </w:tcBorders>
            <w:shd w:val="clear" w:color="auto" w:fill="auto"/>
            <w:noWrap/>
            <w:vAlign w:val="bottom"/>
          </w:tcPr>
          <w:p w14:paraId="57D4B63A"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-0.176*</w:t>
            </w:r>
            <w:r w:rsidRPr="004876A4">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tcPr>
          <w:p w14:paraId="165FBBCB" w14:textId="77777777" w:rsidR="00D652C8" w:rsidRPr="004876A4"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-1.79</w:t>
            </w:r>
            <w:r w:rsidRPr="004876A4">
              <w:rPr>
                <w:rFonts w:ascii="Times New Roman" w:eastAsia="Times New Roman" w:hAnsi="Times New Roman" w:cs="Times New Roman"/>
                <w:color w:val="000000"/>
              </w:rPr>
              <w:t xml:space="preserve">     </w:t>
            </w:r>
          </w:p>
        </w:tc>
      </w:tr>
      <w:tr w:rsidR="00D652C8" w:rsidRPr="004268BB" w14:paraId="6477FFA8" w14:textId="77777777" w:rsidTr="000669E5">
        <w:trPr>
          <w:gridAfter w:val="1"/>
          <w:wAfter w:w="62" w:type="dxa"/>
          <w:trHeight w:hRule="exact" w:val="72"/>
        </w:trPr>
        <w:tc>
          <w:tcPr>
            <w:tcW w:w="4410" w:type="dxa"/>
            <w:tcBorders>
              <w:top w:val="nil"/>
              <w:left w:val="nil"/>
              <w:right w:val="nil"/>
            </w:tcBorders>
            <w:shd w:val="clear" w:color="auto" w:fill="auto"/>
            <w:noWrap/>
            <w:vAlign w:val="bottom"/>
          </w:tcPr>
          <w:p w14:paraId="26CB6D44" w14:textId="77777777" w:rsidR="00D652C8" w:rsidRPr="004268BB" w:rsidRDefault="00D652C8" w:rsidP="000669E5">
            <w:pPr>
              <w:spacing w:after="0" w:line="240" w:lineRule="auto"/>
              <w:jc w:val="right"/>
              <w:rPr>
                <w:rFonts w:ascii="Times New Roman" w:eastAsia="Times New Roman" w:hAnsi="Times New Roman" w:cs="Times New Roman"/>
                <w:color w:val="000000"/>
              </w:rPr>
            </w:pPr>
          </w:p>
        </w:tc>
        <w:tc>
          <w:tcPr>
            <w:tcW w:w="1620" w:type="dxa"/>
            <w:gridSpan w:val="2"/>
            <w:tcBorders>
              <w:top w:val="nil"/>
              <w:left w:val="nil"/>
              <w:right w:val="nil"/>
            </w:tcBorders>
            <w:shd w:val="clear" w:color="auto" w:fill="auto"/>
            <w:noWrap/>
            <w:vAlign w:val="bottom"/>
          </w:tcPr>
          <w:p w14:paraId="652B8352" w14:textId="77777777" w:rsidR="00D652C8" w:rsidRPr="004268BB" w:rsidRDefault="00D652C8" w:rsidP="000669E5">
            <w:pPr>
              <w:spacing w:after="0" w:line="240" w:lineRule="auto"/>
              <w:rPr>
                <w:rFonts w:ascii="Times New Roman" w:eastAsia="Times New Roman" w:hAnsi="Times New Roman" w:cs="Times New Roman"/>
              </w:rPr>
            </w:pPr>
          </w:p>
        </w:tc>
        <w:tc>
          <w:tcPr>
            <w:tcW w:w="825" w:type="dxa"/>
            <w:tcBorders>
              <w:top w:val="nil"/>
              <w:left w:val="nil"/>
              <w:right w:val="nil"/>
            </w:tcBorders>
            <w:shd w:val="clear" w:color="auto" w:fill="auto"/>
            <w:noWrap/>
            <w:vAlign w:val="bottom"/>
          </w:tcPr>
          <w:p w14:paraId="5159D4C7" w14:textId="77777777" w:rsidR="00D652C8" w:rsidRPr="004268BB" w:rsidRDefault="00D652C8" w:rsidP="000669E5">
            <w:pPr>
              <w:spacing w:after="0" w:line="240" w:lineRule="auto"/>
              <w:rPr>
                <w:rFonts w:ascii="Times New Roman" w:eastAsia="Times New Roman" w:hAnsi="Times New Roman" w:cs="Times New Roman"/>
              </w:rPr>
            </w:pPr>
          </w:p>
        </w:tc>
        <w:tc>
          <w:tcPr>
            <w:tcW w:w="1295" w:type="dxa"/>
            <w:tcBorders>
              <w:top w:val="nil"/>
              <w:left w:val="nil"/>
              <w:right w:val="nil"/>
            </w:tcBorders>
            <w:shd w:val="clear" w:color="auto" w:fill="auto"/>
            <w:noWrap/>
            <w:vAlign w:val="bottom"/>
          </w:tcPr>
          <w:p w14:paraId="7E44B706" w14:textId="77777777" w:rsidR="00D652C8" w:rsidRPr="004268BB" w:rsidRDefault="00D652C8" w:rsidP="000669E5">
            <w:pPr>
              <w:spacing w:after="0" w:line="240" w:lineRule="auto"/>
              <w:rPr>
                <w:rFonts w:ascii="Times New Roman" w:eastAsia="Times New Roman" w:hAnsi="Times New Roman" w:cs="Times New Roman"/>
              </w:rPr>
            </w:pPr>
          </w:p>
        </w:tc>
        <w:tc>
          <w:tcPr>
            <w:tcW w:w="1210" w:type="dxa"/>
            <w:gridSpan w:val="4"/>
            <w:tcBorders>
              <w:top w:val="nil"/>
              <w:left w:val="nil"/>
              <w:right w:val="nil"/>
            </w:tcBorders>
            <w:shd w:val="clear" w:color="auto" w:fill="auto"/>
            <w:noWrap/>
            <w:vAlign w:val="bottom"/>
          </w:tcPr>
          <w:p w14:paraId="2D2E4E20" w14:textId="77777777" w:rsidR="00D652C8" w:rsidRPr="004268BB" w:rsidRDefault="00D652C8" w:rsidP="000669E5">
            <w:pPr>
              <w:spacing w:after="0" w:line="240" w:lineRule="auto"/>
              <w:jc w:val="center"/>
              <w:rPr>
                <w:rFonts w:ascii="Times New Roman" w:eastAsia="Times New Roman" w:hAnsi="Times New Roman" w:cs="Times New Roman"/>
              </w:rPr>
            </w:pPr>
          </w:p>
        </w:tc>
      </w:tr>
      <w:tr w:rsidR="00D652C8" w:rsidRPr="004268BB" w14:paraId="5D384F84"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6A97CEA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Industry Fixed Effects</w:t>
            </w:r>
          </w:p>
        </w:tc>
        <w:tc>
          <w:tcPr>
            <w:tcW w:w="1620" w:type="dxa"/>
            <w:gridSpan w:val="2"/>
            <w:tcBorders>
              <w:top w:val="nil"/>
              <w:left w:val="nil"/>
              <w:right w:val="nil"/>
            </w:tcBorders>
            <w:shd w:val="clear" w:color="auto" w:fill="auto"/>
            <w:noWrap/>
            <w:vAlign w:val="bottom"/>
          </w:tcPr>
          <w:p w14:paraId="5CE0022F"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Yes</w:t>
            </w:r>
            <w:r w:rsidRPr="004268BB">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18C0A848"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1295" w:type="dxa"/>
            <w:tcBorders>
              <w:top w:val="nil"/>
              <w:left w:val="nil"/>
              <w:right w:val="nil"/>
            </w:tcBorders>
            <w:shd w:val="clear" w:color="auto" w:fill="auto"/>
            <w:noWrap/>
            <w:vAlign w:val="bottom"/>
          </w:tcPr>
          <w:p w14:paraId="32049884"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4268BB">
              <w:rPr>
                <w:rFonts w:ascii="Times New Roman" w:eastAsia="Times New Roman" w:hAnsi="Times New Roman" w:cs="Times New Roman"/>
                <w:color w:val="000000"/>
              </w:rPr>
              <w:t xml:space="preserve"> Yes      </w:t>
            </w:r>
          </w:p>
        </w:tc>
        <w:tc>
          <w:tcPr>
            <w:tcW w:w="1210" w:type="dxa"/>
            <w:gridSpan w:val="4"/>
            <w:tcBorders>
              <w:top w:val="nil"/>
              <w:left w:val="nil"/>
              <w:right w:val="nil"/>
            </w:tcBorders>
            <w:shd w:val="clear" w:color="auto" w:fill="auto"/>
            <w:noWrap/>
            <w:vAlign w:val="bottom"/>
          </w:tcPr>
          <w:p w14:paraId="755BC8EE"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r>
      <w:tr w:rsidR="00D652C8" w:rsidRPr="004268BB" w14:paraId="0ACDF758" w14:textId="77777777" w:rsidTr="000669E5">
        <w:trPr>
          <w:gridAfter w:val="1"/>
          <w:wAfter w:w="62" w:type="dxa"/>
          <w:trHeight w:val="288"/>
        </w:trPr>
        <w:tc>
          <w:tcPr>
            <w:tcW w:w="4410" w:type="dxa"/>
            <w:tcBorders>
              <w:top w:val="nil"/>
              <w:left w:val="nil"/>
              <w:right w:val="nil"/>
            </w:tcBorders>
            <w:shd w:val="clear" w:color="auto" w:fill="auto"/>
            <w:noWrap/>
            <w:vAlign w:val="bottom"/>
          </w:tcPr>
          <w:p w14:paraId="544F5AEF"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Observations</w:t>
            </w:r>
          </w:p>
        </w:tc>
        <w:tc>
          <w:tcPr>
            <w:tcW w:w="1620" w:type="dxa"/>
            <w:gridSpan w:val="2"/>
            <w:tcBorders>
              <w:top w:val="nil"/>
              <w:left w:val="nil"/>
              <w:right w:val="nil"/>
            </w:tcBorders>
            <w:shd w:val="clear" w:color="auto" w:fill="auto"/>
            <w:noWrap/>
            <w:vAlign w:val="bottom"/>
          </w:tcPr>
          <w:p w14:paraId="036076D1"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282</w:t>
            </w:r>
            <w:r w:rsidRPr="004268BB">
              <w:rPr>
                <w:rFonts w:ascii="Times New Roman" w:eastAsia="Times New Roman" w:hAnsi="Times New Roman" w:cs="Times New Roman"/>
                <w:color w:val="000000"/>
              </w:rPr>
              <w:t xml:space="preserve">     </w:t>
            </w:r>
          </w:p>
        </w:tc>
        <w:tc>
          <w:tcPr>
            <w:tcW w:w="825" w:type="dxa"/>
            <w:tcBorders>
              <w:top w:val="nil"/>
              <w:left w:val="nil"/>
              <w:right w:val="nil"/>
            </w:tcBorders>
            <w:shd w:val="clear" w:color="auto" w:fill="auto"/>
            <w:noWrap/>
            <w:vAlign w:val="bottom"/>
          </w:tcPr>
          <w:p w14:paraId="26BAEA4C"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c>
          <w:tcPr>
            <w:tcW w:w="1295" w:type="dxa"/>
            <w:tcBorders>
              <w:top w:val="nil"/>
              <w:left w:val="nil"/>
              <w:right w:val="nil"/>
            </w:tcBorders>
            <w:shd w:val="clear" w:color="auto" w:fill="auto"/>
            <w:noWrap/>
            <w:vAlign w:val="bottom"/>
          </w:tcPr>
          <w:p w14:paraId="6BBB2C31"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282</w:t>
            </w:r>
            <w:r w:rsidRPr="004268BB">
              <w:rPr>
                <w:rFonts w:ascii="Times New Roman" w:eastAsia="Times New Roman" w:hAnsi="Times New Roman" w:cs="Times New Roman"/>
                <w:color w:val="000000"/>
              </w:rPr>
              <w:t xml:space="preserve">    </w:t>
            </w:r>
          </w:p>
        </w:tc>
        <w:tc>
          <w:tcPr>
            <w:tcW w:w="1210" w:type="dxa"/>
            <w:gridSpan w:val="4"/>
            <w:tcBorders>
              <w:top w:val="nil"/>
              <w:left w:val="nil"/>
              <w:right w:val="nil"/>
            </w:tcBorders>
            <w:shd w:val="clear" w:color="auto" w:fill="auto"/>
            <w:noWrap/>
            <w:vAlign w:val="bottom"/>
          </w:tcPr>
          <w:p w14:paraId="069B31B1" w14:textId="77777777" w:rsidR="00D652C8" w:rsidRPr="004268BB" w:rsidRDefault="00D652C8" w:rsidP="000669E5">
            <w:pPr>
              <w:spacing w:after="0" w:line="240" w:lineRule="auto"/>
              <w:jc w:val="center"/>
              <w:rPr>
                <w:rFonts w:ascii="Times New Roman" w:eastAsia="Times New Roman" w:hAnsi="Times New Roman" w:cs="Times New Roman"/>
                <w:color w:val="000000"/>
              </w:rPr>
            </w:pPr>
          </w:p>
        </w:tc>
      </w:tr>
      <w:tr w:rsidR="00D652C8" w:rsidRPr="004268BB" w14:paraId="2E23C1DD" w14:textId="77777777" w:rsidTr="000669E5">
        <w:trPr>
          <w:gridAfter w:val="1"/>
          <w:wAfter w:w="62" w:type="dxa"/>
          <w:trHeight w:val="288"/>
        </w:trPr>
        <w:tc>
          <w:tcPr>
            <w:tcW w:w="4410" w:type="dxa"/>
            <w:tcBorders>
              <w:left w:val="nil"/>
              <w:right w:val="nil"/>
            </w:tcBorders>
            <w:shd w:val="clear" w:color="auto" w:fill="auto"/>
            <w:noWrap/>
            <w:vAlign w:val="bottom"/>
          </w:tcPr>
          <w:p w14:paraId="1A96AC9C" w14:textId="77777777" w:rsidR="00D652C8" w:rsidRPr="004268BB" w:rsidRDefault="00D652C8" w:rsidP="000669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Adjusted</w:t>
            </w:r>
            <w:r w:rsidRPr="004268BB">
              <w:rPr>
                <w:rFonts w:ascii="Times New Roman" w:eastAsia="Times New Roman" w:hAnsi="Times New Roman" w:cs="Times New Roman"/>
                <w:color w:val="000000"/>
              </w:rPr>
              <w:t xml:space="preserve"> R</w:t>
            </w:r>
            <w:r w:rsidRPr="004268BB">
              <w:rPr>
                <w:rFonts w:ascii="Times New Roman" w:eastAsia="Times New Roman" w:hAnsi="Times New Roman" w:cs="Times New Roman"/>
                <w:color w:val="000000"/>
                <w:vertAlign w:val="superscript"/>
              </w:rPr>
              <w:t>2</w:t>
            </w:r>
          </w:p>
        </w:tc>
        <w:tc>
          <w:tcPr>
            <w:tcW w:w="1620" w:type="dxa"/>
            <w:gridSpan w:val="2"/>
            <w:tcBorders>
              <w:left w:val="nil"/>
              <w:right w:val="nil"/>
            </w:tcBorders>
            <w:shd w:val="clear" w:color="auto" w:fill="auto"/>
            <w:noWrap/>
            <w:vAlign w:val="bottom"/>
          </w:tcPr>
          <w:p w14:paraId="216894A5"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56</w:t>
            </w:r>
            <w:r w:rsidRPr="004268BB">
              <w:rPr>
                <w:rFonts w:ascii="Times New Roman" w:eastAsia="Times New Roman" w:hAnsi="Times New Roman" w:cs="Times New Roman"/>
                <w:color w:val="000000"/>
              </w:rPr>
              <w:t xml:space="preserve">      </w:t>
            </w:r>
          </w:p>
        </w:tc>
        <w:tc>
          <w:tcPr>
            <w:tcW w:w="825" w:type="dxa"/>
            <w:tcBorders>
              <w:left w:val="nil"/>
              <w:right w:val="nil"/>
            </w:tcBorders>
            <w:shd w:val="clear" w:color="auto" w:fill="auto"/>
            <w:noWrap/>
            <w:vAlign w:val="bottom"/>
          </w:tcPr>
          <w:p w14:paraId="441B4BB8"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c>
          <w:tcPr>
            <w:tcW w:w="1295" w:type="dxa"/>
            <w:tcBorders>
              <w:left w:val="nil"/>
              <w:right w:val="nil"/>
            </w:tcBorders>
            <w:shd w:val="clear" w:color="auto" w:fill="auto"/>
            <w:noWrap/>
            <w:vAlign w:val="bottom"/>
          </w:tcPr>
          <w:p w14:paraId="66349A26"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69</w:t>
            </w:r>
            <w:r w:rsidRPr="004268BB">
              <w:rPr>
                <w:rFonts w:ascii="Times New Roman" w:eastAsia="Times New Roman" w:hAnsi="Times New Roman" w:cs="Times New Roman"/>
                <w:color w:val="000000"/>
              </w:rPr>
              <w:t xml:space="preserve">      </w:t>
            </w:r>
          </w:p>
        </w:tc>
        <w:tc>
          <w:tcPr>
            <w:tcW w:w="1210" w:type="dxa"/>
            <w:gridSpan w:val="4"/>
            <w:tcBorders>
              <w:left w:val="nil"/>
              <w:right w:val="nil"/>
            </w:tcBorders>
            <w:shd w:val="clear" w:color="auto" w:fill="auto"/>
            <w:noWrap/>
            <w:vAlign w:val="bottom"/>
          </w:tcPr>
          <w:p w14:paraId="0B0A8883" w14:textId="77777777" w:rsidR="00D652C8" w:rsidRPr="004268BB" w:rsidRDefault="00D652C8" w:rsidP="000669E5">
            <w:pPr>
              <w:spacing w:after="0" w:line="240" w:lineRule="auto"/>
              <w:rPr>
                <w:rFonts w:ascii="Times New Roman" w:eastAsia="Times New Roman" w:hAnsi="Times New Roman" w:cs="Times New Roman"/>
                <w:color w:val="000000"/>
              </w:rPr>
            </w:pPr>
            <w:r w:rsidRPr="004268BB">
              <w:rPr>
                <w:rFonts w:ascii="Times New Roman" w:eastAsia="Times New Roman" w:hAnsi="Times New Roman" w:cs="Times New Roman"/>
                <w:color w:val="000000"/>
              </w:rPr>
              <w:t> </w:t>
            </w:r>
          </w:p>
        </w:tc>
      </w:tr>
      <w:tr w:rsidR="00D652C8" w:rsidRPr="004268BB" w14:paraId="41F358CB" w14:textId="77777777" w:rsidTr="000669E5">
        <w:trPr>
          <w:gridAfter w:val="1"/>
          <w:wAfter w:w="62" w:type="dxa"/>
          <w:trHeight w:val="288"/>
        </w:trPr>
        <w:tc>
          <w:tcPr>
            <w:tcW w:w="4410" w:type="dxa"/>
            <w:tcBorders>
              <w:left w:val="nil"/>
              <w:bottom w:val="single" w:sz="12" w:space="0" w:color="auto"/>
              <w:right w:val="nil"/>
            </w:tcBorders>
            <w:shd w:val="clear" w:color="auto" w:fill="auto"/>
            <w:noWrap/>
            <w:vAlign w:val="bottom"/>
          </w:tcPr>
          <w:p w14:paraId="2CD0FE92" w14:textId="77777777" w:rsidR="00D652C8" w:rsidRDefault="00D652C8" w:rsidP="000669E5">
            <w:pPr>
              <w:spacing w:after="0" w:line="240" w:lineRule="auto"/>
              <w:rPr>
                <w:rFonts w:ascii="Times New Roman" w:eastAsia="Times New Roman" w:hAnsi="Times New Roman" w:cs="Times New Roman"/>
                <w:color w:val="000000"/>
              </w:rPr>
            </w:pPr>
          </w:p>
        </w:tc>
        <w:tc>
          <w:tcPr>
            <w:tcW w:w="1620" w:type="dxa"/>
            <w:gridSpan w:val="2"/>
            <w:tcBorders>
              <w:left w:val="nil"/>
              <w:bottom w:val="single" w:sz="12" w:space="0" w:color="auto"/>
              <w:right w:val="nil"/>
            </w:tcBorders>
            <w:shd w:val="clear" w:color="auto" w:fill="auto"/>
            <w:noWrap/>
            <w:vAlign w:val="bottom"/>
          </w:tcPr>
          <w:p w14:paraId="68C30539"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825" w:type="dxa"/>
            <w:tcBorders>
              <w:left w:val="nil"/>
              <w:bottom w:val="single" w:sz="12" w:space="0" w:color="auto"/>
              <w:right w:val="nil"/>
            </w:tcBorders>
            <w:shd w:val="clear" w:color="auto" w:fill="auto"/>
            <w:noWrap/>
            <w:vAlign w:val="bottom"/>
          </w:tcPr>
          <w:p w14:paraId="1CAC41E9"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95" w:type="dxa"/>
            <w:tcBorders>
              <w:left w:val="nil"/>
              <w:bottom w:val="single" w:sz="12" w:space="0" w:color="auto"/>
              <w:right w:val="nil"/>
            </w:tcBorders>
            <w:shd w:val="clear" w:color="auto" w:fill="auto"/>
            <w:noWrap/>
            <w:vAlign w:val="bottom"/>
          </w:tcPr>
          <w:p w14:paraId="17695832"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10" w:type="dxa"/>
            <w:gridSpan w:val="4"/>
            <w:tcBorders>
              <w:left w:val="nil"/>
              <w:bottom w:val="single" w:sz="12" w:space="0" w:color="auto"/>
              <w:right w:val="nil"/>
            </w:tcBorders>
            <w:shd w:val="clear" w:color="auto" w:fill="auto"/>
            <w:noWrap/>
            <w:vAlign w:val="bottom"/>
          </w:tcPr>
          <w:p w14:paraId="3F6933C1" w14:textId="77777777" w:rsidR="00D652C8" w:rsidRPr="004268BB" w:rsidRDefault="00D652C8" w:rsidP="000669E5">
            <w:pPr>
              <w:spacing w:after="0" w:line="240" w:lineRule="auto"/>
              <w:rPr>
                <w:rFonts w:ascii="Times New Roman" w:eastAsia="Times New Roman" w:hAnsi="Times New Roman" w:cs="Times New Roman"/>
                <w:color w:val="000000"/>
              </w:rPr>
            </w:pPr>
          </w:p>
        </w:tc>
      </w:tr>
      <w:tr w:rsidR="00D652C8" w:rsidRPr="004268BB" w14:paraId="093B386A" w14:textId="77777777" w:rsidTr="000669E5">
        <w:trPr>
          <w:gridAfter w:val="1"/>
          <w:wAfter w:w="62" w:type="dxa"/>
          <w:trHeight w:hRule="exact" w:val="72"/>
        </w:trPr>
        <w:tc>
          <w:tcPr>
            <w:tcW w:w="4410" w:type="dxa"/>
            <w:tcBorders>
              <w:top w:val="single" w:sz="12" w:space="0" w:color="auto"/>
              <w:left w:val="nil"/>
              <w:right w:val="nil"/>
            </w:tcBorders>
            <w:shd w:val="clear" w:color="auto" w:fill="auto"/>
            <w:noWrap/>
            <w:vAlign w:val="bottom"/>
          </w:tcPr>
          <w:p w14:paraId="2FA229E1"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620" w:type="dxa"/>
            <w:gridSpan w:val="2"/>
            <w:tcBorders>
              <w:top w:val="single" w:sz="12" w:space="0" w:color="auto"/>
              <w:left w:val="nil"/>
              <w:right w:val="nil"/>
            </w:tcBorders>
            <w:shd w:val="clear" w:color="auto" w:fill="auto"/>
            <w:noWrap/>
            <w:vAlign w:val="bottom"/>
          </w:tcPr>
          <w:p w14:paraId="7B2D772C"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825" w:type="dxa"/>
            <w:tcBorders>
              <w:top w:val="single" w:sz="12" w:space="0" w:color="auto"/>
              <w:left w:val="nil"/>
              <w:right w:val="nil"/>
            </w:tcBorders>
            <w:shd w:val="clear" w:color="auto" w:fill="auto"/>
            <w:noWrap/>
            <w:vAlign w:val="bottom"/>
          </w:tcPr>
          <w:p w14:paraId="1A41DC68"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95" w:type="dxa"/>
            <w:tcBorders>
              <w:top w:val="single" w:sz="12" w:space="0" w:color="auto"/>
              <w:left w:val="nil"/>
              <w:right w:val="nil"/>
            </w:tcBorders>
            <w:shd w:val="clear" w:color="auto" w:fill="auto"/>
            <w:noWrap/>
            <w:vAlign w:val="bottom"/>
          </w:tcPr>
          <w:p w14:paraId="6BB13A5A" w14:textId="77777777" w:rsidR="00D652C8" w:rsidRPr="004268BB" w:rsidRDefault="00D652C8" w:rsidP="000669E5">
            <w:pPr>
              <w:spacing w:after="0" w:line="240" w:lineRule="auto"/>
              <w:rPr>
                <w:rFonts w:ascii="Times New Roman" w:eastAsia="Times New Roman" w:hAnsi="Times New Roman" w:cs="Times New Roman"/>
                <w:color w:val="000000"/>
              </w:rPr>
            </w:pPr>
          </w:p>
        </w:tc>
        <w:tc>
          <w:tcPr>
            <w:tcW w:w="1210" w:type="dxa"/>
            <w:gridSpan w:val="4"/>
            <w:tcBorders>
              <w:top w:val="single" w:sz="12" w:space="0" w:color="auto"/>
              <w:left w:val="nil"/>
              <w:right w:val="nil"/>
            </w:tcBorders>
            <w:shd w:val="clear" w:color="auto" w:fill="auto"/>
            <w:noWrap/>
            <w:vAlign w:val="bottom"/>
          </w:tcPr>
          <w:p w14:paraId="09186DDC" w14:textId="77777777" w:rsidR="00D652C8" w:rsidRPr="004268BB" w:rsidRDefault="00D652C8" w:rsidP="000669E5">
            <w:pPr>
              <w:spacing w:after="0" w:line="240" w:lineRule="auto"/>
              <w:rPr>
                <w:rFonts w:ascii="Times New Roman" w:eastAsia="Times New Roman" w:hAnsi="Times New Roman" w:cs="Times New Roman"/>
                <w:color w:val="000000"/>
              </w:rPr>
            </w:pPr>
          </w:p>
        </w:tc>
      </w:tr>
    </w:tbl>
    <w:p w14:paraId="3FEFE36B" w14:textId="77777777" w:rsidR="00D652C8" w:rsidRDefault="00D652C8" w:rsidP="00D652C8">
      <w:pPr>
        <w:spacing w:after="0" w:line="240" w:lineRule="auto"/>
        <w:jc w:val="both"/>
        <w:rPr>
          <w:rFonts w:ascii="Times New Roman" w:eastAsia="Times New Roman" w:hAnsi="Times New Roman" w:cs="Times New Roman"/>
          <w:color w:val="000000"/>
        </w:rPr>
      </w:pPr>
      <w:r w:rsidRPr="008C4A73">
        <w:rPr>
          <w:rFonts w:ascii="Times New Roman" w:hAnsi="Times New Roman" w:cs="Times New Roman"/>
        </w:rPr>
        <w:t xml:space="preserve">The sample consists of the </w:t>
      </w:r>
      <w:r>
        <w:rPr>
          <w:rFonts w:ascii="Times New Roman" w:hAnsi="Times New Roman" w:cs="Times New Roman"/>
        </w:rPr>
        <w:t>141</w:t>
      </w:r>
      <w:r w:rsidRPr="008C4A73">
        <w:rPr>
          <w:rFonts w:ascii="Times New Roman" w:hAnsi="Times New Roman" w:cs="Times New Roman"/>
        </w:rPr>
        <w:t xml:space="preserve"> SPAC-IPO and </w:t>
      </w:r>
      <w:r>
        <w:rPr>
          <w:rFonts w:ascii="Times New Roman" w:hAnsi="Times New Roman" w:cs="Times New Roman"/>
        </w:rPr>
        <w:t>141</w:t>
      </w:r>
      <w:r w:rsidRPr="008C4A73">
        <w:rPr>
          <w:rFonts w:ascii="Times New Roman" w:hAnsi="Times New Roman" w:cs="Times New Roman"/>
        </w:rPr>
        <w:t xml:space="preserve"> </w:t>
      </w:r>
      <w:r>
        <w:rPr>
          <w:rFonts w:ascii="Times New Roman" w:hAnsi="Times New Roman" w:cs="Times New Roman"/>
        </w:rPr>
        <w:t>matched</w:t>
      </w:r>
      <w:r w:rsidRPr="008C4A73">
        <w:rPr>
          <w:rFonts w:ascii="Times New Roman" w:hAnsi="Times New Roman" w:cs="Times New Roman"/>
        </w:rPr>
        <w:t xml:space="preserve"> non-SPAC-IPO firms with IPOs</w:t>
      </w:r>
      <w:r>
        <w:rPr>
          <w:rFonts w:ascii="Times New Roman" w:hAnsi="Times New Roman" w:cs="Times New Roman"/>
        </w:rPr>
        <w:t xml:space="preserve">. </w:t>
      </w:r>
      <w:r w:rsidRPr="008C4A73">
        <w:rPr>
          <w:rFonts w:ascii="Times New Roman" w:hAnsi="Times New Roman" w:cs="Times New Roman"/>
        </w:rPr>
        <w:t xml:space="preserve">Panel </w:t>
      </w:r>
      <w:r>
        <w:rPr>
          <w:rFonts w:ascii="Times New Roman" w:hAnsi="Times New Roman" w:cs="Times New Roman"/>
        </w:rPr>
        <w:t>A</w:t>
      </w:r>
      <w:r w:rsidRPr="008C4A73">
        <w:rPr>
          <w:rFonts w:ascii="Times New Roman" w:hAnsi="Times New Roman" w:cs="Times New Roman"/>
        </w:rPr>
        <w:t xml:space="preserve"> presents </w:t>
      </w:r>
      <w:r>
        <w:rPr>
          <w:rFonts w:ascii="Times New Roman" w:hAnsi="Times New Roman" w:cs="Times New Roman"/>
        </w:rPr>
        <w:t xml:space="preserve">decile rank </w:t>
      </w:r>
      <w:r w:rsidRPr="008C4A73">
        <w:rPr>
          <w:rFonts w:ascii="Times New Roman" w:hAnsi="Times New Roman" w:cs="Times New Roman"/>
        </w:rPr>
        <w:t>regressions</w:t>
      </w:r>
      <w:r>
        <w:rPr>
          <w:rFonts w:ascii="Times New Roman" w:hAnsi="Times New Roman" w:cs="Times New Roman"/>
        </w:rPr>
        <w:t xml:space="preserve"> results, as in Sloan (1996),</w:t>
      </w:r>
      <w:r w:rsidRPr="008C4A73">
        <w:rPr>
          <w:rFonts w:ascii="Times New Roman" w:hAnsi="Times New Roman" w:cs="Times New Roman"/>
        </w:rPr>
        <w:t xml:space="preserve"> </w:t>
      </w:r>
      <w:r>
        <w:rPr>
          <w:rFonts w:ascii="Times New Roman" w:hAnsi="Times New Roman" w:cs="Times New Roman"/>
        </w:rPr>
        <w:t>estimating the earnings persistence</w:t>
      </w:r>
      <w:r w:rsidRPr="008C4A73">
        <w:rPr>
          <w:rFonts w:ascii="Times New Roman" w:hAnsi="Times New Roman" w:cs="Times New Roman"/>
        </w:rPr>
        <w:t xml:space="preserve"> </w:t>
      </w:r>
      <w:r>
        <w:rPr>
          <w:rFonts w:ascii="Times New Roman" w:hAnsi="Times New Roman" w:cs="Times New Roman"/>
        </w:rPr>
        <w:t>(</w:t>
      </w:r>
      <w:r w:rsidRPr="00242EFB">
        <w:rPr>
          <w:rFonts w:ascii="Times New Roman" w:hAnsi="Times New Roman" w:cs="Times New Roman"/>
          <w:i/>
        </w:rPr>
        <w:t>EARN</w:t>
      </w:r>
      <w:r>
        <w:rPr>
          <w:rFonts w:ascii="Times New Roman" w:hAnsi="Times New Roman" w:cs="Times New Roman"/>
        </w:rPr>
        <w:t xml:space="preserve">) for </w:t>
      </w:r>
      <w:r w:rsidRPr="008C4A73">
        <w:rPr>
          <w:rFonts w:ascii="Times New Roman" w:hAnsi="Times New Roman" w:cs="Times New Roman"/>
        </w:rPr>
        <w:t xml:space="preserve">SPAC- and non-SPAC-IPO </w:t>
      </w:r>
      <w:r>
        <w:rPr>
          <w:rFonts w:ascii="Times New Roman" w:hAnsi="Times New Roman" w:cs="Times New Roman"/>
        </w:rPr>
        <w:t>firms</w:t>
      </w:r>
      <w:r w:rsidRPr="008C4A73">
        <w:rPr>
          <w:rFonts w:ascii="Times New Roman" w:hAnsi="Times New Roman" w:cs="Times New Roman"/>
        </w:rPr>
        <w:t>.</w:t>
      </w:r>
      <w:r>
        <w:rPr>
          <w:rFonts w:ascii="Times New Roman" w:hAnsi="Times New Roman" w:cs="Times New Roman"/>
        </w:rPr>
        <w:t xml:space="preserve"> </w:t>
      </w:r>
      <w:r w:rsidRPr="008C4A73">
        <w:rPr>
          <w:rFonts w:ascii="Times New Roman" w:hAnsi="Times New Roman" w:cs="Times New Roman"/>
        </w:rPr>
        <w:t xml:space="preserve">Panel </w:t>
      </w:r>
      <w:r>
        <w:rPr>
          <w:rFonts w:ascii="Times New Roman" w:hAnsi="Times New Roman" w:cs="Times New Roman"/>
        </w:rPr>
        <w:t>B</w:t>
      </w:r>
      <w:r w:rsidRPr="008C4A73">
        <w:rPr>
          <w:rFonts w:ascii="Times New Roman" w:hAnsi="Times New Roman" w:cs="Times New Roman"/>
        </w:rPr>
        <w:t xml:space="preserve"> presents </w:t>
      </w:r>
      <w:r>
        <w:rPr>
          <w:rFonts w:ascii="Times New Roman" w:hAnsi="Times New Roman" w:cs="Times New Roman"/>
        </w:rPr>
        <w:t>decile rank regression results, as in Sloan (1996),</w:t>
      </w:r>
      <w:r w:rsidRPr="008C4A73">
        <w:rPr>
          <w:rFonts w:ascii="Times New Roman" w:hAnsi="Times New Roman" w:cs="Times New Roman"/>
        </w:rPr>
        <w:t xml:space="preserve"> </w:t>
      </w:r>
      <w:r>
        <w:rPr>
          <w:rFonts w:ascii="Times New Roman" w:hAnsi="Times New Roman" w:cs="Times New Roman"/>
        </w:rPr>
        <w:t>estimating cash flows (</w:t>
      </w:r>
      <w:r w:rsidRPr="00CF6A88">
        <w:rPr>
          <w:rFonts w:ascii="Times New Roman" w:hAnsi="Times New Roman" w:cs="Times New Roman"/>
          <w:i/>
        </w:rPr>
        <w:t>CFO</w:t>
      </w:r>
      <w:r>
        <w:rPr>
          <w:rFonts w:ascii="Times New Roman" w:hAnsi="Times New Roman" w:cs="Times New Roman"/>
        </w:rPr>
        <w:t>) and accruals (</w:t>
      </w:r>
      <w:r w:rsidRPr="00CF6A88">
        <w:rPr>
          <w:rFonts w:ascii="Times New Roman" w:hAnsi="Times New Roman" w:cs="Times New Roman"/>
          <w:i/>
        </w:rPr>
        <w:t>ACC</w:t>
      </w:r>
      <w:r>
        <w:rPr>
          <w:rFonts w:ascii="Times New Roman" w:hAnsi="Times New Roman" w:cs="Times New Roman"/>
        </w:rPr>
        <w:t>) persistence</w:t>
      </w:r>
      <w:r w:rsidRPr="008C4A73">
        <w:rPr>
          <w:rFonts w:ascii="Times New Roman" w:hAnsi="Times New Roman" w:cs="Times New Roman"/>
        </w:rPr>
        <w:t xml:space="preserve"> </w:t>
      </w:r>
      <w:r>
        <w:rPr>
          <w:rFonts w:ascii="Times New Roman" w:hAnsi="Times New Roman" w:cs="Times New Roman"/>
        </w:rPr>
        <w:t xml:space="preserve">for </w:t>
      </w:r>
      <w:r w:rsidRPr="008C4A73">
        <w:rPr>
          <w:rFonts w:ascii="Times New Roman" w:hAnsi="Times New Roman" w:cs="Times New Roman"/>
        </w:rPr>
        <w:t>SPAC- and non-SPAC-IPO firms.</w:t>
      </w:r>
      <w:r>
        <w:rPr>
          <w:rFonts w:ascii="Times New Roman" w:hAnsi="Times New Roman" w:cs="Times New Roman"/>
        </w:rPr>
        <w:t xml:space="preserve"> The first (second) regression reports the results </w:t>
      </w:r>
      <w:r w:rsidRPr="008E7087">
        <w:rPr>
          <w:rFonts w:ascii="Times New Roman" w:hAnsi="Times New Roman" w:cs="Times New Roman"/>
        </w:rPr>
        <w:t xml:space="preserve">without (with) </w:t>
      </w:r>
      <w:r>
        <w:rPr>
          <w:rFonts w:ascii="Times New Roman" w:hAnsi="Times New Roman" w:cs="Times New Roman"/>
        </w:rPr>
        <w:t>entropy balancing.</w:t>
      </w:r>
      <w:r w:rsidRPr="008C4A73">
        <w:rPr>
          <w:rFonts w:ascii="Times New Roman" w:eastAsia="Times New Roman" w:hAnsi="Times New Roman" w:cs="Times New Roman"/>
          <w:color w:val="000000"/>
        </w:rPr>
        <w:t xml:space="preserve"> *, **, and *** represent statistical significance at the 10%, 5%, and 1% levels, respectively, for a two-tailed test.</w:t>
      </w:r>
    </w:p>
    <w:p w14:paraId="70F46073" w14:textId="77777777" w:rsidR="00D652C8" w:rsidRDefault="00D652C8" w:rsidP="00D652C8">
      <w:pPr>
        <w:rPr>
          <w:b/>
          <w:bCs/>
          <w:color w:val="000000"/>
          <w:szCs w:val="24"/>
        </w:rPr>
      </w:pPr>
      <w:r>
        <w:rPr>
          <w:rFonts w:ascii="Times New Roman" w:eastAsia="Times New Roman" w:hAnsi="Times New Roman" w:cs="Times New Roman"/>
          <w:color w:val="000000"/>
        </w:rPr>
        <w:br w:type="page"/>
      </w:r>
    </w:p>
    <w:tbl>
      <w:tblPr>
        <w:tblW w:w="5048" w:type="pct"/>
        <w:tblLook w:val="04A0" w:firstRow="1" w:lastRow="0" w:firstColumn="1" w:lastColumn="0" w:noHBand="0" w:noVBand="1"/>
      </w:tblPr>
      <w:tblGrid>
        <w:gridCol w:w="4367"/>
        <w:gridCol w:w="782"/>
        <w:gridCol w:w="792"/>
        <w:gridCol w:w="832"/>
        <w:gridCol w:w="1038"/>
        <w:gridCol w:w="469"/>
        <w:gridCol w:w="1170"/>
      </w:tblGrid>
      <w:tr w:rsidR="00DE6FE8" w:rsidRPr="00A45E8F" w14:paraId="570380D8" w14:textId="77777777" w:rsidTr="00DE6FE8">
        <w:trPr>
          <w:trHeight w:val="259"/>
        </w:trPr>
        <w:tc>
          <w:tcPr>
            <w:tcW w:w="2311" w:type="pct"/>
            <w:tcBorders>
              <w:top w:val="nil"/>
              <w:left w:val="nil"/>
              <w:bottom w:val="nil"/>
              <w:right w:val="nil"/>
            </w:tcBorders>
            <w:shd w:val="clear" w:color="auto" w:fill="auto"/>
            <w:noWrap/>
            <w:vAlign w:val="bottom"/>
            <w:hideMark/>
          </w:tcPr>
          <w:p w14:paraId="09D5EDCB" w14:textId="77777777" w:rsidR="00DE6FE8" w:rsidRPr="00A45E8F" w:rsidRDefault="00DE6FE8" w:rsidP="00DE6FE8">
            <w:pPr>
              <w:spacing w:after="0" w:line="240" w:lineRule="auto"/>
              <w:rPr>
                <w:rFonts w:ascii="Times New Roman" w:eastAsia="Times New Roman" w:hAnsi="Times New Roman" w:cs="Times New Roman"/>
                <w:b/>
                <w:bCs/>
                <w:color w:val="000000"/>
              </w:rPr>
            </w:pPr>
            <w:r w:rsidRPr="00A45E8F">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7</w:t>
            </w:r>
          </w:p>
        </w:tc>
        <w:tc>
          <w:tcPr>
            <w:tcW w:w="414" w:type="pct"/>
            <w:tcBorders>
              <w:top w:val="nil"/>
              <w:left w:val="nil"/>
              <w:bottom w:val="nil"/>
              <w:right w:val="nil"/>
            </w:tcBorders>
            <w:shd w:val="clear" w:color="auto" w:fill="auto"/>
            <w:noWrap/>
            <w:vAlign w:val="bottom"/>
            <w:hideMark/>
          </w:tcPr>
          <w:p w14:paraId="6F10366C" w14:textId="77777777" w:rsidR="00DE6FE8" w:rsidRPr="00A45E8F" w:rsidRDefault="00DE6FE8" w:rsidP="00DE6FE8">
            <w:pPr>
              <w:spacing w:after="0" w:line="240" w:lineRule="auto"/>
              <w:rPr>
                <w:rFonts w:ascii="Times New Roman" w:eastAsia="Times New Roman" w:hAnsi="Times New Roman" w:cs="Times New Roman"/>
                <w:b/>
                <w:bCs/>
                <w:color w:val="000000"/>
              </w:rPr>
            </w:pPr>
          </w:p>
        </w:tc>
        <w:tc>
          <w:tcPr>
            <w:tcW w:w="419" w:type="pct"/>
            <w:tcBorders>
              <w:top w:val="nil"/>
              <w:left w:val="nil"/>
              <w:bottom w:val="nil"/>
              <w:right w:val="nil"/>
            </w:tcBorders>
            <w:shd w:val="clear" w:color="auto" w:fill="auto"/>
            <w:noWrap/>
            <w:vAlign w:val="bottom"/>
            <w:hideMark/>
          </w:tcPr>
          <w:p w14:paraId="5C04B77B" w14:textId="77777777" w:rsidR="00DE6FE8" w:rsidRPr="00A45E8F" w:rsidRDefault="00DE6FE8" w:rsidP="00DE6FE8">
            <w:pPr>
              <w:spacing w:after="0" w:line="240" w:lineRule="auto"/>
              <w:rPr>
                <w:rFonts w:ascii="Times New Roman" w:eastAsia="Times New Roman" w:hAnsi="Times New Roman" w:cs="Times New Roman"/>
              </w:rPr>
            </w:pPr>
          </w:p>
        </w:tc>
        <w:tc>
          <w:tcPr>
            <w:tcW w:w="440" w:type="pct"/>
            <w:tcBorders>
              <w:top w:val="nil"/>
              <w:left w:val="nil"/>
              <w:bottom w:val="nil"/>
              <w:right w:val="nil"/>
            </w:tcBorders>
            <w:shd w:val="clear" w:color="auto" w:fill="auto"/>
            <w:noWrap/>
            <w:vAlign w:val="bottom"/>
            <w:hideMark/>
          </w:tcPr>
          <w:p w14:paraId="3BFFD967" w14:textId="77777777" w:rsidR="00DE6FE8" w:rsidRPr="00A45E8F" w:rsidRDefault="00DE6FE8" w:rsidP="00DE6FE8">
            <w:pPr>
              <w:spacing w:after="0" w:line="240" w:lineRule="auto"/>
              <w:rPr>
                <w:rFonts w:ascii="Times New Roman" w:eastAsia="Times New Roman" w:hAnsi="Times New Roman" w:cs="Times New Roman"/>
              </w:rPr>
            </w:pPr>
          </w:p>
        </w:tc>
        <w:tc>
          <w:tcPr>
            <w:tcW w:w="549" w:type="pct"/>
            <w:tcBorders>
              <w:top w:val="nil"/>
              <w:left w:val="nil"/>
              <w:bottom w:val="nil"/>
              <w:right w:val="nil"/>
            </w:tcBorders>
            <w:shd w:val="clear" w:color="auto" w:fill="auto"/>
            <w:noWrap/>
            <w:vAlign w:val="bottom"/>
            <w:hideMark/>
          </w:tcPr>
          <w:p w14:paraId="61441796" w14:textId="77777777" w:rsidR="00DE6FE8" w:rsidRPr="00A45E8F" w:rsidRDefault="00DE6FE8" w:rsidP="00DE6FE8">
            <w:pPr>
              <w:spacing w:after="0" w:line="240" w:lineRule="auto"/>
              <w:rPr>
                <w:rFonts w:ascii="Times New Roman" w:eastAsia="Times New Roman" w:hAnsi="Times New Roman" w:cs="Times New Roman"/>
              </w:rPr>
            </w:pPr>
          </w:p>
        </w:tc>
        <w:tc>
          <w:tcPr>
            <w:tcW w:w="248" w:type="pct"/>
            <w:tcBorders>
              <w:top w:val="nil"/>
              <w:left w:val="nil"/>
              <w:bottom w:val="nil"/>
              <w:right w:val="nil"/>
            </w:tcBorders>
            <w:shd w:val="clear" w:color="auto" w:fill="auto"/>
            <w:noWrap/>
            <w:vAlign w:val="bottom"/>
            <w:hideMark/>
          </w:tcPr>
          <w:p w14:paraId="0C49C729" w14:textId="77777777" w:rsidR="00DE6FE8" w:rsidRPr="00A45E8F" w:rsidRDefault="00DE6FE8" w:rsidP="00DE6FE8">
            <w:pPr>
              <w:spacing w:after="0" w:line="240" w:lineRule="auto"/>
              <w:rPr>
                <w:rFonts w:ascii="Times New Roman" w:eastAsia="Times New Roman" w:hAnsi="Times New Roman" w:cs="Times New Roman"/>
              </w:rPr>
            </w:pPr>
          </w:p>
        </w:tc>
        <w:tc>
          <w:tcPr>
            <w:tcW w:w="619" w:type="pct"/>
            <w:tcBorders>
              <w:top w:val="nil"/>
              <w:left w:val="nil"/>
              <w:bottom w:val="nil"/>
              <w:right w:val="nil"/>
            </w:tcBorders>
            <w:shd w:val="clear" w:color="auto" w:fill="auto"/>
            <w:noWrap/>
            <w:vAlign w:val="bottom"/>
            <w:hideMark/>
          </w:tcPr>
          <w:p w14:paraId="056A386E" w14:textId="77777777" w:rsidR="00DE6FE8" w:rsidRPr="00A45E8F" w:rsidRDefault="00DE6FE8" w:rsidP="00DE6FE8">
            <w:pPr>
              <w:spacing w:after="0" w:line="240" w:lineRule="auto"/>
              <w:rPr>
                <w:rFonts w:ascii="Times New Roman" w:eastAsia="Times New Roman" w:hAnsi="Times New Roman" w:cs="Times New Roman"/>
              </w:rPr>
            </w:pPr>
          </w:p>
        </w:tc>
      </w:tr>
      <w:tr w:rsidR="00DE6FE8" w:rsidRPr="00A45E8F" w14:paraId="0A22CEF3" w14:textId="77777777" w:rsidTr="00DE6FE8">
        <w:trPr>
          <w:trHeight w:val="259"/>
        </w:trPr>
        <w:tc>
          <w:tcPr>
            <w:tcW w:w="5000" w:type="pct"/>
            <w:gridSpan w:val="7"/>
            <w:tcBorders>
              <w:top w:val="nil"/>
              <w:left w:val="nil"/>
              <w:bottom w:val="single" w:sz="12" w:space="0" w:color="auto"/>
              <w:right w:val="nil"/>
            </w:tcBorders>
            <w:shd w:val="clear" w:color="auto" w:fill="auto"/>
            <w:noWrap/>
            <w:vAlign w:val="bottom"/>
            <w:hideMark/>
          </w:tcPr>
          <w:p w14:paraId="3C72B0BE"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Differences in Stock Exchange Listings Between SPAC- </w:t>
            </w:r>
            <w:r>
              <w:rPr>
                <w:rFonts w:ascii="Times New Roman" w:eastAsia="Times New Roman" w:hAnsi="Times New Roman" w:cs="Times New Roman"/>
                <w:color w:val="000000"/>
              </w:rPr>
              <w:t xml:space="preserve">and </w:t>
            </w:r>
            <w:r w:rsidRPr="00A45E8F">
              <w:rPr>
                <w:rFonts w:ascii="Times New Roman" w:eastAsia="Times New Roman" w:hAnsi="Times New Roman" w:cs="Times New Roman"/>
                <w:color w:val="000000"/>
              </w:rPr>
              <w:t>non-SPAC-IPO</w:t>
            </w:r>
            <w:r>
              <w:rPr>
                <w:rFonts w:ascii="Times New Roman" w:eastAsia="Times New Roman" w:hAnsi="Times New Roman" w:cs="Times New Roman"/>
                <w:color w:val="000000"/>
              </w:rPr>
              <w:t>s</w:t>
            </w:r>
            <w:r w:rsidRPr="00A45E8F">
              <w:rPr>
                <w:rFonts w:ascii="Times New Roman" w:eastAsia="Times New Roman" w:hAnsi="Times New Roman" w:cs="Times New Roman"/>
                <w:color w:val="000000"/>
              </w:rPr>
              <w:t>. </w:t>
            </w:r>
          </w:p>
          <w:p w14:paraId="16F32D70" w14:textId="77777777" w:rsidR="00DE6FE8" w:rsidRPr="00A45E8F" w:rsidRDefault="00DE6FE8" w:rsidP="00DE6FE8">
            <w:pPr>
              <w:spacing w:after="0" w:line="240" w:lineRule="auto"/>
              <w:rPr>
                <w:rFonts w:ascii="Times New Roman" w:eastAsia="Times New Roman" w:hAnsi="Times New Roman" w:cs="Times New Roman"/>
                <w:color w:val="000000"/>
              </w:rPr>
            </w:pPr>
          </w:p>
        </w:tc>
      </w:tr>
      <w:tr w:rsidR="00DE6FE8" w:rsidRPr="00A45E8F" w14:paraId="4417476F" w14:textId="77777777" w:rsidTr="00DE6FE8">
        <w:trPr>
          <w:trHeight w:val="259"/>
        </w:trPr>
        <w:tc>
          <w:tcPr>
            <w:tcW w:w="3584" w:type="pct"/>
            <w:gridSpan w:val="4"/>
            <w:tcBorders>
              <w:top w:val="single" w:sz="12" w:space="0" w:color="auto"/>
              <w:left w:val="nil"/>
              <w:bottom w:val="single" w:sz="12" w:space="0" w:color="auto"/>
              <w:right w:val="nil"/>
            </w:tcBorders>
            <w:shd w:val="clear" w:color="auto" w:fill="auto"/>
            <w:noWrap/>
            <w:vAlign w:val="bottom"/>
            <w:hideMark/>
          </w:tcPr>
          <w:p w14:paraId="7469E8A9"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Panel A: Univariate comparisons of stock exchange listings</w:t>
            </w:r>
          </w:p>
        </w:tc>
        <w:tc>
          <w:tcPr>
            <w:tcW w:w="549" w:type="pct"/>
            <w:tcBorders>
              <w:top w:val="single" w:sz="12" w:space="0" w:color="auto"/>
              <w:left w:val="nil"/>
              <w:bottom w:val="single" w:sz="12" w:space="0" w:color="auto"/>
              <w:right w:val="nil"/>
            </w:tcBorders>
            <w:shd w:val="clear" w:color="auto" w:fill="auto"/>
            <w:noWrap/>
            <w:vAlign w:val="bottom"/>
            <w:hideMark/>
          </w:tcPr>
          <w:p w14:paraId="1E0F97EE"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c>
          <w:tcPr>
            <w:tcW w:w="248" w:type="pct"/>
            <w:tcBorders>
              <w:top w:val="single" w:sz="12" w:space="0" w:color="auto"/>
              <w:left w:val="nil"/>
              <w:bottom w:val="single" w:sz="12" w:space="0" w:color="auto"/>
              <w:right w:val="nil"/>
            </w:tcBorders>
            <w:shd w:val="clear" w:color="auto" w:fill="auto"/>
            <w:noWrap/>
            <w:vAlign w:val="bottom"/>
            <w:hideMark/>
          </w:tcPr>
          <w:p w14:paraId="574434BD"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c>
          <w:tcPr>
            <w:tcW w:w="619" w:type="pct"/>
            <w:tcBorders>
              <w:top w:val="single" w:sz="12" w:space="0" w:color="auto"/>
              <w:left w:val="nil"/>
              <w:bottom w:val="single" w:sz="12" w:space="0" w:color="auto"/>
              <w:right w:val="nil"/>
            </w:tcBorders>
            <w:shd w:val="clear" w:color="auto" w:fill="auto"/>
            <w:noWrap/>
            <w:vAlign w:val="bottom"/>
            <w:hideMark/>
          </w:tcPr>
          <w:p w14:paraId="6EA82819"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r>
      <w:tr w:rsidR="00DE6FE8" w:rsidRPr="00A45E8F" w14:paraId="1DCA5B5B" w14:textId="77777777" w:rsidTr="00DE6FE8">
        <w:trPr>
          <w:trHeight w:val="259"/>
        </w:trPr>
        <w:tc>
          <w:tcPr>
            <w:tcW w:w="2311" w:type="pct"/>
            <w:tcBorders>
              <w:top w:val="single" w:sz="12" w:space="0" w:color="auto"/>
              <w:left w:val="nil"/>
              <w:right w:val="nil"/>
            </w:tcBorders>
            <w:shd w:val="clear" w:color="auto" w:fill="auto"/>
            <w:noWrap/>
            <w:vAlign w:val="bottom"/>
            <w:hideMark/>
          </w:tcPr>
          <w:p w14:paraId="4C1C4D02" w14:textId="77777777" w:rsidR="00DE6FE8" w:rsidRPr="00A45E8F" w:rsidRDefault="00DE6FE8" w:rsidP="00DE6FE8">
            <w:pPr>
              <w:spacing w:after="0" w:line="240" w:lineRule="auto"/>
              <w:rPr>
                <w:rFonts w:ascii="Times New Roman" w:eastAsia="Times New Roman" w:hAnsi="Times New Roman" w:cs="Times New Roman"/>
                <w:i/>
                <w:color w:val="000000"/>
              </w:rPr>
            </w:pPr>
          </w:p>
        </w:tc>
        <w:tc>
          <w:tcPr>
            <w:tcW w:w="833" w:type="pct"/>
            <w:gridSpan w:val="2"/>
            <w:tcBorders>
              <w:top w:val="single" w:sz="12" w:space="0" w:color="auto"/>
              <w:left w:val="nil"/>
              <w:right w:val="nil"/>
            </w:tcBorders>
            <w:shd w:val="clear" w:color="auto" w:fill="auto"/>
            <w:noWrap/>
            <w:vAlign w:val="bottom"/>
            <w:hideMark/>
          </w:tcPr>
          <w:p w14:paraId="74C31DD7"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SPAC-IPOs</w:t>
            </w:r>
          </w:p>
        </w:tc>
        <w:tc>
          <w:tcPr>
            <w:tcW w:w="989" w:type="pct"/>
            <w:gridSpan w:val="2"/>
            <w:tcBorders>
              <w:top w:val="single" w:sz="12" w:space="0" w:color="auto"/>
              <w:left w:val="nil"/>
              <w:right w:val="nil"/>
            </w:tcBorders>
            <w:shd w:val="clear" w:color="auto" w:fill="auto"/>
            <w:noWrap/>
            <w:vAlign w:val="bottom"/>
            <w:hideMark/>
          </w:tcPr>
          <w:p w14:paraId="7C5CB252"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bCs/>
                <w:color w:val="000000"/>
              </w:rPr>
              <w:t>Non-SPAC-IPOs</w:t>
            </w:r>
          </w:p>
        </w:tc>
        <w:tc>
          <w:tcPr>
            <w:tcW w:w="248" w:type="pct"/>
            <w:tcBorders>
              <w:top w:val="single" w:sz="12" w:space="0" w:color="auto"/>
              <w:left w:val="nil"/>
              <w:right w:val="nil"/>
            </w:tcBorders>
            <w:shd w:val="clear" w:color="auto" w:fill="auto"/>
            <w:noWrap/>
            <w:vAlign w:val="bottom"/>
            <w:hideMark/>
          </w:tcPr>
          <w:p w14:paraId="0B31DF51"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c>
          <w:tcPr>
            <w:tcW w:w="619" w:type="pct"/>
            <w:tcBorders>
              <w:top w:val="single" w:sz="12" w:space="0" w:color="auto"/>
              <w:left w:val="nil"/>
              <w:right w:val="nil"/>
            </w:tcBorders>
            <w:shd w:val="clear" w:color="auto" w:fill="auto"/>
            <w:noWrap/>
            <w:vAlign w:val="bottom"/>
            <w:hideMark/>
          </w:tcPr>
          <w:p w14:paraId="1350CCB8"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Difference</w:t>
            </w:r>
          </w:p>
        </w:tc>
      </w:tr>
      <w:tr w:rsidR="00DE6FE8" w:rsidRPr="00A45E8F" w14:paraId="3A8973E4" w14:textId="77777777" w:rsidTr="00DE6FE8">
        <w:trPr>
          <w:trHeight w:hRule="exact" w:val="58"/>
        </w:trPr>
        <w:tc>
          <w:tcPr>
            <w:tcW w:w="2311" w:type="pct"/>
            <w:tcBorders>
              <w:top w:val="single" w:sz="12" w:space="0" w:color="auto"/>
              <w:left w:val="nil"/>
              <w:right w:val="nil"/>
            </w:tcBorders>
            <w:shd w:val="clear" w:color="auto" w:fill="auto"/>
            <w:noWrap/>
            <w:vAlign w:val="bottom"/>
          </w:tcPr>
          <w:p w14:paraId="771F617C" w14:textId="77777777" w:rsidR="00DE6FE8" w:rsidRPr="00A45E8F" w:rsidRDefault="00DE6FE8" w:rsidP="00DE6FE8">
            <w:pPr>
              <w:spacing w:after="0" w:line="240" w:lineRule="auto"/>
              <w:rPr>
                <w:rFonts w:ascii="Times New Roman" w:eastAsia="Times New Roman" w:hAnsi="Times New Roman" w:cs="Times New Roman"/>
                <w:i/>
                <w:color w:val="000000"/>
              </w:rPr>
            </w:pPr>
          </w:p>
        </w:tc>
        <w:tc>
          <w:tcPr>
            <w:tcW w:w="833" w:type="pct"/>
            <w:gridSpan w:val="2"/>
            <w:tcBorders>
              <w:top w:val="single" w:sz="12" w:space="0" w:color="auto"/>
              <w:left w:val="nil"/>
              <w:right w:val="nil"/>
            </w:tcBorders>
            <w:shd w:val="clear" w:color="auto" w:fill="auto"/>
            <w:noWrap/>
            <w:vAlign w:val="bottom"/>
          </w:tcPr>
          <w:p w14:paraId="09EBD16E" w14:textId="77777777" w:rsidR="00DE6FE8" w:rsidRPr="00A45E8F" w:rsidRDefault="00DE6FE8" w:rsidP="00DE6FE8">
            <w:pPr>
              <w:spacing w:after="0" w:line="240" w:lineRule="auto"/>
              <w:jc w:val="center"/>
              <w:rPr>
                <w:rFonts w:ascii="Times New Roman" w:eastAsia="Times New Roman" w:hAnsi="Times New Roman" w:cs="Times New Roman"/>
                <w:color w:val="000000"/>
                <w:u w:val="single"/>
              </w:rPr>
            </w:pPr>
          </w:p>
        </w:tc>
        <w:tc>
          <w:tcPr>
            <w:tcW w:w="989" w:type="pct"/>
            <w:gridSpan w:val="2"/>
            <w:tcBorders>
              <w:top w:val="single" w:sz="12" w:space="0" w:color="auto"/>
              <w:left w:val="nil"/>
              <w:right w:val="nil"/>
            </w:tcBorders>
            <w:shd w:val="clear" w:color="auto" w:fill="auto"/>
            <w:noWrap/>
            <w:vAlign w:val="bottom"/>
          </w:tcPr>
          <w:p w14:paraId="36CE1458" w14:textId="77777777" w:rsidR="00DE6FE8" w:rsidRPr="00A45E8F" w:rsidRDefault="00DE6FE8" w:rsidP="00DE6FE8">
            <w:pPr>
              <w:spacing w:after="0" w:line="240" w:lineRule="auto"/>
              <w:jc w:val="center"/>
              <w:rPr>
                <w:rFonts w:ascii="Times New Roman" w:eastAsia="Times New Roman" w:hAnsi="Times New Roman" w:cs="Times New Roman"/>
                <w:bCs/>
                <w:color w:val="000000"/>
                <w:u w:val="single"/>
              </w:rPr>
            </w:pPr>
          </w:p>
        </w:tc>
        <w:tc>
          <w:tcPr>
            <w:tcW w:w="248" w:type="pct"/>
            <w:tcBorders>
              <w:top w:val="single" w:sz="12" w:space="0" w:color="auto"/>
              <w:left w:val="nil"/>
              <w:right w:val="nil"/>
            </w:tcBorders>
            <w:shd w:val="clear" w:color="auto" w:fill="auto"/>
            <w:noWrap/>
            <w:vAlign w:val="bottom"/>
          </w:tcPr>
          <w:p w14:paraId="1AEF5454"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619" w:type="pct"/>
            <w:tcBorders>
              <w:top w:val="single" w:sz="12" w:space="0" w:color="auto"/>
              <w:left w:val="nil"/>
              <w:right w:val="nil"/>
            </w:tcBorders>
            <w:shd w:val="clear" w:color="auto" w:fill="auto"/>
            <w:noWrap/>
            <w:vAlign w:val="bottom"/>
          </w:tcPr>
          <w:p w14:paraId="6A82E49E" w14:textId="77777777" w:rsidR="00DE6FE8" w:rsidRPr="00A45E8F" w:rsidRDefault="00DE6FE8" w:rsidP="00DE6FE8">
            <w:pPr>
              <w:spacing w:after="0" w:line="240" w:lineRule="auto"/>
              <w:rPr>
                <w:rFonts w:ascii="Times New Roman" w:eastAsia="Times New Roman" w:hAnsi="Times New Roman" w:cs="Times New Roman"/>
                <w:color w:val="000000"/>
                <w:u w:val="single"/>
              </w:rPr>
            </w:pPr>
          </w:p>
        </w:tc>
      </w:tr>
      <w:tr w:rsidR="00DE6FE8" w:rsidRPr="00A45E8F" w14:paraId="2DBA7418" w14:textId="77777777" w:rsidTr="00DE6FE8">
        <w:trPr>
          <w:trHeight w:val="259"/>
        </w:trPr>
        <w:tc>
          <w:tcPr>
            <w:tcW w:w="2311" w:type="pct"/>
            <w:tcBorders>
              <w:left w:val="nil"/>
              <w:right w:val="nil"/>
            </w:tcBorders>
            <w:shd w:val="clear" w:color="auto" w:fill="auto"/>
            <w:noWrap/>
            <w:vAlign w:val="bottom"/>
            <w:hideMark/>
          </w:tcPr>
          <w:p w14:paraId="462FBA49"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NYSE</w:t>
            </w:r>
          </w:p>
        </w:tc>
        <w:tc>
          <w:tcPr>
            <w:tcW w:w="833" w:type="pct"/>
            <w:gridSpan w:val="2"/>
            <w:tcBorders>
              <w:left w:val="nil"/>
              <w:right w:val="nil"/>
            </w:tcBorders>
            <w:shd w:val="clear" w:color="auto" w:fill="auto"/>
            <w:noWrap/>
            <w:vAlign w:val="bottom"/>
            <w:hideMark/>
          </w:tcPr>
          <w:p w14:paraId="300A4ECC"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0.15</w:t>
            </w:r>
          </w:p>
        </w:tc>
        <w:tc>
          <w:tcPr>
            <w:tcW w:w="989" w:type="pct"/>
            <w:gridSpan w:val="2"/>
            <w:tcBorders>
              <w:left w:val="nil"/>
              <w:right w:val="nil"/>
            </w:tcBorders>
            <w:shd w:val="clear" w:color="auto" w:fill="auto"/>
            <w:noWrap/>
            <w:vAlign w:val="bottom"/>
            <w:hideMark/>
          </w:tcPr>
          <w:p w14:paraId="167DBE81"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0.3</w:t>
            </w:r>
            <w:r>
              <w:rPr>
                <w:rFonts w:ascii="Times New Roman" w:eastAsia="Times New Roman" w:hAnsi="Times New Roman" w:cs="Times New Roman"/>
                <w:color w:val="000000"/>
              </w:rPr>
              <w:t>3</w:t>
            </w:r>
          </w:p>
        </w:tc>
        <w:tc>
          <w:tcPr>
            <w:tcW w:w="248" w:type="pct"/>
            <w:tcBorders>
              <w:left w:val="nil"/>
              <w:bottom w:val="nil"/>
              <w:right w:val="nil"/>
            </w:tcBorders>
            <w:shd w:val="clear" w:color="auto" w:fill="auto"/>
            <w:noWrap/>
            <w:vAlign w:val="bottom"/>
            <w:hideMark/>
          </w:tcPr>
          <w:p w14:paraId="71021EE5"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619" w:type="pct"/>
            <w:tcBorders>
              <w:left w:val="nil"/>
              <w:bottom w:val="nil"/>
              <w:right w:val="nil"/>
            </w:tcBorders>
            <w:shd w:val="clear" w:color="auto" w:fill="auto"/>
            <w:noWrap/>
            <w:vAlign w:val="bottom"/>
            <w:hideMark/>
          </w:tcPr>
          <w:p w14:paraId="796834B1"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-0.1</w:t>
            </w:r>
            <w:r>
              <w:rPr>
                <w:rFonts w:ascii="Times New Roman" w:eastAsia="Times New Roman" w:hAnsi="Times New Roman" w:cs="Times New Roman"/>
                <w:color w:val="000000"/>
              </w:rPr>
              <w:t>8</w:t>
            </w:r>
            <w:r w:rsidRPr="00A45E8F">
              <w:rPr>
                <w:rFonts w:ascii="Times New Roman" w:eastAsia="Times New Roman" w:hAnsi="Times New Roman" w:cs="Times New Roman"/>
                <w:color w:val="000000"/>
              </w:rPr>
              <w:t>***</w:t>
            </w:r>
          </w:p>
        </w:tc>
      </w:tr>
      <w:tr w:rsidR="00DE6FE8" w:rsidRPr="00A45E8F" w14:paraId="7BA1FF68" w14:textId="77777777" w:rsidTr="00DE6FE8">
        <w:trPr>
          <w:trHeight w:val="259"/>
        </w:trPr>
        <w:tc>
          <w:tcPr>
            <w:tcW w:w="2311" w:type="pct"/>
            <w:tcBorders>
              <w:left w:val="nil"/>
              <w:right w:val="nil"/>
            </w:tcBorders>
            <w:shd w:val="clear" w:color="auto" w:fill="auto"/>
            <w:noWrap/>
            <w:vAlign w:val="bottom"/>
          </w:tcPr>
          <w:p w14:paraId="6504980E"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NASDAQ</w:t>
            </w:r>
          </w:p>
        </w:tc>
        <w:tc>
          <w:tcPr>
            <w:tcW w:w="833" w:type="pct"/>
            <w:gridSpan w:val="2"/>
            <w:tcBorders>
              <w:left w:val="nil"/>
              <w:right w:val="nil"/>
            </w:tcBorders>
            <w:shd w:val="clear" w:color="auto" w:fill="auto"/>
            <w:noWrap/>
            <w:vAlign w:val="bottom"/>
          </w:tcPr>
          <w:p w14:paraId="7C4A3B08"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0.79</w:t>
            </w:r>
          </w:p>
        </w:tc>
        <w:tc>
          <w:tcPr>
            <w:tcW w:w="989" w:type="pct"/>
            <w:gridSpan w:val="2"/>
            <w:tcBorders>
              <w:left w:val="nil"/>
              <w:right w:val="nil"/>
            </w:tcBorders>
            <w:shd w:val="clear" w:color="auto" w:fill="auto"/>
            <w:noWrap/>
            <w:vAlign w:val="bottom"/>
          </w:tcPr>
          <w:p w14:paraId="46C79BF7"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0.6</w:t>
            </w:r>
            <w:r>
              <w:rPr>
                <w:rFonts w:ascii="Times New Roman" w:eastAsia="Times New Roman" w:hAnsi="Times New Roman" w:cs="Times New Roman"/>
                <w:color w:val="000000"/>
              </w:rPr>
              <w:t>4</w:t>
            </w:r>
          </w:p>
        </w:tc>
        <w:tc>
          <w:tcPr>
            <w:tcW w:w="248" w:type="pct"/>
            <w:tcBorders>
              <w:left w:val="nil"/>
              <w:bottom w:val="nil"/>
              <w:right w:val="nil"/>
            </w:tcBorders>
            <w:shd w:val="clear" w:color="auto" w:fill="auto"/>
            <w:noWrap/>
            <w:vAlign w:val="bottom"/>
          </w:tcPr>
          <w:p w14:paraId="72B72885"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619" w:type="pct"/>
            <w:tcBorders>
              <w:left w:val="nil"/>
              <w:bottom w:val="nil"/>
              <w:right w:val="nil"/>
            </w:tcBorders>
            <w:shd w:val="clear" w:color="auto" w:fill="auto"/>
            <w:noWrap/>
            <w:vAlign w:val="bottom"/>
          </w:tcPr>
          <w:p w14:paraId="779A75B1"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0.1</w:t>
            </w:r>
            <w:r>
              <w:rPr>
                <w:rFonts w:ascii="Times New Roman" w:eastAsia="Times New Roman" w:hAnsi="Times New Roman" w:cs="Times New Roman"/>
                <w:color w:val="000000"/>
              </w:rPr>
              <w:t>5</w:t>
            </w:r>
            <w:r w:rsidRPr="00A45E8F">
              <w:rPr>
                <w:rFonts w:ascii="Times New Roman" w:eastAsia="Times New Roman" w:hAnsi="Times New Roman" w:cs="Times New Roman"/>
                <w:color w:val="000000"/>
              </w:rPr>
              <w:t>***</w:t>
            </w:r>
          </w:p>
        </w:tc>
      </w:tr>
      <w:tr w:rsidR="00DE6FE8" w:rsidRPr="00A45E8F" w14:paraId="79099D6F" w14:textId="77777777" w:rsidTr="00DE6FE8">
        <w:trPr>
          <w:trHeight w:val="259"/>
        </w:trPr>
        <w:tc>
          <w:tcPr>
            <w:tcW w:w="2311" w:type="pct"/>
            <w:tcBorders>
              <w:left w:val="nil"/>
              <w:right w:val="nil"/>
            </w:tcBorders>
            <w:shd w:val="clear" w:color="auto" w:fill="auto"/>
            <w:noWrap/>
            <w:vAlign w:val="bottom"/>
          </w:tcPr>
          <w:p w14:paraId="10D03F95"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OTC</w:t>
            </w:r>
          </w:p>
        </w:tc>
        <w:tc>
          <w:tcPr>
            <w:tcW w:w="833" w:type="pct"/>
            <w:gridSpan w:val="2"/>
            <w:tcBorders>
              <w:left w:val="nil"/>
              <w:right w:val="nil"/>
            </w:tcBorders>
            <w:shd w:val="clear" w:color="auto" w:fill="auto"/>
            <w:noWrap/>
            <w:vAlign w:val="bottom"/>
          </w:tcPr>
          <w:p w14:paraId="2023E1EA"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0.06</w:t>
            </w:r>
          </w:p>
        </w:tc>
        <w:tc>
          <w:tcPr>
            <w:tcW w:w="989" w:type="pct"/>
            <w:gridSpan w:val="2"/>
            <w:tcBorders>
              <w:left w:val="nil"/>
              <w:right w:val="nil"/>
            </w:tcBorders>
            <w:shd w:val="clear" w:color="auto" w:fill="auto"/>
            <w:noWrap/>
            <w:vAlign w:val="bottom"/>
          </w:tcPr>
          <w:p w14:paraId="1B9E9CFC"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sidRPr="00A45E8F">
              <w:rPr>
                <w:rFonts w:ascii="Times New Roman" w:eastAsia="Times New Roman" w:hAnsi="Times New Roman" w:cs="Times New Roman"/>
                <w:color w:val="000000"/>
              </w:rPr>
              <w:t>0.03</w:t>
            </w:r>
          </w:p>
        </w:tc>
        <w:tc>
          <w:tcPr>
            <w:tcW w:w="248" w:type="pct"/>
            <w:tcBorders>
              <w:left w:val="nil"/>
              <w:bottom w:val="nil"/>
              <w:right w:val="nil"/>
            </w:tcBorders>
            <w:shd w:val="clear" w:color="auto" w:fill="auto"/>
            <w:noWrap/>
            <w:vAlign w:val="bottom"/>
          </w:tcPr>
          <w:p w14:paraId="2EF93442"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619" w:type="pct"/>
            <w:tcBorders>
              <w:left w:val="nil"/>
              <w:bottom w:val="nil"/>
              <w:right w:val="nil"/>
            </w:tcBorders>
            <w:shd w:val="clear" w:color="auto" w:fill="auto"/>
            <w:noWrap/>
            <w:vAlign w:val="bottom"/>
          </w:tcPr>
          <w:p w14:paraId="2956911C"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0.03</w:t>
            </w:r>
          </w:p>
        </w:tc>
      </w:tr>
      <w:tr w:rsidR="00DE6FE8" w:rsidRPr="00A45E8F" w14:paraId="254D7DA8" w14:textId="77777777" w:rsidTr="00DE6FE8">
        <w:trPr>
          <w:trHeight w:hRule="exact" w:val="58"/>
        </w:trPr>
        <w:tc>
          <w:tcPr>
            <w:tcW w:w="2311" w:type="pct"/>
            <w:tcBorders>
              <w:left w:val="nil"/>
              <w:right w:val="nil"/>
            </w:tcBorders>
            <w:shd w:val="clear" w:color="auto" w:fill="auto"/>
            <w:noWrap/>
            <w:vAlign w:val="bottom"/>
          </w:tcPr>
          <w:p w14:paraId="00E9A95C"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833" w:type="pct"/>
            <w:gridSpan w:val="2"/>
            <w:tcBorders>
              <w:left w:val="nil"/>
              <w:right w:val="nil"/>
            </w:tcBorders>
            <w:shd w:val="clear" w:color="auto" w:fill="auto"/>
            <w:noWrap/>
            <w:vAlign w:val="bottom"/>
          </w:tcPr>
          <w:p w14:paraId="1F12CF9E"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989" w:type="pct"/>
            <w:gridSpan w:val="2"/>
            <w:tcBorders>
              <w:left w:val="nil"/>
              <w:right w:val="nil"/>
            </w:tcBorders>
            <w:shd w:val="clear" w:color="auto" w:fill="auto"/>
            <w:noWrap/>
            <w:vAlign w:val="bottom"/>
          </w:tcPr>
          <w:p w14:paraId="2FB3A5C9"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248" w:type="pct"/>
            <w:tcBorders>
              <w:left w:val="nil"/>
              <w:bottom w:val="nil"/>
              <w:right w:val="nil"/>
            </w:tcBorders>
            <w:shd w:val="clear" w:color="auto" w:fill="auto"/>
            <w:noWrap/>
            <w:vAlign w:val="bottom"/>
          </w:tcPr>
          <w:p w14:paraId="19EBD6A4"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619" w:type="pct"/>
            <w:tcBorders>
              <w:left w:val="nil"/>
              <w:bottom w:val="nil"/>
              <w:right w:val="nil"/>
            </w:tcBorders>
            <w:shd w:val="clear" w:color="auto" w:fill="auto"/>
            <w:noWrap/>
            <w:vAlign w:val="bottom"/>
          </w:tcPr>
          <w:p w14:paraId="07961FC5" w14:textId="77777777" w:rsidR="00DE6FE8" w:rsidRPr="00A45E8F" w:rsidRDefault="00DE6FE8" w:rsidP="00DE6FE8">
            <w:pPr>
              <w:spacing w:after="0" w:line="240" w:lineRule="auto"/>
              <w:rPr>
                <w:rFonts w:ascii="Times New Roman" w:eastAsia="Times New Roman" w:hAnsi="Times New Roman" w:cs="Times New Roman"/>
                <w:color w:val="000000"/>
              </w:rPr>
            </w:pPr>
          </w:p>
        </w:tc>
      </w:tr>
      <w:tr w:rsidR="00DE6FE8" w:rsidRPr="00A45E8F" w14:paraId="19FF03B3" w14:textId="77777777" w:rsidTr="00DE6FE8">
        <w:trPr>
          <w:trHeight w:hRule="exact" w:val="72"/>
        </w:trPr>
        <w:tc>
          <w:tcPr>
            <w:tcW w:w="2311" w:type="pct"/>
            <w:tcBorders>
              <w:left w:val="nil"/>
              <w:bottom w:val="single" w:sz="12" w:space="0" w:color="auto"/>
              <w:right w:val="nil"/>
            </w:tcBorders>
            <w:shd w:val="clear" w:color="auto" w:fill="auto"/>
            <w:noWrap/>
            <w:vAlign w:val="bottom"/>
          </w:tcPr>
          <w:p w14:paraId="28DA50E4"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833" w:type="pct"/>
            <w:gridSpan w:val="2"/>
            <w:tcBorders>
              <w:left w:val="nil"/>
              <w:bottom w:val="single" w:sz="12" w:space="0" w:color="auto"/>
              <w:right w:val="nil"/>
            </w:tcBorders>
            <w:shd w:val="clear" w:color="auto" w:fill="auto"/>
            <w:noWrap/>
            <w:vAlign w:val="bottom"/>
          </w:tcPr>
          <w:p w14:paraId="5A5DF529"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989" w:type="pct"/>
            <w:gridSpan w:val="2"/>
            <w:tcBorders>
              <w:left w:val="nil"/>
              <w:bottom w:val="single" w:sz="12" w:space="0" w:color="auto"/>
              <w:right w:val="nil"/>
            </w:tcBorders>
            <w:shd w:val="clear" w:color="auto" w:fill="auto"/>
            <w:noWrap/>
            <w:vAlign w:val="bottom"/>
          </w:tcPr>
          <w:p w14:paraId="6192FC2C"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248" w:type="pct"/>
            <w:tcBorders>
              <w:left w:val="nil"/>
              <w:bottom w:val="single" w:sz="12" w:space="0" w:color="auto"/>
              <w:right w:val="nil"/>
            </w:tcBorders>
            <w:shd w:val="clear" w:color="auto" w:fill="auto"/>
            <w:noWrap/>
            <w:vAlign w:val="bottom"/>
          </w:tcPr>
          <w:p w14:paraId="5EE11713"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619" w:type="pct"/>
            <w:tcBorders>
              <w:left w:val="nil"/>
              <w:bottom w:val="single" w:sz="12" w:space="0" w:color="auto"/>
              <w:right w:val="nil"/>
            </w:tcBorders>
            <w:shd w:val="clear" w:color="auto" w:fill="auto"/>
            <w:noWrap/>
            <w:vAlign w:val="bottom"/>
          </w:tcPr>
          <w:p w14:paraId="7C3F0DBD" w14:textId="77777777" w:rsidR="00DE6FE8" w:rsidRPr="00A45E8F" w:rsidRDefault="00DE6FE8" w:rsidP="00DE6FE8">
            <w:pPr>
              <w:spacing w:after="0" w:line="240" w:lineRule="auto"/>
              <w:rPr>
                <w:rFonts w:ascii="Times New Roman" w:eastAsia="Times New Roman" w:hAnsi="Times New Roman" w:cs="Times New Roman"/>
                <w:color w:val="000000"/>
              </w:rPr>
            </w:pPr>
          </w:p>
        </w:tc>
      </w:tr>
      <w:tr w:rsidR="00DE6FE8" w:rsidRPr="00A45E8F" w14:paraId="31A2CC99" w14:textId="77777777" w:rsidTr="00DE6FE8">
        <w:trPr>
          <w:trHeight w:val="259"/>
        </w:trPr>
        <w:tc>
          <w:tcPr>
            <w:tcW w:w="4381" w:type="pct"/>
            <w:gridSpan w:val="6"/>
            <w:tcBorders>
              <w:top w:val="single" w:sz="8" w:space="0" w:color="auto"/>
              <w:left w:val="nil"/>
              <w:bottom w:val="single" w:sz="4" w:space="0" w:color="auto"/>
              <w:right w:val="nil"/>
            </w:tcBorders>
            <w:shd w:val="clear" w:color="auto" w:fill="auto"/>
            <w:noWrap/>
            <w:vAlign w:val="bottom"/>
            <w:hideMark/>
          </w:tcPr>
          <w:p w14:paraId="673D9D34"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Panel B: Logistic regression</w:t>
            </w:r>
            <w:r>
              <w:rPr>
                <w:rFonts w:ascii="Times New Roman" w:eastAsia="Times New Roman" w:hAnsi="Times New Roman" w:cs="Times New Roman"/>
                <w:color w:val="000000"/>
              </w:rPr>
              <w:t>s</w:t>
            </w:r>
            <w:r w:rsidRPr="00A45E8F">
              <w:rPr>
                <w:rFonts w:ascii="Times New Roman" w:eastAsia="Times New Roman" w:hAnsi="Times New Roman" w:cs="Times New Roman"/>
                <w:color w:val="000000"/>
              </w:rPr>
              <w:t xml:space="preserve"> estimating the likelihood of </w:t>
            </w:r>
            <w:r>
              <w:rPr>
                <w:rFonts w:ascii="Times New Roman" w:eastAsia="Times New Roman" w:hAnsi="Times New Roman" w:cs="Times New Roman"/>
                <w:color w:val="000000"/>
              </w:rPr>
              <w:t xml:space="preserve">not listing on the </w:t>
            </w:r>
            <w:r w:rsidRPr="00A45E8F">
              <w:rPr>
                <w:rFonts w:ascii="Times New Roman" w:eastAsia="Times New Roman" w:hAnsi="Times New Roman" w:cs="Times New Roman"/>
                <w:color w:val="000000"/>
              </w:rPr>
              <w:t>NYSE</w:t>
            </w:r>
            <w:r>
              <w:rPr>
                <w:rFonts w:ascii="Times New Roman" w:eastAsia="Times New Roman" w:hAnsi="Times New Roman" w:cs="Times New Roman"/>
                <w:color w:val="000000"/>
              </w:rPr>
              <w:t xml:space="preserve"> </w:t>
            </w:r>
          </w:p>
        </w:tc>
        <w:tc>
          <w:tcPr>
            <w:tcW w:w="619" w:type="pct"/>
            <w:tcBorders>
              <w:top w:val="single" w:sz="12" w:space="0" w:color="auto"/>
              <w:left w:val="nil"/>
              <w:bottom w:val="single" w:sz="4" w:space="0" w:color="auto"/>
              <w:right w:val="nil"/>
            </w:tcBorders>
            <w:shd w:val="clear" w:color="auto" w:fill="auto"/>
            <w:noWrap/>
            <w:vAlign w:val="bottom"/>
            <w:hideMark/>
          </w:tcPr>
          <w:p w14:paraId="41C4B00D"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r>
      <w:tr w:rsidR="00DE6FE8" w:rsidRPr="00A45E8F" w14:paraId="0482393B" w14:textId="77777777" w:rsidTr="00DE6FE8">
        <w:trPr>
          <w:trHeight w:val="259"/>
        </w:trPr>
        <w:tc>
          <w:tcPr>
            <w:tcW w:w="2311" w:type="pct"/>
            <w:tcBorders>
              <w:top w:val="single" w:sz="12" w:space="0" w:color="auto"/>
              <w:left w:val="nil"/>
              <w:bottom w:val="single" w:sz="12" w:space="0" w:color="auto"/>
              <w:right w:val="nil"/>
            </w:tcBorders>
            <w:shd w:val="clear" w:color="auto" w:fill="auto"/>
            <w:noWrap/>
            <w:vAlign w:val="bottom"/>
          </w:tcPr>
          <w:p w14:paraId="4D8FD64F"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1273" w:type="pct"/>
            <w:gridSpan w:val="3"/>
            <w:tcBorders>
              <w:top w:val="single" w:sz="12" w:space="0" w:color="auto"/>
              <w:left w:val="nil"/>
              <w:bottom w:val="single" w:sz="12" w:space="0" w:color="auto"/>
              <w:right w:val="nil"/>
            </w:tcBorders>
            <w:shd w:val="clear" w:color="auto" w:fill="auto"/>
            <w:noWrap/>
            <w:vAlign w:val="bottom"/>
          </w:tcPr>
          <w:p w14:paraId="221D6E8A"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Proceeds Match</w:t>
            </w:r>
          </w:p>
        </w:tc>
        <w:tc>
          <w:tcPr>
            <w:tcW w:w="1416" w:type="pct"/>
            <w:gridSpan w:val="3"/>
            <w:tcBorders>
              <w:top w:val="single" w:sz="12" w:space="0" w:color="auto"/>
              <w:left w:val="nil"/>
              <w:bottom w:val="single" w:sz="12" w:space="0" w:color="auto"/>
              <w:right w:val="nil"/>
            </w:tcBorders>
            <w:shd w:val="clear" w:color="auto" w:fill="auto"/>
            <w:noWrap/>
            <w:vAlign w:val="bottom"/>
          </w:tcPr>
          <w:p w14:paraId="5E2675CE" w14:textId="77777777" w:rsidR="00DE6FE8" w:rsidRPr="00A45E8F"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Entropy Balanced</w:t>
            </w:r>
          </w:p>
        </w:tc>
      </w:tr>
      <w:tr w:rsidR="00DE6FE8" w:rsidRPr="00A45E8F" w14:paraId="5BCBB936" w14:textId="77777777" w:rsidTr="00DE6FE8">
        <w:trPr>
          <w:trHeight w:val="259"/>
        </w:trPr>
        <w:tc>
          <w:tcPr>
            <w:tcW w:w="2311" w:type="pct"/>
            <w:tcBorders>
              <w:left w:val="nil"/>
              <w:bottom w:val="single" w:sz="12" w:space="0" w:color="auto"/>
              <w:right w:val="nil"/>
            </w:tcBorders>
            <w:shd w:val="clear" w:color="auto" w:fill="auto"/>
            <w:noWrap/>
            <w:vAlign w:val="bottom"/>
            <w:hideMark/>
          </w:tcPr>
          <w:p w14:paraId="12DA344C"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Variable</w:t>
            </w:r>
          </w:p>
        </w:tc>
        <w:tc>
          <w:tcPr>
            <w:tcW w:w="833" w:type="pct"/>
            <w:gridSpan w:val="2"/>
            <w:tcBorders>
              <w:left w:val="nil"/>
              <w:bottom w:val="single" w:sz="12" w:space="0" w:color="auto"/>
              <w:right w:val="nil"/>
            </w:tcBorders>
            <w:shd w:val="clear" w:color="auto" w:fill="auto"/>
            <w:noWrap/>
            <w:vAlign w:val="bottom"/>
            <w:hideMark/>
          </w:tcPr>
          <w:p w14:paraId="5815135C"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Estimate</w:t>
            </w:r>
          </w:p>
        </w:tc>
        <w:tc>
          <w:tcPr>
            <w:tcW w:w="440" w:type="pct"/>
            <w:tcBorders>
              <w:left w:val="nil"/>
              <w:bottom w:val="single" w:sz="12" w:space="0" w:color="auto"/>
              <w:right w:val="nil"/>
            </w:tcBorders>
            <w:shd w:val="clear" w:color="auto" w:fill="auto"/>
            <w:noWrap/>
            <w:vAlign w:val="bottom"/>
            <w:hideMark/>
          </w:tcPr>
          <w:p w14:paraId="3B94A2C3"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χ</w:t>
            </w:r>
            <w:r w:rsidRPr="00A45E8F">
              <w:rPr>
                <w:rFonts w:ascii="Times New Roman" w:eastAsia="Times New Roman" w:hAnsi="Times New Roman" w:cs="Times New Roman"/>
                <w:color w:val="000000"/>
                <w:vertAlign w:val="superscript"/>
              </w:rPr>
              <w:t>2</w:t>
            </w:r>
            <w:r w:rsidRPr="00A45E8F">
              <w:rPr>
                <w:rFonts w:ascii="Times New Roman" w:eastAsia="Times New Roman" w:hAnsi="Times New Roman" w:cs="Times New Roman"/>
                <w:color w:val="000000"/>
              </w:rPr>
              <w:t>-stat</w:t>
            </w:r>
          </w:p>
        </w:tc>
        <w:tc>
          <w:tcPr>
            <w:tcW w:w="797" w:type="pct"/>
            <w:gridSpan w:val="2"/>
            <w:tcBorders>
              <w:left w:val="nil"/>
              <w:bottom w:val="single" w:sz="12" w:space="0" w:color="auto"/>
              <w:right w:val="nil"/>
            </w:tcBorders>
            <w:shd w:val="clear" w:color="auto" w:fill="auto"/>
            <w:noWrap/>
            <w:vAlign w:val="bottom"/>
            <w:hideMark/>
          </w:tcPr>
          <w:p w14:paraId="5034F3B9"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Estimate</w:t>
            </w:r>
          </w:p>
        </w:tc>
        <w:tc>
          <w:tcPr>
            <w:tcW w:w="619" w:type="pct"/>
            <w:tcBorders>
              <w:left w:val="nil"/>
              <w:bottom w:val="single" w:sz="12" w:space="0" w:color="auto"/>
              <w:right w:val="nil"/>
            </w:tcBorders>
            <w:shd w:val="clear" w:color="auto" w:fill="auto"/>
            <w:noWrap/>
            <w:vAlign w:val="bottom"/>
            <w:hideMark/>
          </w:tcPr>
          <w:p w14:paraId="1A76D4BB"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χ</w:t>
            </w:r>
            <w:r w:rsidRPr="00A45E8F">
              <w:rPr>
                <w:rFonts w:ascii="Times New Roman" w:eastAsia="Times New Roman" w:hAnsi="Times New Roman" w:cs="Times New Roman"/>
                <w:color w:val="000000"/>
                <w:vertAlign w:val="superscript"/>
              </w:rPr>
              <w:t>2</w:t>
            </w:r>
            <w:r w:rsidRPr="00A45E8F">
              <w:rPr>
                <w:rFonts w:ascii="Times New Roman" w:eastAsia="Times New Roman" w:hAnsi="Times New Roman" w:cs="Times New Roman"/>
                <w:color w:val="000000"/>
              </w:rPr>
              <w:t>-stat</w:t>
            </w:r>
          </w:p>
        </w:tc>
      </w:tr>
      <w:tr w:rsidR="00DE6FE8" w:rsidRPr="00A45E8F" w14:paraId="53A0CED9" w14:textId="77777777" w:rsidTr="00DE6FE8">
        <w:trPr>
          <w:trHeight w:hRule="exact" w:val="144"/>
        </w:trPr>
        <w:tc>
          <w:tcPr>
            <w:tcW w:w="2311" w:type="pct"/>
            <w:tcBorders>
              <w:left w:val="nil"/>
              <w:bottom w:val="nil"/>
              <w:right w:val="nil"/>
            </w:tcBorders>
            <w:shd w:val="clear" w:color="auto" w:fill="auto"/>
            <w:noWrap/>
            <w:vAlign w:val="bottom"/>
          </w:tcPr>
          <w:p w14:paraId="318D3E0F"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833" w:type="pct"/>
            <w:gridSpan w:val="2"/>
            <w:tcBorders>
              <w:left w:val="nil"/>
              <w:bottom w:val="nil"/>
              <w:right w:val="nil"/>
            </w:tcBorders>
            <w:shd w:val="clear" w:color="auto" w:fill="auto"/>
            <w:noWrap/>
            <w:vAlign w:val="bottom"/>
          </w:tcPr>
          <w:p w14:paraId="12929F71"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440" w:type="pct"/>
            <w:tcBorders>
              <w:left w:val="nil"/>
              <w:bottom w:val="nil"/>
              <w:right w:val="nil"/>
            </w:tcBorders>
            <w:shd w:val="clear" w:color="auto" w:fill="auto"/>
            <w:noWrap/>
            <w:vAlign w:val="bottom"/>
          </w:tcPr>
          <w:p w14:paraId="1DFB6B4C"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797" w:type="pct"/>
            <w:gridSpan w:val="2"/>
            <w:tcBorders>
              <w:left w:val="nil"/>
              <w:bottom w:val="nil"/>
              <w:right w:val="nil"/>
            </w:tcBorders>
            <w:shd w:val="clear" w:color="auto" w:fill="auto"/>
            <w:noWrap/>
            <w:vAlign w:val="bottom"/>
          </w:tcPr>
          <w:p w14:paraId="515013C2"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619" w:type="pct"/>
            <w:tcBorders>
              <w:left w:val="nil"/>
              <w:bottom w:val="nil"/>
              <w:right w:val="nil"/>
            </w:tcBorders>
            <w:shd w:val="clear" w:color="auto" w:fill="auto"/>
            <w:noWrap/>
            <w:vAlign w:val="bottom"/>
          </w:tcPr>
          <w:p w14:paraId="0812C874" w14:textId="77777777" w:rsidR="00DE6FE8" w:rsidRPr="00A45E8F" w:rsidRDefault="00DE6FE8" w:rsidP="00DE6FE8">
            <w:pPr>
              <w:spacing w:after="0" w:line="240" w:lineRule="auto"/>
              <w:rPr>
                <w:rFonts w:ascii="Times New Roman" w:eastAsia="Times New Roman" w:hAnsi="Times New Roman" w:cs="Times New Roman"/>
                <w:color w:val="000000"/>
              </w:rPr>
            </w:pPr>
          </w:p>
        </w:tc>
      </w:tr>
      <w:tr w:rsidR="00DE6FE8" w:rsidRPr="00A45E8F" w14:paraId="70509033" w14:textId="77777777" w:rsidTr="00DE6FE8">
        <w:trPr>
          <w:trHeight w:val="259"/>
        </w:trPr>
        <w:tc>
          <w:tcPr>
            <w:tcW w:w="2311" w:type="pct"/>
            <w:tcBorders>
              <w:left w:val="nil"/>
              <w:bottom w:val="nil"/>
              <w:right w:val="nil"/>
            </w:tcBorders>
            <w:shd w:val="clear" w:color="auto" w:fill="auto"/>
            <w:noWrap/>
            <w:vAlign w:val="bottom"/>
            <w:hideMark/>
          </w:tcPr>
          <w:p w14:paraId="5B2C4A53"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Intercept</w:t>
            </w:r>
          </w:p>
        </w:tc>
        <w:tc>
          <w:tcPr>
            <w:tcW w:w="833" w:type="pct"/>
            <w:gridSpan w:val="2"/>
            <w:tcBorders>
              <w:left w:val="nil"/>
              <w:bottom w:val="nil"/>
              <w:right w:val="nil"/>
            </w:tcBorders>
            <w:shd w:val="clear" w:color="auto" w:fill="auto"/>
            <w:noWrap/>
            <w:vAlign w:val="bottom"/>
            <w:hideMark/>
          </w:tcPr>
          <w:p w14:paraId="4D2C36C8"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3.800***</w:t>
            </w:r>
          </w:p>
        </w:tc>
        <w:tc>
          <w:tcPr>
            <w:tcW w:w="440" w:type="pct"/>
            <w:tcBorders>
              <w:left w:val="nil"/>
              <w:bottom w:val="nil"/>
              <w:right w:val="nil"/>
            </w:tcBorders>
            <w:shd w:val="clear" w:color="auto" w:fill="auto"/>
            <w:noWrap/>
            <w:vAlign w:val="bottom"/>
            <w:hideMark/>
          </w:tcPr>
          <w:p w14:paraId="343E6E53"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6.98     </w:t>
            </w:r>
          </w:p>
        </w:tc>
        <w:tc>
          <w:tcPr>
            <w:tcW w:w="797" w:type="pct"/>
            <w:gridSpan w:val="2"/>
            <w:tcBorders>
              <w:left w:val="nil"/>
              <w:bottom w:val="nil"/>
              <w:right w:val="nil"/>
            </w:tcBorders>
            <w:shd w:val="clear" w:color="auto" w:fill="auto"/>
            <w:noWrap/>
            <w:vAlign w:val="bottom"/>
            <w:hideMark/>
          </w:tcPr>
          <w:p w14:paraId="5A1B2D8F"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7.075**  </w:t>
            </w:r>
          </w:p>
        </w:tc>
        <w:tc>
          <w:tcPr>
            <w:tcW w:w="619" w:type="pct"/>
            <w:tcBorders>
              <w:left w:val="nil"/>
              <w:bottom w:val="nil"/>
              <w:right w:val="nil"/>
            </w:tcBorders>
            <w:shd w:val="clear" w:color="auto" w:fill="auto"/>
            <w:noWrap/>
            <w:vAlign w:val="bottom"/>
            <w:hideMark/>
          </w:tcPr>
          <w:p w14:paraId="5FAFA4C2"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7.34     </w:t>
            </w:r>
          </w:p>
        </w:tc>
      </w:tr>
      <w:tr w:rsidR="00DE6FE8" w:rsidRPr="00A45E8F" w14:paraId="3C772FA4" w14:textId="77777777" w:rsidTr="00DE6FE8">
        <w:trPr>
          <w:trHeight w:val="259"/>
        </w:trPr>
        <w:tc>
          <w:tcPr>
            <w:tcW w:w="2311" w:type="pct"/>
            <w:tcBorders>
              <w:top w:val="nil"/>
              <w:left w:val="nil"/>
              <w:bottom w:val="nil"/>
              <w:right w:val="nil"/>
            </w:tcBorders>
            <w:shd w:val="clear" w:color="auto" w:fill="auto"/>
            <w:noWrap/>
            <w:vAlign w:val="bottom"/>
            <w:hideMark/>
          </w:tcPr>
          <w:p w14:paraId="5DB8D9AE"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SPAC-IPO</w:t>
            </w:r>
          </w:p>
        </w:tc>
        <w:tc>
          <w:tcPr>
            <w:tcW w:w="833" w:type="pct"/>
            <w:gridSpan w:val="2"/>
            <w:tcBorders>
              <w:top w:val="nil"/>
              <w:left w:val="nil"/>
              <w:bottom w:val="nil"/>
              <w:right w:val="nil"/>
            </w:tcBorders>
            <w:shd w:val="clear" w:color="auto" w:fill="auto"/>
            <w:noWrap/>
            <w:vAlign w:val="bottom"/>
            <w:hideMark/>
          </w:tcPr>
          <w:p w14:paraId="1783CA72"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1.617***</w:t>
            </w:r>
          </w:p>
        </w:tc>
        <w:tc>
          <w:tcPr>
            <w:tcW w:w="440" w:type="pct"/>
            <w:tcBorders>
              <w:top w:val="nil"/>
              <w:left w:val="nil"/>
              <w:bottom w:val="nil"/>
              <w:right w:val="nil"/>
            </w:tcBorders>
            <w:shd w:val="clear" w:color="auto" w:fill="auto"/>
            <w:noWrap/>
            <w:vAlign w:val="bottom"/>
            <w:hideMark/>
          </w:tcPr>
          <w:p w14:paraId="35FA2FE9" w14:textId="77777777" w:rsidR="00DE6FE8" w:rsidRPr="00A45E8F" w:rsidRDefault="00DE6FE8" w:rsidP="00DE6FE8">
            <w:pPr>
              <w:spacing w:after="0" w:line="240" w:lineRule="auto"/>
              <w:rPr>
                <w:rFonts w:ascii="Times New Roman" w:eastAsia="Times New Roman" w:hAnsi="Times New Roman" w:cs="Times New Roman"/>
                <w:color w:val="000000"/>
              </w:rPr>
            </w:pPr>
            <w:r w:rsidRPr="00D65052">
              <w:rPr>
                <w:rFonts w:ascii="Times New Roman" w:eastAsia="Times New Roman" w:hAnsi="Times New Roman" w:cs="Times New Roman"/>
                <w:color w:val="000000"/>
              </w:rPr>
              <w:t xml:space="preserve">16.07     </w:t>
            </w:r>
          </w:p>
        </w:tc>
        <w:tc>
          <w:tcPr>
            <w:tcW w:w="797" w:type="pct"/>
            <w:gridSpan w:val="2"/>
            <w:tcBorders>
              <w:top w:val="nil"/>
              <w:left w:val="nil"/>
              <w:bottom w:val="nil"/>
              <w:right w:val="nil"/>
            </w:tcBorders>
            <w:shd w:val="clear" w:color="auto" w:fill="auto"/>
            <w:noWrap/>
            <w:vAlign w:val="bottom"/>
            <w:hideMark/>
          </w:tcPr>
          <w:p w14:paraId="5A0CD5D5"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2.118***</w:t>
            </w:r>
          </w:p>
        </w:tc>
        <w:tc>
          <w:tcPr>
            <w:tcW w:w="619" w:type="pct"/>
            <w:tcBorders>
              <w:top w:val="nil"/>
              <w:left w:val="nil"/>
              <w:bottom w:val="nil"/>
              <w:right w:val="nil"/>
            </w:tcBorders>
            <w:shd w:val="clear" w:color="auto" w:fill="auto"/>
            <w:noWrap/>
            <w:vAlign w:val="bottom"/>
            <w:hideMark/>
          </w:tcPr>
          <w:p w14:paraId="39744491" w14:textId="77777777" w:rsidR="00DE6FE8" w:rsidRPr="00A45E8F" w:rsidRDefault="00DE6FE8" w:rsidP="00DE6FE8">
            <w:pPr>
              <w:spacing w:after="0" w:line="240" w:lineRule="auto"/>
              <w:rPr>
                <w:rFonts w:ascii="Times New Roman" w:eastAsia="Times New Roman" w:hAnsi="Times New Roman" w:cs="Times New Roman"/>
                <w:color w:val="000000"/>
              </w:rPr>
            </w:pPr>
            <w:r w:rsidRPr="007A54B3">
              <w:rPr>
                <w:rFonts w:ascii="Times New Roman" w:eastAsia="Times New Roman" w:hAnsi="Times New Roman" w:cs="Times New Roman"/>
                <w:color w:val="000000"/>
              </w:rPr>
              <w:t xml:space="preserve">15.29     </w:t>
            </w:r>
          </w:p>
        </w:tc>
      </w:tr>
      <w:tr w:rsidR="00DE6FE8" w:rsidRPr="00A45E8F" w14:paraId="3C0F29DB" w14:textId="77777777" w:rsidTr="00DE6FE8">
        <w:trPr>
          <w:trHeight w:val="259"/>
        </w:trPr>
        <w:tc>
          <w:tcPr>
            <w:tcW w:w="2311" w:type="pct"/>
            <w:tcBorders>
              <w:top w:val="nil"/>
              <w:left w:val="nil"/>
              <w:bottom w:val="nil"/>
              <w:right w:val="nil"/>
            </w:tcBorders>
            <w:shd w:val="clear" w:color="auto" w:fill="auto"/>
            <w:noWrap/>
            <w:vAlign w:val="bottom"/>
            <w:hideMark/>
          </w:tcPr>
          <w:p w14:paraId="436B6C90"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PROCEEDS</w:t>
            </w:r>
          </w:p>
        </w:tc>
        <w:tc>
          <w:tcPr>
            <w:tcW w:w="833" w:type="pct"/>
            <w:gridSpan w:val="2"/>
            <w:tcBorders>
              <w:top w:val="nil"/>
              <w:left w:val="nil"/>
              <w:bottom w:val="nil"/>
              <w:right w:val="nil"/>
            </w:tcBorders>
            <w:shd w:val="clear" w:color="auto" w:fill="auto"/>
            <w:noWrap/>
            <w:vAlign w:val="bottom"/>
            <w:hideMark/>
          </w:tcPr>
          <w:p w14:paraId="0B309CD1"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65052">
              <w:rPr>
                <w:rFonts w:ascii="Times New Roman" w:eastAsia="Times New Roman" w:hAnsi="Times New Roman" w:cs="Times New Roman"/>
                <w:color w:val="000000"/>
              </w:rPr>
              <w:t xml:space="preserve">0.678**  </w:t>
            </w:r>
          </w:p>
        </w:tc>
        <w:tc>
          <w:tcPr>
            <w:tcW w:w="440" w:type="pct"/>
            <w:tcBorders>
              <w:top w:val="nil"/>
              <w:left w:val="nil"/>
              <w:bottom w:val="nil"/>
              <w:right w:val="nil"/>
            </w:tcBorders>
            <w:shd w:val="clear" w:color="auto" w:fill="auto"/>
            <w:noWrap/>
            <w:vAlign w:val="bottom"/>
            <w:hideMark/>
          </w:tcPr>
          <w:p w14:paraId="62FCC2DC"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4.51     </w:t>
            </w:r>
          </w:p>
        </w:tc>
        <w:tc>
          <w:tcPr>
            <w:tcW w:w="797" w:type="pct"/>
            <w:gridSpan w:val="2"/>
            <w:tcBorders>
              <w:top w:val="nil"/>
              <w:left w:val="nil"/>
              <w:bottom w:val="nil"/>
              <w:right w:val="nil"/>
            </w:tcBorders>
            <w:shd w:val="clear" w:color="auto" w:fill="auto"/>
            <w:noWrap/>
            <w:vAlign w:val="bottom"/>
            <w:hideMark/>
          </w:tcPr>
          <w:p w14:paraId="15CC4FF6"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1.336***</w:t>
            </w:r>
          </w:p>
        </w:tc>
        <w:tc>
          <w:tcPr>
            <w:tcW w:w="619" w:type="pct"/>
            <w:tcBorders>
              <w:top w:val="nil"/>
              <w:left w:val="nil"/>
              <w:bottom w:val="nil"/>
              <w:right w:val="nil"/>
            </w:tcBorders>
            <w:shd w:val="clear" w:color="auto" w:fill="auto"/>
            <w:noWrap/>
            <w:vAlign w:val="bottom"/>
            <w:hideMark/>
          </w:tcPr>
          <w:p w14:paraId="5A244245"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6.66     </w:t>
            </w:r>
          </w:p>
        </w:tc>
      </w:tr>
      <w:tr w:rsidR="00DE6FE8" w:rsidRPr="00A45E8F" w14:paraId="4B9316AF" w14:textId="77777777" w:rsidTr="00DE6FE8">
        <w:trPr>
          <w:trHeight w:val="259"/>
        </w:trPr>
        <w:tc>
          <w:tcPr>
            <w:tcW w:w="2311" w:type="pct"/>
            <w:tcBorders>
              <w:top w:val="nil"/>
              <w:left w:val="nil"/>
              <w:bottom w:val="nil"/>
              <w:right w:val="nil"/>
            </w:tcBorders>
            <w:shd w:val="clear" w:color="auto" w:fill="auto"/>
            <w:noWrap/>
            <w:vAlign w:val="bottom"/>
            <w:hideMark/>
          </w:tcPr>
          <w:p w14:paraId="2CC599C4"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ASSETS</w:t>
            </w:r>
          </w:p>
        </w:tc>
        <w:tc>
          <w:tcPr>
            <w:tcW w:w="833" w:type="pct"/>
            <w:gridSpan w:val="2"/>
            <w:tcBorders>
              <w:top w:val="nil"/>
              <w:left w:val="nil"/>
              <w:bottom w:val="nil"/>
              <w:right w:val="nil"/>
            </w:tcBorders>
            <w:shd w:val="clear" w:color="auto" w:fill="auto"/>
            <w:noWrap/>
            <w:vAlign w:val="bottom"/>
            <w:hideMark/>
          </w:tcPr>
          <w:p w14:paraId="33A8BA90"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65052">
              <w:rPr>
                <w:rFonts w:ascii="Times New Roman" w:eastAsia="Times New Roman" w:hAnsi="Times New Roman" w:cs="Times New Roman"/>
                <w:color w:val="000000"/>
              </w:rPr>
              <w:t xml:space="preserve">0.032      </w:t>
            </w:r>
          </w:p>
        </w:tc>
        <w:tc>
          <w:tcPr>
            <w:tcW w:w="440" w:type="pct"/>
            <w:tcBorders>
              <w:top w:val="nil"/>
              <w:left w:val="nil"/>
              <w:bottom w:val="nil"/>
              <w:right w:val="nil"/>
            </w:tcBorders>
            <w:shd w:val="clear" w:color="auto" w:fill="auto"/>
            <w:noWrap/>
            <w:vAlign w:val="bottom"/>
            <w:hideMark/>
          </w:tcPr>
          <w:p w14:paraId="6B09EF4A"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0.02     </w:t>
            </w:r>
          </w:p>
        </w:tc>
        <w:tc>
          <w:tcPr>
            <w:tcW w:w="797" w:type="pct"/>
            <w:gridSpan w:val="2"/>
            <w:tcBorders>
              <w:top w:val="nil"/>
              <w:left w:val="nil"/>
              <w:bottom w:val="nil"/>
              <w:right w:val="nil"/>
            </w:tcBorders>
            <w:shd w:val="clear" w:color="auto" w:fill="auto"/>
            <w:noWrap/>
            <w:vAlign w:val="bottom"/>
            <w:hideMark/>
          </w:tcPr>
          <w:p w14:paraId="772DE6EF"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0.016      </w:t>
            </w:r>
          </w:p>
        </w:tc>
        <w:tc>
          <w:tcPr>
            <w:tcW w:w="619" w:type="pct"/>
            <w:tcBorders>
              <w:top w:val="nil"/>
              <w:left w:val="nil"/>
              <w:bottom w:val="nil"/>
              <w:right w:val="nil"/>
            </w:tcBorders>
            <w:shd w:val="clear" w:color="auto" w:fill="auto"/>
            <w:noWrap/>
            <w:vAlign w:val="bottom"/>
            <w:hideMark/>
          </w:tcPr>
          <w:p w14:paraId="3701652C"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0.00     </w:t>
            </w:r>
          </w:p>
        </w:tc>
      </w:tr>
      <w:tr w:rsidR="00DE6FE8" w:rsidRPr="00A45E8F" w14:paraId="71FA45D4" w14:textId="77777777" w:rsidTr="00DE6FE8">
        <w:trPr>
          <w:trHeight w:val="259"/>
        </w:trPr>
        <w:tc>
          <w:tcPr>
            <w:tcW w:w="2311" w:type="pct"/>
            <w:tcBorders>
              <w:top w:val="nil"/>
              <w:left w:val="nil"/>
              <w:bottom w:val="nil"/>
              <w:right w:val="nil"/>
            </w:tcBorders>
            <w:shd w:val="clear" w:color="auto" w:fill="auto"/>
            <w:noWrap/>
            <w:vAlign w:val="bottom"/>
            <w:hideMark/>
          </w:tcPr>
          <w:p w14:paraId="64DA1F46"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SEGMENTS</w:t>
            </w:r>
          </w:p>
        </w:tc>
        <w:tc>
          <w:tcPr>
            <w:tcW w:w="833" w:type="pct"/>
            <w:gridSpan w:val="2"/>
            <w:tcBorders>
              <w:top w:val="nil"/>
              <w:left w:val="nil"/>
              <w:bottom w:val="nil"/>
              <w:right w:val="nil"/>
            </w:tcBorders>
            <w:shd w:val="clear" w:color="auto" w:fill="auto"/>
            <w:noWrap/>
            <w:vAlign w:val="bottom"/>
            <w:hideMark/>
          </w:tcPr>
          <w:p w14:paraId="1EEEA942"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0.219      </w:t>
            </w:r>
          </w:p>
        </w:tc>
        <w:tc>
          <w:tcPr>
            <w:tcW w:w="440" w:type="pct"/>
            <w:tcBorders>
              <w:top w:val="nil"/>
              <w:left w:val="nil"/>
              <w:bottom w:val="nil"/>
              <w:right w:val="nil"/>
            </w:tcBorders>
            <w:shd w:val="clear" w:color="auto" w:fill="auto"/>
            <w:noWrap/>
            <w:vAlign w:val="bottom"/>
            <w:hideMark/>
          </w:tcPr>
          <w:p w14:paraId="44E000E0"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0.21     </w:t>
            </w:r>
          </w:p>
        </w:tc>
        <w:tc>
          <w:tcPr>
            <w:tcW w:w="797" w:type="pct"/>
            <w:gridSpan w:val="2"/>
            <w:tcBorders>
              <w:top w:val="nil"/>
              <w:left w:val="nil"/>
              <w:bottom w:val="nil"/>
              <w:right w:val="nil"/>
            </w:tcBorders>
            <w:shd w:val="clear" w:color="auto" w:fill="auto"/>
            <w:noWrap/>
            <w:vAlign w:val="bottom"/>
            <w:hideMark/>
          </w:tcPr>
          <w:p w14:paraId="608E582E"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0.259      </w:t>
            </w:r>
          </w:p>
        </w:tc>
        <w:tc>
          <w:tcPr>
            <w:tcW w:w="619" w:type="pct"/>
            <w:tcBorders>
              <w:top w:val="nil"/>
              <w:left w:val="nil"/>
              <w:bottom w:val="nil"/>
              <w:right w:val="nil"/>
            </w:tcBorders>
            <w:shd w:val="clear" w:color="auto" w:fill="auto"/>
            <w:noWrap/>
            <w:vAlign w:val="bottom"/>
            <w:hideMark/>
          </w:tcPr>
          <w:p w14:paraId="4FD9CF80"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0.30     </w:t>
            </w:r>
          </w:p>
        </w:tc>
      </w:tr>
      <w:tr w:rsidR="00DE6FE8" w:rsidRPr="00A45E8F" w14:paraId="2247481B" w14:textId="77777777" w:rsidTr="00DE6FE8">
        <w:trPr>
          <w:trHeight w:val="259"/>
        </w:trPr>
        <w:tc>
          <w:tcPr>
            <w:tcW w:w="2311" w:type="pct"/>
            <w:tcBorders>
              <w:top w:val="nil"/>
              <w:left w:val="nil"/>
              <w:bottom w:val="nil"/>
              <w:right w:val="nil"/>
            </w:tcBorders>
            <w:shd w:val="clear" w:color="auto" w:fill="auto"/>
            <w:noWrap/>
            <w:vAlign w:val="bottom"/>
            <w:hideMark/>
          </w:tcPr>
          <w:p w14:paraId="2955B82C"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ROA</w:t>
            </w:r>
          </w:p>
        </w:tc>
        <w:tc>
          <w:tcPr>
            <w:tcW w:w="833" w:type="pct"/>
            <w:gridSpan w:val="2"/>
            <w:tcBorders>
              <w:top w:val="nil"/>
              <w:left w:val="nil"/>
              <w:bottom w:val="nil"/>
              <w:right w:val="nil"/>
            </w:tcBorders>
            <w:shd w:val="clear" w:color="auto" w:fill="auto"/>
            <w:noWrap/>
            <w:vAlign w:val="bottom"/>
            <w:hideMark/>
          </w:tcPr>
          <w:p w14:paraId="58874806"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65052">
              <w:rPr>
                <w:rFonts w:ascii="Times New Roman" w:eastAsia="Times New Roman" w:hAnsi="Times New Roman" w:cs="Times New Roman"/>
                <w:color w:val="000000"/>
              </w:rPr>
              <w:t xml:space="preserve">0.135      </w:t>
            </w:r>
          </w:p>
        </w:tc>
        <w:tc>
          <w:tcPr>
            <w:tcW w:w="440" w:type="pct"/>
            <w:tcBorders>
              <w:top w:val="nil"/>
              <w:left w:val="nil"/>
              <w:bottom w:val="nil"/>
              <w:right w:val="nil"/>
            </w:tcBorders>
            <w:shd w:val="clear" w:color="auto" w:fill="auto"/>
            <w:noWrap/>
            <w:vAlign w:val="bottom"/>
            <w:hideMark/>
          </w:tcPr>
          <w:p w14:paraId="58E2F86D"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0.04     </w:t>
            </w:r>
          </w:p>
        </w:tc>
        <w:tc>
          <w:tcPr>
            <w:tcW w:w="797" w:type="pct"/>
            <w:gridSpan w:val="2"/>
            <w:tcBorders>
              <w:top w:val="nil"/>
              <w:left w:val="nil"/>
              <w:bottom w:val="nil"/>
              <w:right w:val="nil"/>
            </w:tcBorders>
            <w:shd w:val="clear" w:color="auto" w:fill="auto"/>
            <w:noWrap/>
            <w:vAlign w:val="bottom"/>
            <w:hideMark/>
          </w:tcPr>
          <w:p w14:paraId="16615D2B"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0.007      </w:t>
            </w:r>
          </w:p>
        </w:tc>
        <w:tc>
          <w:tcPr>
            <w:tcW w:w="619" w:type="pct"/>
            <w:tcBorders>
              <w:top w:val="nil"/>
              <w:left w:val="nil"/>
              <w:bottom w:val="nil"/>
              <w:right w:val="nil"/>
            </w:tcBorders>
            <w:shd w:val="clear" w:color="auto" w:fill="auto"/>
            <w:noWrap/>
            <w:vAlign w:val="bottom"/>
            <w:hideMark/>
          </w:tcPr>
          <w:p w14:paraId="303FFFDB"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0.00     </w:t>
            </w:r>
          </w:p>
        </w:tc>
      </w:tr>
      <w:tr w:rsidR="00DE6FE8" w:rsidRPr="00A45E8F" w14:paraId="14AB833C" w14:textId="77777777" w:rsidTr="00DE6FE8">
        <w:trPr>
          <w:trHeight w:val="259"/>
        </w:trPr>
        <w:tc>
          <w:tcPr>
            <w:tcW w:w="2311" w:type="pct"/>
            <w:tcBorders>
              <w:top w:val="nil"/>
              <w:left w:val="nil"/>
              <w:bottom w:val="nil"/>
              <w:right w:val="nil"/>
            </w:tcBorders>
            <w:shd w:val="clear" w:color="auto" w:fill="auto"/>
            <w:noWrap/>
            <w:vAlign w:val="bottom"/>
            <w:hideMark/>
          </w:tcPr>
          <w:p w14:paraId="23A5FB98"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LOSS</w:t>
            </w:r>
          </w:p>
        </w:tc>
        <w:tc>
          <w:tcPr>
            <w:tcW w:w="833" w:type="pct"/>
            <w:gridSpan w:val="2"/>
            <w:tcBorders>
              <w:top w:val="nil"/>
              <w:left w:val="nil"/>
              <w:bottom w:val="nil"/>
              <w:right w:val="nil"/>
            </w:tcBorders>
            <w:shd w:val="clear" w:color="auto" w:fill="auto"/>
            <w:noWrap/>
            <w:vAlign w:val="bottom"/>
            <w:hideMark/>
          </w:tcPr>
          <w:p w14:paraId="31B1AA25"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0.361      </w:t>
            </w:r>
          </w:p>
        </w:tc>
        <w:tc>
          <w:tcPr>
            <w:tcW w:w="440" w:type="pct"/>
            <w:tcBorders>
              <w:top w:val="nil"/>
              <w:left w:val="nil"/>
              <w:bottom w:val="nil"/>
              <w:right w:val="nil"/>
            </w:tcBorders>
            <w:shd w:val="clear" w:color="auto" w:fill="auto"/>
            <w:noWrap/>
            <w:vAlign w:val="bottom"/>
            <w:hideMark/>
          </w:tcPr>
          <w:p w14:paraId="07D92290"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0.78     </w:t>
            </w:r>
          </w:p>
        </w:tc>
        <w:tc>
          <w:tcPr>
            <w:tcW w:w="797" w:type="pct"/>
            <w:gridSpan w:val="2"/>
            <w:tcBorders>
              <w:top w:val="nil"/>
              <w:left w:val="nil"/>
              <w:bottom w:val="nil"/>
              <w:right w:val="nil"/>
            </w:tcBorders>
            <w:shd w:val="clear" w:color="auto" w:fill="auto"/>
            <w:noWrap/>
            <w:vAlign w:val="bottom"/>
            <w:hideMark/>
          </w:tcPr>
          <w:p w14:paraId="300FAEFA"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0.864      </w:t>
            </w:r>
          </w:p>
        </w:tc>
        <w:tc>
          <w:tcPr>
            <w:tcW w:w="619" w:type="pct"/>
            <w:tcBorders>
              <w:top w:val="nil"/>
              <w:left w:val="nil"/>
              <w:bottom w:val="nil"/>
              <w:right w:val="nil"/>
            </w:tcBorders>
            <w:shd w:val="clear" w:color="auto" w:fill="auto"/>
            <w:noWrap/>
            <w:vAlign w:val="bottom"/>
            <w:hideMark/>
          </w:tcPr>
          <w:p w14:paraId="64B87D4B"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2.46     </w:t>
            </w:r>
          </w:p>
        </w:tc>
      </w:tr>
      <w:tr w:rsidR="00DE6FE8" w:rsidRPr="00A45E8F" w14:paraId="4D79F0E1" w14:textId="77777777" w:rsidTr="00DE6FE8">
        <w:trPr>
          <w:trHeight w:val="259"/>
        </w:trPr>
        <w:tc>
          <w:tcPr>
            <w:tcW w:w="2311" w:type="pct"/>
            <w:tcBorders>
              <w:top w:val="nil"/>
              <w:left w:val="nil"/>
              <w:bottom w:val="nil"/>
              <w:right w:val="nil"/>
            </w:tcBorders>
            <w:shd w:val="clear" w:color="auto" w:fill="auto"/>
            <w:noWrap/>
            <w:vAlign w:val="bottom"/>
          </w:tcPr>
          <w:p w14:paraId="12D6583C"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LEVERAGE</w:t>
            </w:r>
          </w:p>
        </w:tc>
        <w:tc>
          <w:tcPr>
            <w:tcW w:w="833" w:type="pct"/>
            <w:gridSpan w:val="2"/>
            <w:tcBorders>
              <w:top w:val="nil"/>
              <w:left w:val="nil"/>
              <w:bottom w:val="nil"/>
              <w:right w:val="nil"/>
            </w:tcBorders>
            <w:shd w:val="clear" w:color="auto" w:fill="auto"/>
            <w:noWrap/>
            <w:vAlign w:val="bottom"/>
          </w:tcPr>
          <w:p w14:paraId="4403BB8E"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65052">
              <w:rPr>
                <w:rFonts w:ascii="Times New Roman" w:eastAsia="Times New Roman" w:hAnsi="Times New Roman" w:cs="Times New Roman"/>
                <w:color w:val="000000"/>
              </w:rPr>
              <w:t xml:space="preserve">0.867      </w:t>
            </w:r>
          </w:p>
        </w:tc>
        <w:tc>
          <w:tcPr>
            <w:tcW w:w="440" w:type="pct"/>
            <w:tcBorders>
              <w:top w:val="nil"/>
              <w:left w:val="nil"/>
              <w:bottom w:val="nil"/>
              <w:right w:val="nil"/>
            </w:tcBorders>
            <w:shd w:val="clear" w:color="auto" w:fill="auto"/>
            <w:noWrap/>
            <w:vAlign w:val="bottom"/>
          </w:tcPr>
          <w:p w14:paraId="5E3F148B"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1.76     </w:t>
            </w:r>
          </w:p>
        </w:tc>
        <w:tc>
          <w:tcPr>
            <w:tcW w:w="797" w:type="pct"/>
            <w:gridSpan w:val="2"/>
            <w:tcBorders>
              <w:top w:val="nil"/>
              <w:left w:val="nil"/>
              <w:bottom w:val="nil"/>
              <w:right w:val="nil"/>
            </w:tcBorders>
            <w:shd w:val="clear" w:color="auto" w:fill="auto"/>
            <w:noWrap/>
            <w:vAlign w:val="bottom"/>
          </w:tcPr>
          <w:p w14:paraId="35041028"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7A54B3">
              <w:rPr>
                <w:rFonts w:ascii="Times New Roman" w:eastAsia="Times New Roman" w:hAnsi="Times New Roman" w:cs="Times New Roman"/>
                <w:color w:val="000000"/>
              </w:rPr>
              <w:t>2.696***</w:t>
            </w:r>
          </w:p>
        </w:tc>
        <w:tc>
          <w:tcPr>
            <w:tcW w:w="619" w:type="pct"/>
            <w:tcBorders>
              <w:top w:val="nil"/>
              <w:left w:val="nil"/>
              <w:bottom w:val="nil"/>
              <w:right w:val="nil"/>
            </w:tcBorders>
            <w:shd w:val="clear" w:color="auto" w:fill="auto"/>
            <w:noWrap/>
            <w:vAlign w:val="bottom"/>
          </w:tcPr>
          <w:p w14:paraId="77ECAB70"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8.58     </w:t>
            </w:r>
          </w:p>
        </w:tc>
      </w:tr>
      <w:tr w:rsidR="00DE6FE8" w:rsidRPr="00A45E8F" w14:paraId="6CB842F3" w14:textId="77777777" w:rsidTr="00DE6FE8">
        <w:trPr>
          <w:trHeight w:val="259"/>
        </w:trPr>
        <w:tc>
          <w:tcPr>
            <w:tcW w:w="2311" w:type="pct"/>
            <w:tcBorders>
              <w:top w:val="nil"/>
              <w:left w:val="nil"/>
              <w:bottom w:val="nil"/>
              <w:right w:val="nil"/>
            </w:tcBorders>
            <w:shd w:val="clear" w:color="auto" w:fill="auto"/>
            <w:noWrap/>
            <w:vAlign w:val="bottom"/>
            <w:hideMark/>
          </w:tcPr>
          <w:p w14:paraId="5A1AD80E" w14:textId="77777777" w:rsidR="00DE6FE8" w:rsidRPr="00A45E8F" w:rsidRDefault="00DE6FE8" w:rsidP="00DE6FE8">
            <w:pPr>
              <w:spacing w:after="0" w:line="240" w:lineRule="auto"/>
              <w:ind w:firstLineChars="100" w:firstLine="220"/>
              <w:rPr>
                <w:rFonts w:ascii="Times New Roman" w:eastAsia="Times New Roman" w:hAnsi="Times New Roman" w:cs="Times New Roman"/>
                <w:i/>
                <w:iCs/>
                <w:color w:val="000000"/>
              </w:rPr>
            </w:pPr>
            <w:r w:rsidRPr="00A45E8F">
              <w:rPr>
                <w:rFonts w:ascii="Times New Roman" w:eastAsia="Times New Roman" w:hAnsi="Times New Roman" w:cs="Times New Roman"/>
                <w:i/>
                <w:iCs/>
                <w:color w:val="000000"/>
              </w:rPr>
              <w:t>EGC</w:t>
            </w:r>
          </w:p>
        </w:tc>
        <w:tc>
          <w:tcPr>
            <w:tcW w:w="833" w:type="pct"/>
            <w:gridSpan w:val="2"/>
            <w:tcBorders>
              <w:top w:val="nil"/>
              <w:left w:val="nil"/>
              <w:bottom w:val="nil"/>
              <w:right w:val="nil"/>
            </w:tcBorders>
            <w:shd w:val="clear" w:color="auto" w:fill="auto"/>
            <w:noWrap/>
            <w:vAlign w:val="bottom"/>
            <w:hideMark/>
          </w:tcPr>
          <w:p w14:paraId="52DF75A4"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D65052">
              <w:rPr>
                <w:rFonts w:ascii="Times New Roman" w:eastAsia="Times New Roman" w:hAnsi="Times New Roman" w:cs="Times New Roman"/>
                <w:color w:val="000000"/>
              </w:rPr>
              <w:t xml:space="preserve">0.252      </w:t>
            </w:r>
          </w:p>
        </w:tc>
        <w:tc>
          <w:tcPr>
            <w:tcW w:w="440" w:type="pct"/>
            <w:tcBorders>
              <w:top w:val="nil"/>
              <w:left w:val="nil"/>
              <w:bottom w:val="nil"/>
              <w:right w:val="nil"/>
            </w:tcBorders>
            <w:shd w:val="clear" w:color="auto" w:fill="auto"/>
            <w:noWrap/>
            <w:vAlign w:val="bottom"/>
            <w:hideMark/>
          </w:tcPr>
          <w:p w14:paraId="61B0E546"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65052">
              <w:rPr>
                <w:rFonts w:ascii="Times New Roman" w:eastAsia="Times New Roman" w:hAnsi="Times New Roman" w:cs="Times New Roman"/>
                <w:color w:val="000000"/>
              </w:rPr>
              <w:t xml:space="preserve">0.50     </w:t>
            </w:r>
          </w:p>
        </w:tc>
        <w:tc>
          <w:tcPr>
            <w:tcW w:w="797" w:type="pct"/>
            <w:gridSpan w:val="2"/>
            <w:tcBorders>
              <w:top w:val="nil"/>
              <w:left w:val="nil"/>
              <w:bottom w:val="nil"/>
              <w:right w:val="nil"/>
            </w:tcBorders>
            <w:shd w:val="clear" w:color="auto" w:fill="auto"/>
            <w:noWrap/>
            <w:vAlign w:val="bottom"/>
            <w:hideMark/>
          </w:tcPr>
          <w:p w14:paraId="5A58A052"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7A54B3">
              <w:rPr>
                <w:rFonts w:ascii="Times New Roman" w:eastAsia="Times New Roman" w:hAnsi="Times New Roman" w:cs="Times New Roman"/>
                <w:color w:val="000000"/>
              </w:rPr>
              <w:t xml:space="preserve">0.629      </w:t>
            </w:r>
          </w:p>
        </w:tc>
        <w:tc>
          <w:tcPr>
            <w:tcW w:w="619" w:type="pct"/>
            <w:tcBorders>
              <w:top w:val="nil"/>
              <w:left w:val="nil"/>
              <w:bottom w:val="nil"/>
              <w:right w:val="nil"/>
            </w:tcBorders>
            <w:shd w:val="clear" w:color="auto" w:fill="auto"/>
            <w:noWrap/>
            <w:vAlign w:val="bottom"/>
            <w:hideMark/>
          </w:tcPr>
          <w:p w14:paraId="150B473A" w14:textId="77777777" w:rsidR="00DE6FE8" w:rsidRPr="00A45E8F"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4B3">
              <w:rPr>
                <w:rFonts w:ascii="Times New Roman" w:eastAsia="Times New Roman" w:hAnsi="Times New Roman" w:cs="Times New Roman"/>
                <w:color w:val="000000"/>
              </w:rPr>
              <w:t xml:space="preserve">1.12     </w:t>
            </w:r>
          </w:p>
        </w:tc>
      </w:tr>
      <w:tr w:rsidR="00DE6FE8" w:rsidRPr="00A45E8F" w14:paraId="7F30EF36" w14:textId="77777777" w:rsidTr="00DE6FE8">
        <w:trPr>
          <w:trHeight w:hRule="exact" w:val="72"/>
        </w:trPr>
        <w:tc>
          <w:tcPr>
            <w:tcW w:w="2311" w:type="pct"/>
            <w:tcBorders>
              <w:top w:val="nil"/>
              <w:left w:val="nil"/>
              <w:bottom w:val="nil"/>
              <w:right w:val="nil"/>
            </w:tcBorders>
            <w:shd w:val="clear" w:color="auto" w:fill="auto"/>
            <w:noWrap/>
            <w:vAlign w:val="bottom"/>
            <w:hideMark/>
          </w:tcPr>
          <w:p w14:paraId="73ED5E08" w14:textId="77777777" w:rsidR="00DE6FE8" w:rsidRPr="00A45E8F" w:rsidRDefault="00DE6FE8" w:rsidP="00DE6FE8">
            <w:pPr>
              <w:spacing w:after="0" w:line="240" w:lineRule="auto"/>
              <w:jc w:val="right"/>
              <w:rPr>
                <w:rFonts w:ascii="Times New Roman" w:eastAsia="Times New Roman" w:hAnsi="Times New Roman" w:cs="Times New Roman"/>
                <w:color w:val="000000"/>
              </w:rPr>
            </w:pPr>
          </w:p>
        </w:tc>
        <w:tc>
          <w:tcPr>
            <w:tcW w:w="833" w:type="pct"/>
            <w:gridSpan w:val="2"/>
            <w:tcBorders>
              <w:top w:val="nil"/>
              <w:left w:val="nil"/>
              <w:bottom w:val="nil"/>
              <w:right w:val="nil"/>
            </w:tcBorders>
            <w:shd w:val="clear" w:color="auto" w:fill="auto"/>
            <w:noWrap/>
            <w:vAlign w:val="bottom"/>
            <w:hideMark/>
          </w:tcPr>
          <w:p w14:paraId="743D5F8D" w14:textId="77777777" w:rsidR="00DE6FE8" w:rsidRPr="00A45E8F" w:rsidRDefault="00DE6FE8" w:rsidP="00DE6FE8">
            <w:pPr>
              <w:spacing w:after="0" w:line="240" w:lineRule="auto"/>
              <w:rPr>
                <w:rFonts w:ascii="Times New Roman" w:eastAsia="Times New Roman" w:hAnsi="Times New Roman" w:cs="Times New Roman"/>
              </w:rPr>
            </w:pPr>
          </w:p>
        </w:tc>
        <w:tc>
          <w:tcPr>
            <w:tcW w:w="440" w:type="pct"/>
            <w:tcBorders>
              <w:top w:val="nil"/>
              <w:left w:val="nil"/>
              <w:bottom w:val="nil"/>
              <w:right w:val="nil"/>
            </w:tcBorders>
            <w:shd w:val="clear" w:color="auto" w:fill="auto"/>
            <w:noWrap/>
            <w:vAlign w:val="bottom"/>
            <w:hideMark/>
          </w:tcPr>
          <w:p w14:paraId="71878DCB" w14:textId="77777777" w:rsidR="00DE6FE8" w:rsidRPr="00A45E8F" w:rsidRDefault="00DE6FE8" w:rsidP="00DE6FE8">
            <w:pPr>
              <w:spacing w:after="0" w:line="240" w:lineRule="auto"/>
              <w:rPr>
                <w:rFonts w:ascii="Times New Roman" w:eastAsia="Times New Roman" w:hAnsi="Times New Roman" w:cs="Times New Roman"/>
              </w:rPr>
            </w:pPr>
          </w:p>
        </w:tc>
        <w:tc>
          <w:tcPr>
            <w:tcW w:w="549" w:type="pct"/>
            <w:tcBorders>
              <w:top w:val="nil"/>
              <w:left w:val="nil"/>
              <w:bottom w:val="nil"/>
              <w:right w:val="nil"/>
            </w:tcBorders>
            <w:shd w:val="clear" w:color="auto" w:fill="auto"/>
            <w:noWrap/>
            <w:vAlign w:val="bottom"/>
            <w:hideMark/>
          </w:tcPr>
          <w:p w14:paraId="7857A266" w14:textId="77777777" w:rsidR="00DE6FE8" w:rsidRPr="00A45E8F" w:rsidRDefault="00DE6FE8" w:rsidP="00DE6FE8">
            <w:pPr>
              <w:spacing w:after="0" w:line="240" w:lineRule="auto"/>
              <w:rPr>
                <w:rFonts w:ascii="Times New Roman" w:eastAsia="Times New Roman" w:hAnsi="Times New Roman" w:cs="Times New Roman"/>
              </w:rPr>
            </w:pPr>
          </w:p>
        </w:tc>
        <w:tc>
          <w:tcPr>
            <w:tcW w:w="248" w:type="pct"/>
            <w:tcBorders>
              <w:top w:val="nil"/>
              <w:left w:val="nil"/>
              <w:bottom w:val="nil"/>
              <w:right w:val="nil"/>
            </w:tcBorders>
            <w:shd w:val="clear" w:color="auto" w:fill="auto"/>
            <w:noWrap/>
            <w:vAlign w:val="bottom"/>
            <w:hideMark/>
          </w:tcPr>
          <w:p w14:paraId="54FE146C" w14:textId="77777777" w:rsidR="00DE6FE8" w:rsidRPr="00A45E8F" w:rsidRDefault="00DE6FE8" w:rsidP="00DE6FE8">
            <w:pPr>
              <w:spacing w:after="0" w:line="240" w:lineRule="auto"/>
              <w:jc w:val="center"/>
              <w:rPr>
                <w:rFonts w:ascii="Times New Roman" w:eastAsia="Times New Roman" w:hAnsi="Times New Roman" w:cs="Times New Roman"/>
              </w:rPr>
            </w:pPr>
            <w:r w:rsidRPr="00A45E8F">
              <w:rPr>
                <w:rFonts w:ascii="Times New Roman" w:eastAsia="Times New Roman" w:hAnsi="Times New Roman" w:cs="Times New Roman"/>
                <w:color w:val="000000"/>
              </w:rPr>
              <w:t xml:space="preserve">  </w:t>
            </w:r>
          </w:p>
        </w:tc>
        <w:tc>
          <w:tcPr>
            <w:tcW w:w="619" w:type="pct"/>
            <w:tcBorders>
              <w:top w:val="nil"/>
              <w:left w:val="nil"/>
              <w:bottom w:val="nil"/>
              <w:right w:val="nil"/>
            </w:tcBorders>
            <w:shd w:val="clear" w:color="auto" w:fill="auto"/>
            <w:noWrap/>
            <w:vAlign w:val="bottom"/>
            <w:hideMark/>
          </w:tcPr>
          <w:p w14:paraId="32624655" w14:textId="77777777" w:rsidR="00DE6FE8" w:rsidRPr="00A45E8F" w:rsidRDefault="00DE6FE8" w:rsidP="00DE6FE8">
            <w:pPr>
              <w:spacing w:after="0" w:line="240" w:lineRule="auto"/>
              <w:rPr>
                <w:rFonts w:ascii="Times New Roman" w:eastAsia="Times New Roman" w:hAnsi="Times New Roman" w:cs="Times New Roman"/>
              </w:rPr>
            </w:pPr>
          </w:p>
        </w:tc>
      </w:tr>
      <w:tr w:rsidR="00DE6FE8" w:rsidRPr="00A45E8F" w14:paraId="096A4921" w14:textId="77777777" w:rsidTr="00DE6FE8">
        <w:trPr>
          <w:trHeight w:val="259"/>
        </w:trPr>
        <w:tc>
          <w:tcPr>
            <w:tcW w:w="2311" w:type="pct"/>
            <w:tcBorders>
              <w:top w:val="nil"/>
              <w:left w:val="nil"/>
              <w:bottom w:val="nil"/>
              <w:right w:val="nil"/>
            </w:tcBorders>
            <w:shd w:val="clear" w:color="auto" w:fill="auto"/>
            <w:noWrap/>
            <w:vAlign w:val="bottom"/>
            <w:hideMark/>
          </w:tcPr>
          <w:p w14:paraId="1355DDA3"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Industry Fixed Effects</w:t>
            </w:r>
          </w:p>
        </w:tc>
        <w:tc>
          <w:tcPr>
            <w:tcW w:w="833" w:type="pct"/>
            <w:gridSpan w:val="2"/>
            <w:tcBorders>
              <w:top w:val="nil"/>
              <w:left w:val="nil"/>
              <w:bottom w:val="nil"/>
              <w:right w:val="nil"/>
            </w:tcBorders>
            <w:shd w:val="clear" w:color="auto" w:fill="auto"/>
            <w:noWrap/>
            <w:vAlign w:val="bottom"/>
            <w:hideMark/>
          </w:tcPr>
          <w:p w14:paraId="602462CC"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Yes      </w:t>
            </w:r>
          </w:p>
        </w:tc>
        <w:tc>
          <w:tcPr>
            <w:tcW w:w="440" w:type="pct"/>
            <w:tcBorders>
              <w:top w:val="nil"/>
              <w:left w:val="nil"/>
              <w:bottom w:val="nil"/>
              <w:right w:val="nil"/>
            </w:tcBorders>
            <w:shd w:val="clear" w:color="auto" w:fill="auto"/>
            <w:noWrap/>
            <w:vAlign w:val="bottom"/>
            <w:hideMark/>
          </w:tcPr>
          <w:p w14:paraId="6EEF08DE"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797" w:type="pct"/>
            <w:gridSpan w:val="2"/>
            <w:tcBorders>
              <w:top w:val="nil"/>
              <w:left w:val="nil"/>
              <w:bottom w:val="nil"/>
              <w:right w:val="nil"/>
            </w:tcBorders>
            <w:shd w:val="clear" w:color="auto" w:fill="auto"/>
            <w:noWrap/>
            <w:vAlign w:val="bottom"/>
            <w:hideMark/>
          </w:tcPr>
          <w:p w14:paraId="633427E7"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Yes</w:t>
            </w:r>
          </w:p>
        </w:tc>
        <w:tc>
          <w:tcPr>
            <w:tcW w:w="619" w:type="pct"/>
            <w:tcBorders>
              <w:top w:val="nil"/>
              <w:left w:val="nil"/>
              <w:bottom w:val="nil"/>
              <w:right w:val="nil"/>
            </w:tcBorders>
            <w:shd w:val="clear" w:color="auto" w:fill="auto"/>
            <w:noWrap/>
            <w:vAlign w:val="bottom"/>
            <w:hideMark/>
          </w:tcPr>
          <w:p w14:paraId="62EBC17A"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r>
      <w:tr w:rsidR="00DE6FE8" w:rsidRPr="00A45E8F" w14:paraId="589957CB" w14:textId="77777777" w:rsidTr="00DE6FE8">
        <w:trPr>
          <w:trHeight w:val="259"/>
        </w:trPr>
        <w:tc>
          <w:tcPr>
            <w:tcW w:w="2311" w:type="pct"/>
            <w:tcBorders>
              <w:top w:val="nil"/>
              <w:left w:val="nil"/>
              <w:bottom w:val="nil"/>
              <w:right w:val="nil"/>
            </w:tcBorders>
            <w:shd w:val="clear" w:color="auto" w:fill="auto"/>
            <w:noWrap/>
            <w:vAlign w:val="bottom"/>
            <w:hideMark/>
          </w:tcPr>
          <w:p w14:paraId="4D84285E"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Observations</w:t>
            </w:r>
          </w:p>
        </w:tc>
        <w:tc>
          <w:tcPr>
            <w:tcW w:w="833" w:type="pct"/>
            <w:gridSpan w:val="2"/>
            <w:tcBorders>
              <w:top w:val="nil"/>
              <w:left w:val="nil"/>
              <w:bottom w:val="nil"/>
              <w:right w:val="nil"/>
            </w:tcBorders>
            <w:shd w:val="clear" w:color="auto" w:fill="auto"/>
            <w:noWrap/>
            <w:vAlign w:val="bottom"/>
            <w:hideMark/>
          </w:tcPr>
          <w:p w14:paraId="620D6C86"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290    </w:t>
            </w:r>
          </w:p>
        </w:tc>
        <w:tc>
          <w:tcPr>
            <w:tcW w:w="440" w:type="pct"/>
            <w:tcBorders>
              <w:top w:val="nil"/>
              <w:left w:val="nil"/>
              <w:bottom w:val="nil"/>
              <w:right w:val="nil"/>
            </w:tcBorders>
            <w:shd w:val="clear" w:color="auto" w:fill="auto"/>
            <w:noWrap/>
            <w:vAlign w:val="bottom"/>
            <w:hideMark/>
          </w:tcPr>
          <w:p w14:paraId="38092A5F"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797" w:type="pct"/>
            <w:gridSpan w:val="2"/>
            <w:tcBorders>
              <w:top w:val="nil"/>
              <w:left w:val="nil"/>
              <w:bottom w:val="nil"/>
              <w:right w:val="nil"/>
            </w:tcBorders>
            <w:shd w:val="clear" w:color="auto" w:fill="auto"/>
            <w:noWrap/>
            <w:vAlign w:val="bottom"/>
            <w:hideMark/>
          </w:tcPr>
          <w:p w14:paraId="52AB423F"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290      </w:t>
            </w:r>
          </w:p>
        </w:tc>
        <w:tc>
          <w:tcPr>
            <w:tcW w:w="619" w:type="pct"/>
            <w:tcBorders>
              <w:top w:val="nil"/>
              <w:left w:val="nil"/>
              <w:bottom w:val="nil"/>
              <w:right w:val="nil"/>
            </w:tcBorders>
            <w:shd w:val="clear" w:color="auto" w:fill="auto"/>
            <w:noWrap/>
            <w:vAlign w:val="bottom"/>
            <w:hideMark/>
          </w:tcPr>
          <w:p w14:paraId="0F194C86"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r>
      <w:tr w:rsidR="00DE6FE8" w:rsidRPr="00A45E8F" w14:paraId="089676AC" w14:textId="77777777" w:rsidTr="00DE6FE8">
        <w:trPr>
          <w:trHeight w:val="259"/>
        </w:trPr>
        <w:tc>
          <w:tcPr>
            <w:tcW w:w="2311" w:type="pct"/>
            <w:tcBorders>
              <w:top w:val="nil"/>
              <w:left w:val="nil"/>
              <w:right w:val="nil"/>
            </w:tcBorders>
            <w:shd w:val="clear" w:color="auto" w:fill="auto"/>
            <w:noWrap/>
            <w:vAlign w:val="bottom"/>
            <w:hideMark/>
          </w:tcPr>
          <w:p w14:paraId="0DC9D98C"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Likelihood Ratio</w:t>
            </w:r>
          </w:p>
        </w:tc>
        <w:tc>
          <w:tcPr>
            <w:tcW w:w="833" w:type="pct"/>
            <w:gridSpan w:val="2"/>
            <w:tcBorders>
              <w:top w:val="nil"/>
              <w:left w:val="nil"/>
              <w:right w:val="nil"/>
            </w:tcBorders>
            <w:shd w:val="clear" w:color="auto" w:fill="auto"/>
            <w:noWrap/>
            <w:vAlign w:val="bottom"/>
            <w:hideMark/>
          </w:tcPr>
          <w:p w14:paraId="13AB7853"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55.46</w:t>
            </w:r>
            <w:r w:rsidRPr="00A45E8F">
              <w:rPr>
                <w:rFonts w:ascii="Times New Roman" w:eastAsia="Times New Roman" w:hAnsi="Times New Roman" w:cs="Times New Roman"/>
                <w:color w:val="000000"/>
              </w:rPr>
              <w:t>***</w:t>
            </w:r>
          </w:p>
        </w:tc>
        <w:tc>
          <w:tcPr>
            <w:tcW w:w="440" w:type="pct"/>
            <w:tcBorders>
              <w:top w:val="nil"/>
              <w:left w:val="nil"/>
              <w:right w:val="nil"/>
            </w:tcBorders>
            <w:shd w:val="clear" w:color="auto" w:fill="auto"/>
            <w:noWrap/>
            <w:vAlign w:val="bottom"/>
            <w:hideMark/>
          </w:tcPr>
          <w:p w14:paraId="3433BEED"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c>
          <w:tcPr>
            <w:tcW w:w="797" w:type="pct"/>
            <w:gridSpan w:val="2"/>
            <w:tcBorders>
              <w:top w:val="nil"/>
              <w:left w:val="nil"/>
              <w:right w:val="nil"/>
            </w:tcBorders>
            <w:shd w:val="clear" w:color="auto" w:fill="auto"/>
            <w:noWrap/>
            <w:vAlign w:val="bottom"/>
            <w:hideMark/>
          </w:tcPr>
          <w:p w14:paraId="40305B78"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105.12</w:t>
            </w:r>
            <w:r w:rsidRPr="00A45E8F">
              <w:rPr>
                <w:rFonts w:ascii="Times New Roman" w:eastAsia="Times New Roman" w:hAnsi="Times New Roman" w:cs="Times New Roman"/>
                <w:color w:val="000000"/>
              </w:rPr>
              <w:t>***</w:t>
            </w:r>
          </w:p>
        </w:tc>
        <w:tc>
          <w:tcPr>
            <w:tcW w:w="619" w:type="pct"/>
            <w:tcBorders>
              <w:top w:val="nil"/>
              <w:left w:val="nil"/>
              <w:right w:val="nil"/>
            </w:tcBorders>
            <w:shd w:val="clear" w:color="auto" w:fill="auto"/>
            <w:noWrap/>
            <w:vAlign w:val="bottom"/>
            <w:hideMark/>
          </w:tcPr>
          <w:p w14:paraId="1A31EE7A" w14:textId="77777777" w:rsidR="00DE6FE8" w:rsidRPr="00A45E8F" w:rsidRDefault="00DE6FE8" w:rsidP="00DE6FE8">
            <w:pPr>
              <w:spacing w:after="0" w:line="240" w:lineRule="auto"/>
              <w:jc w:val="center"/>
              <w:rPr>
                <w:rFonts w:ascii="Times New Roman" w:eastAsia="Times New Roman" w:hAnsi="Times New Roman" w:cs="Times New Roman"/>
                <w:color w:val="000000"/>
              </w:rPr>
            </w:pPr>
          </w:p>
        </w:tc>
      </w:tr>
      <w:tr w:rsidR="00DE6FE8" w:rsidRPr="00A45E8F" w14:paraId="2E3AAF35" w14:textId="77777777" w:rsidTr="00DE6FE8">
        <w:trPr>
          <w:trHeight w:val="259"/>
        </w:trPr>
        <w:tc>
          <w:tcPr>
            <w:tcW w:w="2311" w:type="pct"/>
            <w:tcBorders>
              <w:top w:val="nil"/>
              <w:left w:val="nil"/>
              <w:right w:val="nil"/>
            </w:tcBorders>
            <w:shd w:val="clear" w:color="auto" w:fill="auto"/>
            <w:noWrap/>
            <w:vAlign w:val="bottom"/>
            <w:hideMark/>
          </w:tcPr>
          <w:p w14:paraId="0F534861"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Pseudo R</w:t>
            </w:r>
            <w:r w:rsidRPr="00A45E8F">
              <w:rPr>
                <w:rFonts w:ascii="Times New Roman" w:eastAsia="Times New Roman" w:hAnsi="Times New Roman" w:cs="Times New Roman"/>
                <w:color w:val="000000"/>
                <w:vertAlign w:val="superscript"/>
              </w:rPr>
              <w:t>2</w:t>
            </w:r>
          </w:p>
        </w:tc>
        <w:tc>
          <w:tcPr>
            <w:tcW w:w="833" w:type="pct"/>
            <w:gridSpan w:val="2"/>
            <w:tcBorders>
              <w:top w:val="nil"/>
              <w:left w:val="nil"/>
              <w:right w:val="nil"/>
            </w:tcBorders>
            <w:shd w:val="clear" w:color="auto" w:fill="auto"/>
            <w:noWrap/>
            <w:vAlign w:val="bottom"/>
            <w:hideMark/>
          </w:tcPr>
          <w:p w14:paraId="090C64F1"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0.1</w:t>
            </w:r>
            <w:r>
              <w:rPr>
                <w:rFonts w:ascii="Times New Roman" w:eastAsia="Times New Roman" w:hAnsi="Times New Roman" w:cs="Times New Roman"/>
                <w:color w:val="000000"/>
              </w:rPr>
              <w:t>7</w:t>
            </w:r>
            <w:r w:rsidRPr="00A45E8F">
              <w:rPr>
                <w:rFonts w:ascii="Times New Roman" w:eastAsia="Times New Roman" w:hAnsi="Times New Roman" w:cs="Times New Roman"/>
                <w:color w:val="000000"/>
              </w:rPr>
              <w:t xml:space="preserve">     </w:t>
            </w:r>
          </w:p>
        </w:tc>
        <w:tc>
          <w:tcPr>
            <w:tcW w:w="440" w:type="pct"/>
            <w:tcBorders>
              <w:top w:val="nil"/>
              <w:left w:val="nil"/>
              <w:right w:val="nil"/>
            </w:tcBorders>
            <w:shd w:val="clear" w:color="auto" w:fill="auto"/>
            <w:noWrap/>
            <w:vAlign w:val="bottom"/>
            <w:hideMark/>
          </w:tcPr>
          <w:p w14:paraId="3B8931C4"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c>
          <w:tcPr>
            <w:tcW w:w="797" w:type="pct"/>
            <w:gridSpan w:val="2"/>
            <w:tcBorders>
              <w:top w:val="nil"/>
              <w:left w:val="nil"/>
              <w:bottom w:val="nil"/>
              <w:right w:val="nil"/>
            </w:tcBorders>
            <w:shd w:val="clear" w:color="auto" w:fill="auto"/>
            <w:noWrap/>
            <w:vAlign w:val="bottom"/>
            <w:hideMark/>
          </w:tcPr>
          <w:p w14:paraId="1946F93B"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36</w:t>
            </w:r>
            <w:r w:rsidRPr="00A45E8F">
              <w:rPr>
                <w:rFonts w:ascii="Times New Roman" w:eastAsia="Times New Roman" w:hAnsi="Times New Roman" w:cs="Times New Roman"/>
                <w:color w:val="000000"/>
              </w:rPr>
              <w:t xml:space="preserve">      </w:t>
            </w:r>
          </w:p>
        </w:tc>
        <w:tc>
          <w:tcPr>
            <w:tcW w:w="619" w:type="pct"/>
            <w:tcBorders>
              <w:top w:val="nil"/>
              <w:left w:val="nil"/>
              <w:bottom w:val="nil"/>
              <w:right w:val="nil"/>
            </w:tcBorders>
            <w:shd w:val="clear" w:color="auto" w:fill="auto"/>
            <w:noWrap/>
            <w:vAlign w:val="bottom"/>
            <w:hideMark/>
          </w:tcPr>
          <w:p w14:paraId="52D41BC8" w14:textId="77777777" w:rsidR="00DE6FE8" w:rsidRPr="00A45E8F" w:rsidRDefault="00DE6FE8" w:rsidP="00DE6FE8">
            <w:pPr>
              <w:spacing w:after="0" w:line="240" w:lineRule="auto"/>
              <w:rPr>
                <w:rFonts w:ascii="Times New Roman" w:eastAsia="Times New Roman" w:hAnsi="Times New Roman" w:cs="Times New Roman"/>
                <w:color w:val="000000"/>
              </w:rPr>
            </w:pPr>
            <w:r w:rsidRPr="00A45E8F">
              <w:rPr>
                <w:rFonts w:ascii="Times New Roman" w:eastAsia="Times New Roman" w:hAnsi="Times New Roman" w:cs="Times New Roman"/>
                <w:color w:val="000000"/>
              </w:rPr>
              <w:t> </w:t>
            </w:r>
          </w:p>
        </w:tc>
      </w:tr>
      <w:tr w:rsidR="00DE6FE8" w:rsidRPr="00A45E8F" w14:paraId="699A19A7" w14:textId="77777777" w:rsidTr="00DE6FE8">
        <w:trPr>
          <w:trHeight w:val="259"/>
        </w:trPr>
        <w:tc>
          <w:tcPr>
            <w:tcW w:w="2311" w:type="pct"/>
            <w:tcBorders>
              <w:top w:val="nil"/>
              <w:left w:val="nil"/>
              <w:bottom w:val="single" w:sz="12" w:space="0" w:color="auto"/>
              <w:right w:val="nil"/>
            </w:tcBorders>
            <w:shd w:val="clear" w:color="auto" w:fill="auto"/>
            <w:noWrap/>
            <w:vAlign w:val="bottom"/>
          </w:tcPr>
          <w:p w14:paraId="1C605F25"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833" w:type="pct"/>
            <w:gridSpan w:val="2"/>
            <w:tcBorders>
              <w:top w:val="nil"/>
              <w:left w:val="nil"/>
              <w:bottom w:val="single" w:sz="12" w:space="0" w:color="auto"/>
              <w:right w:val="nil"/>
            </w:tcBorders>
            <w:shd w:val="clear" w:color="auto" w:fill="auto"/>
            <w:noWrap/>
            <w:vAlign w:val="bottom"/>
          </w:tcPr>
          <w:p w14:paraId="382ECE95"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440" w:type="pct"/>
            <w:tcBorders>
              <w:top w:val="nil"/>
              <w:left w:val="nil"/>
              <w:bottom w:val="single" w:sz="12" w:space="0" w:color="auto"/>
              <w:right w:val="nil"/>
            </w:tcBorders>
            <w:shd w:val="clear" w:color="auto" w:fill="auto"/>
            <w:noWrap/>
            <w:vAlign w:val="bottom"/>
          </w:tcPr>
          <w:p w14:paraId="76B7F02F"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797" w:type="pct"/>
            <w:gridSpan w:val="2"/>
            <w:tcBorders>
              <w:top w:val="nil"/>
              <w:left w:val="nil"/>
              <w:bottom w:val="single" w:sz="12" w:space="0" w:color="auto"/>
              <w:right w:val="nil"/>
            </w:tcBorders>
            <w:shd w:val="clear" w:color="auto" w:fill="auto"/>
            <w:noWrap/>
            <w:vAlign w:val="bottom"/>
          </w:tcPr>
          <w:p w14:paraId="098634E9" w14:textId="77777777" w:rsidR="00DE6FE8" w:rsidRPr="00A45E8F" w:rsidRDefault="00DE6FE8" w:rsidP="00DE6FE8">
            <w:pPr>
              <w:spacing w:after="0" w:line="240" w:lineRule="auto"/>
              <w:rPr>
                <w:rFonts w:ascii="Times New Roman" w:eastAsia="Times New Roman" w:hAnsi="Times New Roman" w:cs="Times New Roman"/>
                <w:color w:val="000000"/>
              </w:rPr>
            </w:pPr>
          </w:p>
        </w:tc>
        <w:tc>
          <w:tcPr>
            <w:tcW w:w="619" w:type="pct"/>
            <w:tcBorders>
              <w:top w:val="nil"/>
              <w:left w:val="nil"/>
              <w:bottom w:val="single" w:sz="12" w:space="0" w:color="auto"/>
              <w:right w:val="nil"/>
            </w:tcBorders>
            <w:shd w:val="clear" w:color="auto" w:fill="auto"/>
            <w:noWrap/>
            <w:vAlign w:val="bottom"/>
          </w:tcPr>
          <w:p w14:paraId="7CA88F9B" w14:textId="77777777" w:rsidR="00DE6FE8" w:rsidRPr="00A45E8F" w:rsidRDefault="00DE6FE8" w:rsidP="00DE6FE8">
            <w:pPr>
              <w:spacing w:after="0" w:line="240" w:lineRule="auto"/>
              <w:rPr>
                <w:rFonts w:ascii="Times New Roman" w:eastAsia="Times New Roman" w:hAnsi="Times New Roman" w:cs="Times New Roman"/>
                <w:color w:val="000000"/>
              </w:rPr>
            </w:pPr>
          </w:p>
        </w:tc>
      </w:tr>
    </w:tbl>
    <w:p w14:paraId="57D70EAF" w14:textId="77777777" w:rsidR="00DE6FE8" w:rsidRDefault="00DE6FE8" w:rsidP="00DE6FE8">
      <w:pPr>
        <w:spacing w:after="0" w:line="240" w:lineRule="auto"/>
        <w:ind w:right="-90"/>
        <w:jc w:val="both"/>
        <w:rPr>
          <w:rFonts w:ascii="Times New Roman" w:eastAsia="Times New Roman" w:hAnsi="Times New Roman" w:cs="Times New Roman"/>
          <w:color w:val="000000"/>
        </w:rPr>
      </w:pPr>
      <w:r w:rsidRPr="00A45E8F">
        <w:rPr>
          <w:rFonts w:ascii="Times New Roman" w:hAnsi="Times New Roman" w:cs="Times New Roman"/>
        </w:rPr>
        <w:t xml:space="preserve">Panel A presents the mean proportion of firms that list on the NYSE, NASDAQ, and OTC in the SPAC-IPO and non-SPAC-IPO samples and the difference in the mean numbers between the two groups. Panel B presents logistic regressions of the likelihood of </w:t>
      </w:r>
      <w:r>
        <w:rPr>
          <w:rFonts w:ascii="Times New Roman" w:hAnsi="Times New Roman" w:cs="Times New Roman"/>
        </w:rPr>
        <w:t xml:space="preserve">not </w:t>
      </w:r>
      <w:r w:rsidRPr="00A45E8F">
        <w:rPr>
          <w:rFonts w:ascii="Times New Roman" w:hAnsi="Times New Roman" w:cs="Times New Roman"/>
        </w:rPr>
        <w:t>listing on the NYSE</w:t>
      </w:r>
      <w:r>
        <w:rPr>
          <w:rFonts w:ascii="Times New Roman" w:hAnsi="Times New Roman" w:cs="Times New Roman"/>
        </w:rPr>
        <w:t xml:space="preserve"> </w:t>
      </w:r>
      <w:r w:rsidRPr="00A45E8F">
        <w:rPr>
          <w:rFonts w:ascii="Times New Roman" w:hAnsi="Times New Roman" w:cs="Times New Roman"/>
        </w:rPr>
        <w:t>using a sample of SPAC- and non-SPAC-IPO firms</w:t>
      </w:r>
      <w:r>
        <w:rPr>
          <w:rFonts w:ascii="Times New Roman" w:hAnsi="Times New Roman" w:cs="Times New Roman"/>
        </w:rPr>
        <w:t xml:space="preserve">. The dependent variable </w:t>
      </w:r>
      <w:r w:rsidRPr="00855A08">
        <w:rPr>
          <w:rFonts w:ascii="Times New Roman" w:hAnsi="Times New Roman" w:cs="Times New Roman"/>
          <w:i/>
        </w:rPr>
        <w:t>NONNYSE</w:t>
      </w:r>
      <w:r>
        <w:rPr>
          <w:rFonts w:ascii="Times New Roman" w:hAnsi="Times New Roman" w:cs="Times New Roman"/>
        </w:rPr>
        <w:t xml:space="preserve"> equals one when a SPAC- or non-SPAC-IPO does not list on the NYSE stock exchange, and zero otherwise. The first (second) regression reports the results </w:t>
      </w:r>
      <w:r w:rsidRPr="008E7087">
        <w:rPr>
          <w:rFonts w:ascii="Times New Roman" w:hAnsi="Times New Roman" w:cs="Times New Roman"/>
        </w:rPr>
        <w:t xml:space="preserve">without (with) </w:t>
      </w:r>
      <w:r>
        <w:rPr>
          <w:rFonts w:ascii="Times New Roman" w:hAnsi="Times New Roman" w:cs="Times New Roman"/>
        </w:rPr>
        <w:t>entropy balancing on the first moment.</w:t>
      </w:r>
      <w:r w:rsidRPr="008C4A73">
        <w:rPr>
          <w:rFonts w:ascii="Times New Roman" w:eastAsia="Times New Roman" w:hAnsi="Times New Roman" w:cs="Times New Roman"/>
          <w:color w:val="000000"/>
        </w:rPr>
        <w:t xml:space="preserve"> </w:t>
      </w:r>
      <w:r w:rsidRPr="00A45E8F">
        <w:rPr>
          <w:rFonts w:ascii="Times New Roman" w:eastAsia="Times New Roman" w:hAnsi="Times New Roman" w:cs="Times New Roman"/>
          <w:color w:val="000000"/>
        </w:rPr>
        <w:t>*, **, and *** represent statistical significance at the 10%, 5%, and 1% levels, respectively, for a two-tailed test.</w:t>
      </w:r>
    </w:p>
    <w:p w14:paraId="58A976EA" w14:textId="70109AD1" w:rsidR="00D652C8" w:rsidRDefault="00DE6FE8" w:rsidP="00D652C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tbl>
      <w:tblPr>
        <w:tblW w:w="5000" w:type="pct"/>
        <w:tblLook w:val="04A0" w:firstRow="1" w:lastRow="0" w:firstColumn="1" w:lastColumn="0" w:noHBand="0" w:noVBand="1"/>
      </w:tblPr>
      <w:tblGrid>
        <w:gridCol w:w="2714"/>
        <w:gridCol w:w="1675"/>
        <w:gridCol w:w="928"/>
        <w:gridCol w:w="1017"/>
        <w:gridCol w:w="928"/>
        <w:gridCol w:w="1170"/>
        <w:gridCol w:w="928"/>
      </w:tblGrid>
      <w:tr w:rsidR="00DE6FE8" w:rsidRPr="002223C7" w14:paraId="782D2ECD" w14:textId="77777777" w:rsidTr="00DE6FE8">
        <w:trPr>
          <w:trHeight w:val="290"/>
        </w:trPr>
        <w:tc>
          <w:tcPr>
            <w:tcW w:w="1462" w:type="pct"/>
            <w:tcBorders>
              <w:top w:val="nil"/>
              <w:left w:val="nil"/>
              <w:bottom w:val="nil"/>
              <w:right w:val="nil"/>
            </w:tcBorders>
            <w:shd w:val="clear" w:color="auto" w:fill="auto"/>
            <w:noWrap/>
            <w:vAlign w:val="center"/>
            <w:hideMark/>
          </w:tcPr>
          <w:p w14:paraId="625E6304" w14:textId="77777777" w:rsidR="00DE6FE8" w:rsidRPr="002223C7" w:rsidRDefault="00DE6FE8" w:rsidP="00DE6FE8">
            <w:pPr>
              <w:spacing w:after="0" w:line="240" w:lineRule="auto"/>
              <w:rPr>
                <w:rFonts w:ascii="Times New Roman" w:eastAsia="Times New Roman" w:hAnsi="Times New Roman" w:cs="Times New Roman"/>
                <w:b/>
                <w:bCs/>
                <w:color w:val="000000"/>
              </w:rPr>
            </w:pPr>
            <w:r w:rsidRPr="002223C7">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8</w:t>
            </w:r>
          </w:p>
        </w:tc>
        <w:tc>
          <w:tcPr>
            <w:tcW w:w="907" w:type="pct"/>
            <w:tcBorders>
              <w:top w:val="nil"/>
              <w:left w:val="nil"/>
              <w:bottom w:val="nil"/>
              <w:right w:val="nil"/>
            </w:tcBorders>
            <w:shd w:val="clear" w:color="auto" w:fill="auto"/>
            <w:vAlign w:val="center"/>
            <w:hideMark/>
          </w:tcPr>
          <w:p w14:paraId="5A09748E" w14:textId="77777777" w:rsidR="00DE6FE8" w:rsidRPr="002223C7" w:rsidRDefault="00DE6FE8" w:rsidP="00DE6FE8">
            <w:pPr>
              <w:spacing w:after="0" w:line="240" w:lineRule="auto"/>
              <w:rPr>
                <w:rFonts w:ascii="Times New Roman" w:eastAsia="Times New Roman" w:hAnsi="Times New Roman" w:cs="Times New Roman"/>
                <w:b/>
                <w:bCs/>
                <w:color w:val="000000"/>
              </w:rPr>
            </w:pPr>
          </w:p>
        </w:tc>
        <w:tc>
          <w:tcPr>
            <w:tcW w:w="496" w:type="pct"/>
            <w:tcBorders>
              <w:top w:val="nil"/>
              <w:left w:val="nil"/>
              <w:bottom w:val="nil"/>
              <w:right w:val="nil"/>
            </w:tcBorders>
            <w:shd w:val="clear" w:color="auto" w:fill="auto"/>
            <w:noWrap/>
            <w:vAlign w:val="bottom"/>
            <w:hideMark/>
          </w:tcPr>
          <w:p w14:paraId="37C95F3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bottom"/>
            <w:hideMark/>
          </w:tcPr>
          <w:p w14:paraId="43560BC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bottom"/>
            <w:hideMark/>
          </w:tcPr>
          <w:p w14:paraId="570ED2D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bottom"/>
            <w:hideMark/>
          </w:tcPr>
          <w:p w14:paraId="6EBB847A"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bottom"/>
            <w:hideMark/>
          </w:tcPr>
          <w:p w14:paraId="2AD63E9F"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00B649F1" w14:textId="77777777" w:rsidTr="00DE6FE8">
        <w:trPr>
          <w:trHeight w:val="600"/>
        </w:trPr>
        <w:tc>
          <w:tcPr>
            <w:tcW w:w="5000" w:type="pct"/>
            <w:gridSpan w:val="7"/>
            <w:tcBorders>
              <w:top w:val="nil"/>
              <w:left w:val="nil"/>
              <w:bottom w:val="nil"/>
              <w:right w:val="nil"/>
            </w:tcBorders>
            <w:shd w:val="clear" w:color="auto" w:fill="auto"/>
            <w:vAlign w:val="center"/>
            <w:hideMark/>
          </w:tcPr>
          <w:p w14:paraId="786974E4" w14:textId="77777777" w:rsidR="00DE6FE8" w:rsidRPr="002223C7" w:rsidRDefault="00DE6FE8" w:rsidP="00DE6FE8">
            <w:pPr>
              <w:spacing w:after="0" w:line="240" w:lineRule="auto"/>
              <w:jc w:val="both"/>
              <w:rPr>
                <w:rFonts w:ascii="Times New Roman" w:eastAsia="Times New Roman" w:hAnsi="Times New Roman" w:cs="Times New Roman"/>
                <w:color w:val="000000"/>
              </w:rPr>
            </w:pPr>
            <w:r w:rsidRPr="002223C7">
              <w:rPr>
                <w:rFonts w:ascii="Times New Roman" w:eastAsia="Times New Roman" w:hAnsi="Times New Roman" w:cs="Times New Roman"/>
                <w:color w:val="000000"/>
              </w:rPr>
              <w:t>Variations Within SPAC-IPO Samp</w:t>
            </w:r>
            <w:r>
              <w:rPr>
                <w:rFonts w:ascii="Times New Roman" w:eastAsia="Times New Roman" w:hAnsi="Times New Roman" w:cs="Times New Roman"/>
                <w:color w:val="000000"/>
              </w:rPr>
              <w:t xml:space="preserve">le: Sponsors’ Board Involvement, </w:t>
            </w:r>
            <w:r w:rsidRPr="002223C7">
              <w:rPr>
                <w:rFonts w:ascii="Times New Roman" w:eastAsia="Times New Roman" w:hAnsi="Times New Roman" w:cs="Times New Roman"/>
                <w:color w:val="000000"/>
              </w:rPr>
              <w:t>the Duration Between a SPAC Formation</w:t>
            </w:r>
            <w:r>
              <w:rPr>
                <w:rFonts w:ascii="Times New Roman" w:eastAsia="Times New Roman" w:hAnsi="Times New Roman" w:cs="Times New Roman"/>
                <w:color w:val="000000"/>
              </w:rPr>
              <w:t xml:space="preserve"> and its Merger with the Target, and PIPE Investment.</w:t>
            </w:r>
          </w:p>
        </w:tc>
      </w:tr>
      <w:tr w:rsidR="00DE6FE8" w:rsidRPr="002223C7" w14:paraId="7356849B" w14:textId="77777777" w:rsidTr="00DE6FE8">
        <w:trPr>
          <w:trHeight w:hRule="exact" w:val="300"/>
        </w:trPr>
        <w:tc>
          <w:tcPr>
            <w:tcW w:w="1462" w:type="pct"/>
            <w:tcBorders>
              <w:top w:val="nil"/>
              <w:left w:val="nil"/>
              <w:bottom w:val="single" w:sz="12" w:space="0" w:color="auto"/>
              <w:right w:val="nil"/>
            </w:tcBorders>
            <w:shd w:val="clear" w:color="auto" w:fill="auto"/>
            <w:vAlign w:val="center"/>
            <w:hideMark/>
          </w:tcPr>
          <w:p w14:paraId="6C3F4072"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907" w:type="pct"/>
            <w:tcBorders>
              <w:top w:val="nil"/>
              <w:left w:val="nil"/>
              <w:bottom w:val="single" w:sz="12" w:space="0" w:color="auto"/>
              <w:right w:val="nil"/>
            </w:tcBorders>
            <w:shd w:val="clear" w:color="auto" w:fill="auto"/>
            <w:noWrap/>
            <w:vAlign w:val="center"/>
            <w:hideMark/>
          </w:tcPr>
          <w:p w14:paraId="5198417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59142E6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58" w:type="pct"/>
            <w:tcBorders>
              <w:top w:val="nil"/>
              <w:left w:val="nil"/>
              <w:bottom w:val="single" w:sz="12" w:space="0" w:color="auto"/>
              <w:right w:val="nil"/>
            </w:tcBorders>
            <w:shd w:val="clear" w:color="auto" w:fill="auto"/>
            <w:noWrap/>
            <w:vAlign w:val="center"/>
            <w:hideMark/>
          </w:tcPr>
          <w:p w14:paraId="7644D36C"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496FC44E"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nil"/>
              <w:left w:val="nil"/>
              <w:bottom w:val="single" w:sz="12" w:space="0" w:color="auto"/>
              <w:right w:val="nil"/>
            </w:tcBorders>
            <w:shd w:val="clear" w:color="auto" w:fill="auto"/>
            <w:noWrap/>
            <w:vAlign w:val="center"/>
            <w:hideMark/>
          </w:tcPr>
          <w:p w14:paraId="5FCAB7BB"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7EF7612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r>
      <w:tr w:rsidR="00DE6FE8" w:rsidRPr="002223C7" w14:paraId="3B3BE079" w14:textId="77777777" w:rsidTr="00DE6FE8">
        <w:trPr>
          <w:trHeight w:hRule="exact" w:val="300"/>
        </w:trPr>
        <w:tc>
          <w:tcPr>
            <w:tcW w:w="1462" w:type="pct"/>
            <w:tcBorders>
              <w:top w:val="nil"/>
              <w:left w:val="nil"/>
              <w:bottom w:val="nil"/>
              <w:right w:val="nil"/>
            </w:tcBorders>
            <w:shd w:val="clear" w:color="auto" w:fill="auto"/>
            <w:noWrap/>
            <w:vAlign w:val="center"/>
            <w:hideMark/>
          </w:tcPr>
          <w:p w14:paraId="592A291D"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3538" w:type="pct"/>
            <w:gridSpan w:val="6"/>
            <w:tcBorders>
              <w:top w:val="single" w:sz="12" w:space="0" w:color="auto"/>
              <w:left w:val="nil"/>
              <w:bottom w:val="nil"/>
              <w:right w:val="nil"/>
            </w:tcBorders>
            <w:shd w:val="clear" w:color="auto" w:fill="auto"/>
            <w:vAlign w:val="center"/>
            <w:hideMark/>
          </w:tcPr>
          <w:p w14:paraId="417832A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Dependent Variable: </w:t>
            </w:r>
            <w:r w:rsidRPr="00855A08">
              <w:rPr>
                <w:rFonts w:ascii="Times New Roman" w:eastAsia="Times New Roman" w:hAnsi="Times New Roman" w:cs="Times New Roman"/>
                <w:i/>
                <w:color w:val="000000"/>
              </w:rPr>
              <w:t>NON</w:t>
            </w:r>
            <w:r w:rsidRPr="002223C7">
              <w:rPr>
                <w:rFonts w:ascii="Times New Roman" w:eastAsia="Times New Roman" w:hAnsi="Times New Roman" w:cs="Times New Roman"/>
                <w:i/>
                <w:iCs/>
                <w:color w:val="000000"/>
              </w:rPr>
              <w:t>BIG4</w:t>
            </w:r>
          </w:p>
        </w:tc>
      </w:tr>
      <w:tr w:rsidR="00DE6FE8" w:rsidRPr="002223C7" w14:paraId="4F781216" w14:textId="77777777" w:rsidTr="00DE6FE8">
        <w:trPr>
          <w:trHeight w:val="340"/>
        </w:trPr>
        <w:tc>
          <w:tcPr>
            <w:tcW w:w="1462" w:type="pct"/>
            <w:tcBorders>
              <w:top w:val="nil"/>
              <w:left w:val="nil"/>
              <w:bottom w:val="nil"/>
              <w:right w:val="nil"/>
            </w:tcBorders>
            <w:shd w:val="clear" w:color="auto" w:fill="auto"/>
            <w:noWrap/>
            <w:vAlign w:val="bottom"/>
            <w:hideMark/>
          </w:tcPr>
          <w:p w14:paraId="031F5774"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907" w:type="pct"/>
            <w:tcBorders>
              <w:top w:val="single" w:sz="12" w:space="0" w:color="auto"/>
              <w:left w:val="nil"/>
              <w:bottom w:val="single" w:sz="12" w:space="0" w:color="auto"/>
              <w:right w:val="nil"/>
            </w:tcBorders>
            <w:shd w:val="clear" w:color="auto" w:fill="auto"/>
            <w:vAlign w:val="center"/>
            <w:hideMark/>
          </w:tcPr>
          <w:p w14:paraId="646ABA48"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Estimate</w:t>
            </w:r>
          </w:p>
        </w:tc>
        <w:tc>
          <w:tcPr>
            <w:tcW w:w="496" w:type="pct"/>
            <w:tcBorders>
              <w:top w:val="single" w:sz="12" w:space="0" w:color="auto"/>
              <w:left w:val="nil"/>
              <w:bottom w:val="single" w:sz="12" w:space="0" w:color="auto"/>
              <w:right w:val="nil"/>
            </w:tcBorders>
            <w:shd w:val="clear" w:color="auto" w:fill="auto"/>
            <w:noWrap/>
            <w:vAlign w:val="center"/>
            <w:hideMark/>
          </w:tcPr>
          <w:p w14:paraId="6D793E6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χ</w:t>
            </w:r>
            <w:r w:rsidRPr="002223C7">
              <w:rPr>
                <w:rFonts w:ascii="Times New Roman" w:eastAsia="Times New Roman" w:hAnsi="Times New Roman" w:cs="Times New Roman"/>
                <w:color w:val="000000"/>
                <w:vertAlign w:val="superscript"/>
              </w:rPr>
              <w:t>2</w:t>
            </w:r>
            <w:r w:rsidRPr="002223C7">
              <w:rPr>
                <w:rFonts w:ascii="Times New Roman" w:eastAsia="Times New Roman" w:hAnsi="Times New Roman" w:cs="Times New Roman"/>
                <w:color w:val="000000"/>
              </w:rPr>
              <w:t>-stat</w:t>
            </w:r>
          </w:p>
        </w:tc>
        <w:tc>
          <w:tcPr>
            <w:tcW w:w="558" w:type="pct"/>
            <w:tcBorders>
              <w:top w:val="single" w:sz="12" w:space="0" w:color="auto"/>
              <w:left w:val="nil"/>
              <w:bottom w:val="single" w:sz="12" w:space="0" w:color="auto"/>
              <w:right w:val="nil"/>
            </w:tcBorders>
            <w:shd w:val="clear" w:color="auto" w:fill="auto"/>
            <w:noWrap/>
            <w:vAlign w:val="center"/>
            <w:hideMark/>
          </w:tcPr>
          <w:p w14:paraId="5F5B51D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Estimate</w:t>
            </w:r>
          </w:p>
        </w:tc>
        <w:tc>
          <w:tcPr>
            <w:tcW w:w="496" w:type="pct"/>
            <w:tcBorders>
              <w:top w:val="single" w:sz="12" w:space="0" w:color="auto"/>
              <w:left w:val="nil"/>
              <w:bottom w:val="single" w:sz="12" w:space="0" w:color="auto"/>
              <w:right w:val="nil"/>
            </w:tcBorders>
            <w:shd w:val="clear" w:color="auto" w:fill="auto"/>
            <w:noWrap/>
            <w:vAlign w:val="center"/>
            <w:hideMark/>
          </w:tcPr>
          <w:p w14:paraId="4D5F0137"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χ</w:t>
            </w:r>
            <w:r w:rsidRPr="002223C7">
              <w:rPr>
                <w:rFonts w:ascii="Times New Roman" w:eastAsia="Times New Roman" w:hAnsi="Times New Roman" w:cs="Times New Roman"/>
                <w:color w:val="000000"/>
                <w:vertAlign w:val="superscript"/>
              </w:rPr>
              <w:t>2</w:t>
            </w:r>
            <w:r w:rsidRPr="002223C7">
              <w:rPr>
                <w:rFonts w:ascii="Times New Roman" w:eastAsia="Times New Roman" w:hAnsi="Times New Roman" w:cs="Times New Roman"/>
                <w:color w:val="000000"/>
              </w:rPr>
              <w:t>-stat</w:t>
            </w:r>
          </w:p>
        </w:tc>
        <w:tc>
          <w:tcPr>
            <w:tcW w:w="585" w:type="pct"/>
            <w:tcBorders>
              <w:top w:val="single" w:sz="12" w:space="0" w:color="auto"/>
              <w:left w:val="nil"/>
              <w:bottom w:val="single" w:sz="12" w:space="0" w:color="auto"/>
              <w:right w:val="nil"/>
            </w:tcBorders>
            <w:shd w:val="clear" w:color="auto" w:fill="auto"/>
            <w:noWrap/>
            <w:vAlign w:val="center"/>
            <w:hideMark/>
          </w:tcPr>
          <w:p w14:paraId="50BE7498"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Estimate</w:t>
            </w:r>
          </w:p>
        </w:tc>
        <w:tc>
          <w:tcPr>
            <w:tcW w:w="496" w:type="pct"/>
            <w:tcBorders>
              <w:top w:val="single" w:sz="12" w:space="0" w:color="auto"/>
              <w:left w:val="nil"/>
              <w:bottom w:val="single" w:sz="12" w:space="0" w:color="auto"/>
              <w:right w:val="nil"/>
            </w:tcBorders>
            <w:shd w:val="clear" w:color="auto" w:fill="auto"/>
            <w:noWrap/>
            <w:vAlign w:val="center"/>
            <w:hideMark/>
          </w:tcPr>
          <w:p w14:paraId="358BCE5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χ</w:t>
            </w:r>
            <w:r w:rsidRPr="002223C7">
              <w:rPr>
                <w:rFonts w:ascii="Times New Roman" w:eastAsia="Times New Roman" w:hAnsi="Times New Roman" w:cs="Times New Roman"/>
                <w:color w:val="000000"/>
                <w:vertAlign w:val="superscript"/>
              </w:rPr>
              <w:t>2</w:t>
            </w:r>
            <w:r w:rsidRPr="002223C7">
              <w:rPr>
                <w:rFonts w:ascii="Times New Roman" w:eastAsia="Times New Roman" w:hAnsi="Times New Roman" w:cs="Times New Roman"/>
                <w:color w:val="000000"/>
              </w:rPr>
              <w:t>-stat</w:t>
            </w:r>
          </w:p>
        </w:tc>
      </w:tr>
      <w:tr w:rsidR="00DE6FE8" w:rsidRPr="002223C7" w14:paraId="48BA7FF3" w14:textId="77777777" w:rsidTr="00DE6FE8">
        <w:trPr>
          <w:trHeight w:hRule="exact" w:val="144"/>
        </w:trPr>
        <w:tc>
          <w:tcPr>
            <w:tcW w:w="1462" w:type="pct"/>
            <w:tcBorders>
              <w:top w:val="nil"/>
              <w:left w:val="nil"/>
              <w:bottom w:val="nil"/>
              <w:right w:val="nil"/>
            </w:tcBorders>
            <w:shd w:val="clear" w:color="auto" w:fill="auto"/>
            <w:noWrap/>
            <w:vAlign w:val="center"/>
            <w:hideMark/>
          </w:tcPr>
          <w:p w14:paraId="4C5AA318"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907" w:type="pct"/>
            <w:tcBorders>
              <w:top w:val="nil"/>
              <w:left w:val="nil"/>
              <w:bottom w:val="nil"/>
              <w:right w:val="nil"/>
            </w:tcBorders>
            <w:shd w:val="clear" w:color="auto" w:fill="auto"/>
            <w:vAlign w:val="center"/>
            <w:hideMark/>
          </w:tcPr>
          <w:p w14:paraId="4C2FA609"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5B018AB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6532D04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696D89DC"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nil"/>
              <w:left w:val="nil"/>
              <w:bottom w:val="nil"/>
              <w:right w:val="nil"/>
            </w:tcBorders>
            <w:shd w:val="clear" w:color="auto" w:fill="auto"/>
            <w:noWrap/>
            <w:vAlign w:val="center"/>
            <w:hideMark/>
          </w:tcPr>
          <w:p w14:paraId="2A4EBB1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296CA9CA"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7D09D9CB" w14:textId="77777777" w:rsidTr="00DE6FE8">
        <w:trPr>
          <w:trHeight w:val="290"/>
        </w:trPr>
        <w:tc>
          <w:tcPr>
            <w:tcW w:w="1462" w:type="pct"/>
            <w:tcBorders>
              <w:top w:val="nil"/>
              <w:left w:val="nil"/>
              <w:bottom w:val="nil"/>
              <w:right w:val="nil"/>
            </w:tcBorders>
            <w:shd w:val="clear" w:color="auto" w:fill="auto"/>
            <w:noWrap/>
            <w:vAlign w:val="center"/>
            <w:hideMark/>
          </w:tcPr>
          <w:p w14:paraId="35CB77C0"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SPONSOR_BOARD%</w:t>
            </w:r>
          </w:p>
        </w:tc>
        <w:tc>
          <w:tcPr>
            <w:tcW w:w="907" w:type="pct"/>
            <w:tcBorders>
              <w:top w:val="nil"/>
              <w:left w:val="nil"/>
              <w:bottom w:val="nil"/>
              <w:right w:val="nil"/>
            </w:tcBorders>
            <w:shd w:val="clear" w:color="auto" w:fill="auto"/>
            <w:vAlign w:val="center"/>
            <w:hideMark/>
          </w:tcPr>
          <w:p w14:paraId="59BDDEDC"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223C7">
              <w:rPr>
                <w:rFonts w:ascii="Times New Roman" w:eastAsia="Times New Roman" w:hAnsi="Times New Roman" w:cs="Times New Roman"/>
                <w:color w:val="000000"/>
              </w:rPr>
              <w:t>4.</w:t>
            </w:r>
            <w:r>
              <w:rPr>
                <w:rFonts w:ascii="Times New Roman" w:eastAsia="Times New Roman" w:hAnsi="Times New Roman" w:cs="Times New Roman"/>
                <w:color w:val="000000"/>
              </w:rPr>
              <w:t>854</w:t>
            </w:r>
            <w:r w:rsidRPr="002223C7">
              <w:rPr>
                <w:rFonts w:ascii="Times New Roman" w:eastAsia="Times New Roman" w:hAnsi="Times New Roman" w:cs="Times New Roman"/>
                <w:color w:val="000000"/>
              </w:rPr>
              <w:t>***</w:t>
            </w:r>
          </w:p>
        </w:tc>
        <w:tc>
          <w:tcPr>
            <w:tcW w:w="496" w:type="pct"/>
            <w:tcBorders>
              <w:top w:val="nil"/>
              <w:left w:val="nil"/>
              <w:bottom w:val="nil"/>
              <w:right w:val="nil"/>
            </w:tcBorders>
            <w:shd w:val="clear" w:color="auto" w:fill="auto"/>
            <w:noWrap/>
            <w:vAlign w:val="center"/>
            <w:hideMark/>
          </w:tcPr>
          <w:p w14:paraId="641B7D27"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17.</w:t>
            </w:r>
            <w:r>
              <w:rPr>
                <w:rFonts w:ascii="Times New Roman" w:eastAsia="Times New Roman" w:hAnsi="Times New Roman" w:cs="Times New Roman"/>
                <w:color w:val="000000"/>
              </w:rPr>
              <w:t>76</w:t>
            </w:r>
          </w:p>
        </w:tc>
        <w:tc>
          <w:tcPr>
            <w:tcW w:w="558" w:type="pct"/>
            <w:tcBorders>
              <w:top w:val="nil"/>
              <w:left w:val="nil"/>
              <w:bottom w:val="nil"/>
              <w:right w:val="nil"/>
            </w:tcBorders>
            <w:shd w:val="clear" w:color="auto" w:fill="auto"/>
            <w:noWrap/>
            <w:vAlign w:val="center"/>
            <w:hideMark/>
          </w:tcPr>
          <w:p w14:paraId="0D9D3C34"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hideMark/>
          </w:tcPr>
          <w:p w14:paraId="641B541B"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0776790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670D1C76"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5EAC3AFB" w14:textId="77777777" w:rsidTr="00DE6FE8">
        <w:trPr>
          <w:trHeight w:hRule="exact" w:val="290"/>
        </w:trPr>
        <w:tc>
          <w:tcPr>
            <w:tcW w:w="1462" w:type="pct"/>
            <w:tcBorders>
              <w:top w:val="nil"/>
              <w:left w:val="nil"/>
              <w:bottom w:val="nil"/>
              <w:right w:val="nil"/>
            </w:tcBorders>
            <w:shd w:val="clear" w:color="auto" w:fill="auto"/>
            <w:noWrap/>
            <w:vAlign w:val="center"/>
          </w:tcPr>
          <w:p w14:paraId="7DF53568"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PIPE</w:t>
            </w:r>
          </w:p>
        </w:tc>
        <w:tc>
          <w:tcPr>
            <w:tcW w:w="907" w:type="pct"/>
            <w:tcBorders>
              <w:top w:val="nil"/>
              <w:left w:val="nil"/>
              <w:bottom w:val="nil"/>
              <w:right w:val="nil"/>
            </w:tcBorders>
            <w:shd w:val="clear" w:color="auto" w:fill="auto"/>
            <w:vAlign w:val="center"/>
          </w:tcPr>
          <w:p w14:paraId="430ECFF1"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tcPr>
          <w:p w14:paraId="2A4C1F74"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455F62E2"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2223C7">
              <w:rPr>
                <w:rFonts w:ascii="Times New Roman" w:eastAsia="Times New Roman" w:hAnsi="Times New Roman" w:cs="Times New Roman"/>
                <w:color w:val="000000"/>
              </w:rPr>
              <w:t>1.0</w:t>
            </w:r>
            <w:r>
              <w:rPr>
                <w:rFonts w:ascii="Times New Roman" w:eastAsia="Times New Roman" w:hAnsi="Times New Roman" w:cs="Times New Roman"/>
                <w:color w:val="000000"/>
              </w:rPr>
              <w:t>27</w:t>
            </w:r>
            <w:r w:rsidRPr="002223C7">
              <w:rPr>
                <w:rFonts w:ascii="Times New Roman" w:eastAsia="Times New Roman" w:hAnsi="Times New Roman" w:cs="Times New Roman"/>
                <w:color w:val="000000"/>
              </w:rPr>
              <w:t>*</w:t>
            </w:r>
          </w:p>
        </w:tc>
        <w:tc>
          <w:tcPr>
            <w:tcW w:w="496" w:type="pct"/>
            <w:tcBorders>
              <w:top w:val="nil"/>
              <w:left w:val="nil"/>
              <w:bottom w:val="nil"/>
              <w:right w:val="nil"/>
            </w:tcBorders>
            <w:shd w:val="clear" w:color="auto" w:fill="auto"/>
            <w:noWrap/>
            <w:vAlign w:val="center"/>
          </w:tcPr>
          <w:p w14:paraId="77614559"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3.51</w:t>
            </w:r>
          </w:p>
        </w:tc>
        <w:tc>
          <w:tcPr>
            <w:tcW w:w="585" w:type="pct"/>
            <w:tcBorders>
              <w:top w:val="nil"/>
              <w:left w:val="nil"/>
              <w:bottom w:val="nil"/>
              <w:right w:val="nil"/>
            </w:tcBorders>
            <w:shd w:val="clear" w:color="auto" w:fill="auto"/>
            <w:noWrap/>
            <w:vAlign w:val="center"/>
          </w:tcPr>
          <w:p w14:paraId="69AE71F2"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6456529D"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3A63B9E8" w14:textId="77777777" w:rsidTr="00DE6FE8">
        <w:trPr>
          <w:trHeight w:hRule="exact" w:val="290"/>
        </w:trPr>
        <w:tc>
          <w:tcPr>
            <w:tcW w:w="1462" w:type="pct"/>
            <w:tcBorders>
              <w:top w:val="nil"/>
              <w:left w:val="nil"/>
              <w:bottom w:val="nil"/>
              <w:right w:val="nil"/>
            </w:tcBorders>
            <w:shd w:val="clear" w:color="auto" w:fill="auto"/>
            <w:noWrap/>
            <w:vAlign w:val="center"/>
            <w:hideMark/>
          </w:tcPr>
          <w:p w14:paraId="105FA93F"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FIRSTYEAR</w:t>
            </w:r>
          </w:p>
        </w:tc>
        <w:tc>
          <w:tcPr>
            <w:tcW w:w="907" w:type="pct"/>
            <w:tcBorders>
              <w:top w:val="nil"/>
              <w:left w:val="nil"/>
              <w:bottom w:val="nil"/>
              <w:right w:val="nil"/>
            </w:tcBorders>
            <w:shd w:val="clear" w:color="auto" w:fill="auto"/>
            <w:vAlign w:val="center"/>
            <w:hideMark/>
          </w:tcPr>
          <w:p w14:paraId="40EC853E"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hideMark/>
          </w:tcPr>
          <w:p w14:paraId="4CC06D92"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0D384FE9"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445E5744"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7246995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223C7">
              <w:rPr>
                <w:rFonts w:ascii="Times New Roman" w:eastAsia="Times New Roman" w:hAnsi="Times New Roman" w:cs="Times New Roman"/>
                <w:color w:val="000000"/>
              </w:rPr>
              <w:t>1.9</w:t>
            </w:r>
            <w:r>
              <w:rPr>
                <w:rFonts w:ascii="Times New Roman" w:eastAsia="Times New Roman" w:hAnsi="Times New Roman" w:cs="Times New Roman"/>
                <w:color w:val="000000"/>
              </w:rPr>
              <w:t>50</w:t>
            </w:r>
            <w:r w:rsidRPr="002223C7">
              <w:rPr>
                <w:rFonts w:ascii="Times New Roman" w:eastAsia="Times New Roman" w:hAnsi="Times New Roman" w:cs="Times New Roman"/>
                <w:color w:val="000000"/>
              </w:rPr>
              <w:t>***</w:t>
            </w:r>
          </w:p>
        </w:tc>
        <w:tc>
          <w:tcPr>
            <w:tcW w:w="496" w:type="pct"/>
            <w:tcBorders>
              <w:top w:val="nil"/>
              <w:left w:val="nil"/>
              <w:bottom w:val="nil"/>
              <w:right w:val="nil"/>
            </w:tcBorders>
            <w:shd w:val="clear" w:color="auto" w:fill="auto"/>
            <w:noWrap/>
            <w:vAlign w:val="center"/>
            <w:hideMark/>
          </w:tcPr>
          <w:p w14:paraId="19750C40"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rPr>
              <w:t>19.60</w:t>
            </w:r>
          </w:p>
        </w:tc>
      </w:tr>
      <w:tr w:rsidR="00DE6FE8" w:rsidRPr="002223C7" w14:paraId="14F35BA6" w14:textId="77777777" w:rsidTr="00DE6FE8">
        <w:trPr>
          <w:trHeight w:val="290"/>
        </w:trPr>
        <w:tc>
          <w:tcPr>
            <w:tcW w:w="1462" w:type="pct"/>
            <w:tcBorders>
              <w:top w:val="nil"/>
              <w:left w:val="nil"/>
              <w:bottom w:val="nil"/>
              <w:right w:val="nil"/>
            </w:tcBorders>
            <w:shd w:val="clear" w:color="auto" w:fill="auto"/>
            <w:noWrap/>
            <w:vAlign w:val="center"/>
            <w:hideMark/>
          </w:tcPr>
          <w:p w14:paraId="1EDFDE23"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Controls/Fixed Effects</w:t>
            </w:r>
          </w:p>
        </w:tc>
        <w:tc>
          <w:tcPr>
            <w:tcW w:w="907" w:type="pct"/>
            <w:tcBorders>
              <w:top w:val="nil"/>
              <w:left w:val="nil"/>
              <w:bottom w:val="nil"/>
              <w:right w:val="nil"/>
            </w:tcBorders>
            <w:shd w:val="clear" w:color="auto" w:fill="auto"/>
            <w:vAlign w:val="center"/>
            <w:hideMark/>
          </w:tcPr>
          <w:p w14:paraId="0D59AAED"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43FF0124"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58" w:type="pct"/>
            <w:tcBorders>
              <w:top w:val="nil"/>
              <w:left w:val="nil"/>
              <w:bottom w:val="nil"/>
              <w:right w:val="nil"/>
            </w:tcBorders>
            <w:shd w:val="clear" w:color="auto" w:fill="auto"/>
            <w:noWrap/>
            <w:vAlign w:val="center"/>
            <w:hideMark/>
          </w:tcPr>
          <w:p w14:paraId="28DBA104"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Yes/Yes</w:t>
            </w:r>
          </w:p>
        </w:tc>
        <w:tc>
          <w:tcPr>
            <w:tcW w:w="496" w:type="pct"/>
            <w:tcBorders>
              <w:top w:val="nil"/>
              <w:left w:val="nil"/>
              <w:bottom w:val="nil"/>
              <w:right w:val="nil"/>
            </w:tcBorders>
            <w:shd w:val="clear" w:color="auto" w:fill="auto"/>
            <w:noWrap/>
            <w:vAlign w:val="center"/>
            <w:hideMark/>
          </w:tcPr>
          <w:p w14:paraId="0CBCCF41"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vAlign w:val="center"/>
            <w:hideMark/>
          </w:tcPr>
          <w:p w14:paraId="426797F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1B3D2CFB"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48822DB6" w14:textId="77777777" w:rsidTr="00DE6FE8">
        <w:trPr>
          <w:trHeight w:hRule="exact" w:val="144"/>
        </w:trPr>
        <w:tc>
          <w:tcPr>
            <w:tcW w:w="1462" w:type="pct"/>
            <w:tcBorders>
              <w:top w:val="nil"/>
              <w:left w:val="nil"/>
              <w:bottom w:val="nil"/>
              <w:right w:val="nil"/>
            </w:tcBorders>
            <w:shd w:val="clear" w:color="auto" w:fill="auto"/>
            <w:noWrap/>
            <w:vAlign w:val="center"/>
            <w:hideMark/>
          </w:tcPr>
          <w:p w14:paraId="570FA73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907" w:type="pct"/>
            <w:tcBorders>
              <w:top w:val="nil"/>
              <w:left w:val="nil"/>
              <w:bottom w:val="nil"/>
              <w:right w:val="nil"/>
            </w:tcBorders>
            <w:shd w:val="clear" w:color="auto" w:fill="auto"/>
            <w:vAlign w:val="center"/>
            <w:hideMark/>
          </w:tcPr>
          <w:p w14:paraId="0E8E3CB4"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01BB6B75"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0E162579"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02A84EC2"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0DE20AA6"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33BF2F31"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584CD4C1" w14:textId="77777777" w:rsidTr="00DE6FE8">
        <w:trPr>
          <w:trHeight w:hRule="exact" w:val="290"/>
        </w:trPr>
        <w:tc>
          <w:tcPr>
            <w:tcW w:w="1462" w:type="pct"/>
            <w:tcBorders>
              <w:top w:val="nil"/>
              <w:left w:val="nil"/>
              <w:bottom w:val="nil"/>
              <w:right w:val="nil"/>
            </w:tcBorders>
            <w:shd w:val="clear" w:color="auto" w:fill="auto"/>
            <w:noWrap/>
            <w:vAlign w:val="center"/>
            <w:hideMark/>
          </w:tcPr>
          <w:p w14:paraId="452080D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3538" w:type="pct"/>
            <w:gridSpan w:val="6"/>
            <w:tcBorders>
              <w:top w:val="nil"/>
              <w:left w:val="nil"/>
              <w:bottom w:val="nil"/>
              <w:right w:val="nil"/>
            </w:tcBorders>
            <w:shd w:val="clear" w:color="auto" w:fill="auto"/>
            <w:vAlign w:val="center"/>
            <w:hideMark/>
          </w:tcPr>
          <w:p w14:paraId="0AFAF31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Dependent Variable: </w:t>
            </w:r>
            <w:r w:rsidRPr="002223C7">
              <w:rPr>
                <w:rFonts w:ascii="Times New Roman" w:eastAsia="Times New Roman" w:hAnsi="Times New Roman" w:cs="Times New Roman"/>
                <w:i/>
                <w:iCs/>
                <w:color w:val="000000"/>
              </w:rPr>
              <w:t>MATERIALWEAKNESS</w:t>
            </w:r>
          </w:p>
        </w:tc>
      </w:tr>
      <w:tr w:rsidR="00DE6FE8" w:rsidRPr="002223C7" w14:paraId="124CF7F9" w14:textId="77777777" w:rsidTr="00DE6FE8">
        <w:trPr>
          <w:trHeight w:hRule="exact" w:val="144"/>
        </w:trPr>
        <w:tc>
          <w:tcPr>
            <w:tcW w:w="1462" w:type="pct"/>
            <w:tcBorders>
              <w:top w:val="nil"/>
              <w:left w:val="nil"/>
              <w:bottom w:val="nil"/>
              <w:right w:val="nil"/>
            </w:tcBorders>
            <w:shd w:val="clear" w:color="auto" w:fill="auto"/>
            <w:noWrap/>
            <w:vAlign w:val="center"/>
            <w:hideMark/>
          </w:tcPr>
          <w:p w14:paraId="168AE5AE"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907" w:type="pct"/>
            <w:tcBorders>
              <w:top w:val="single" w:sz="12" w:space="0" w:color="auto"/>
              <w:left w:val="nil"/>
              <w:bottom w:val="nil"/>
              <w:right w:val="nil"/>
            </w:tcBorders>
            <w:shd w:val="clear" w:color="auto" w:fill="auto"/>
            <w:vAlign w:val="center"/>
            <w:hideMark/>
          </w:tcPr>
          <w:p w14:paraId="6999F77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single" w:sz="12" w:space="0" w:color="auto"/>
              <w:left w:val="nil"/>
              <w:bottom w:val="nil"/>
              <w:right w:val="nil"/>
            </w:tcBorders>
            <w:shd w:val="clear" w:color="auto" w:fill="auto"/>
            <w:noWrap/>
            <w:vAlign w:val="center"/>
            <w:hideMark/>
          </w:tcPr>
          <w:p w14:paraId="52B74CFF"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58" w:type="pct"/>
            <w:tcBorders>
              <w:top w:val="single" w:sz="12" w:space="0" w:color="auto"/>
              <w:left w:val="nil"/>
              <w:bottom w:val="nil"/>
              <w:right w:val="nil"/>
            </w:tcBorders>
            <w:shd w:val="clear" w:color="auto" w:fill="auto"/>
            <w:noWrap/>
            <w:vAlign w:val="center"/>
            <w:hideMark/>
          </w:tcPr>
          <w:p w14:paraId="5D11B86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single" w:sz="12" w:space="0" w:color="auto"/>
              <w:left w:val="nil"/>
              <w:bottom w:val="nil"/>
              <w:right w:val="nil"/>
            </w:tcBorders>
            <w:shd w:val="clear" w:color="auto" w:fill="auto"/>
            <w:noWrap/>
            <w:vAlign w:val="center"/>
            <w:hideMark/>
          </w:tcPr>
          <w:p w14:paraId="0BDBA16F"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single" w:sz="12" w:space="0" w:color="auto"/>
              <w:left w:val="nil"/>
              <w:bottom w:val="nil"/>
              <w:right w:val="nil"/>
            </w:tcBorders>
            <w:shd w:val="clear" w:color="auto" w:fill="auto"/>
            <w:noWrap/>
            <w:vAlign w:val="center"/>
            <w:hideMark/>
          </w:tcPr>
          <w:p w14:paraId="03CCCF48"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single" w:sz="12" w:space="0" w:color="auto"/>
              <w:left w:val="nil"/>
              <w:bottom w:val="nil"/>
              <w:right w:val="nil"/>
            </w:tcBorders>
            <w:shd w:val="clear" w:color="auto" w:fill="auto"/>
            <w:noWrap/>
            <w:vAlign w:val="center"/>
            <w:hideMark/>
          </w:tcPr>
          <w:p w14:paraId="6338BA39"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r>
      <w:tr w:rsidR="00DE6FE8" w:rsidRPr="002223C7" w14:paraId="5A0900A1" w14:textId="77777777" w:rsidTr="00DE6FE8">
        <w:trPr>
          <w:trHeight w:val="290"/>
        </w:trPr>
        <w:tc>
          <w:tcPr>
            <w:tcW w:w="1462" w:type="pct"/>
            <w:tcBorders>
              <w:top w:val="nil"/>
              <w:left w:val="nil"/>
              <w:bottom w:val="nil"/>
              <w:right w:val="nil"/>
            </w:tcBorders>
            <w:shd w:val="clear" w:color="auto" w:fill="auto"/>
            <w:noWrap/>
            <w:vAlign w:val="center"/>
            <w:hideMark/>
          </w:tcPr>
          <w:p w14:paraId="2DD1C813"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SPONSOR_BOARD%</w:t>
            </w:r>
          </w:p>
        </w:tc>
        <w:tc>
          <w:tcPr>
            <w:tcW w:w="907" w:type="pct"/>
            <w:tcBorders>
              <w:top w:val="nil"/>
              <w:left w:val="nil"/>
              <w:bottom w:val="nil"/>
              <w:right w:val="nil"/>
            </w:tcBorders>
            <w:shd w:val="clear" w:color="auto" w:fill="auto"/>
            <w:vAlign w:val="center"/>
            <w:hideMark/>
          </w:tcPr>
          <w:p w14:paraId="63F558B7"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-1.9</w:t>
            </w:r>
            <w:r>
              <w:rPr>
                <w:rFonts w:ascii="Times New Roman" w:eastAsia="Times New Roman" w:hAnsi="Times New Roman" w:cs="Times New Roman"/>
                <w:color w:val="000000"/>
              </w:rPr>
              <w:t>83</w:t>
            </w:r>
          </w:p>
        </w:tc>
        <w:tc>
          <w:tcPr>
            <w:tcW w:w="496" w:type="pct"/>
            <w:tcBorders>
              <w:top w:val="nil"/>
              <w:left w:val="nil"/>
              <w:bottom w:val="nil"/>
              <w:right w:val="nil"/>
            </w:tcBorders>
            <w:shd w:val="clear" w:color="auto" w:fill="auto"/>
            <w:noWrap/>
            <w:vAlign w:val="center"/>
            <w:hideMark/>
          </w:tcPr>
          <w:p w14:paraId="56596030"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2.</w:t>
            </w:r>
            <w:r>
              <w:rPr>
                <w:rFonts w:ascii="Times New Roman" w:eastAsia="Times New Roman" w:hAnsi="Times New Roman" w:cs="Times New Roman"/>
                <w:color w:val="000000"/>
              </w:rPr>
              <w:t>50</w:t>
            </w:r>
          </w:p>
        </w:tc>
        <w:tc>
          <w:tcPr>
            <w:tcW w:w="558" w:type="pct"/>
            <w:tcBorders>
              <w:top w:val="nil"/>
              <w:left w:val="nil"/>
              <w:bottom w:val="nil"/>
              <w:right w:val="nil"/>
            </w:tcBorders>
            <w:shd w:val="clear" w:color="auto" w:fill="auto"/>
            <w:noWrap/>
            <w:vAlign w:val="center"/>
            <w:hideMark/>
          </w:tcPr>
          <w:p w14:paraId="3DCBE702"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hideMark/>
          </w:tcPr>
          <w:p w14:paraId="5269FBD6"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46EF1EDA"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5E7F706D"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70D7725F" w14:textId="77777777" w:rsidTr="00DE6FE8">
        <w:trPr>
          <w:trHeight w:hRule="exact" w:val="290"/>
        </w:trPr>
        <w:tc>
          <w:tcPr>
            <w:tcW w:w="1462" w:type="pct"/>
            <w:tcBorders>
              <w:top w:val="nil"/>
              <w:left w:val="nil"/>
              <w:bottom w:val="nil"/>
              <w:right w:val="nil"/>
            </w:tcBorders>
            <w:shd w:val="clear" w:color="auto" w:fill="auto"/>
            <w:noWrap/>
            <w:vAlign w:val="center"/>
          </w:tcPr>
          <w:p w14:paraId="266A0412"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PIPE</w:t>
            </w:r>
          </w:p>
        </w:tc>
        <w:tc>
          <w:tcPr>
            <w:tcW w:w="907" w:type="pct"/>
            <w:tcBorders>
              <w:top w:val="nil"/>
              <w:left w:val="nil"/>
              <w:bottom w:val="nil"/>
              <w:right w:val="nil"/>
            </w:tcBorders>
            <w:shd w:val="clear" w:color="auto" w:fill="auto"/>
            <w:vAlign w:val="center"/>
          </w:tcPr>
          <w:p w14:paraId="4C2AE960"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tcPr>
          <w:p w14:paraId="2547E29D"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51CD799A"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-0.4</w:t>
            </w:r>
            <w:r>
              <w:rPr>
                <w:rFonts w:ascii="Times New Roman" w:eastAsia="Times New Roman" w:hAnsi="Times New Roman" w:cs="Times New Roman"/>
                <w:color w:val="000000"/>
              </w:rPr>
              <w:t>46</w:t>
            </w:r>
          </w:p>
        </w:tc>
        <w:tc>
          <w:tcPr>
            <w:tcW w:w="496" w:type="pct"/>
            <w:tcBorders>
              <w:top w:val="nil"/>
              <w:left w:val="nil"/>
              <w:bottom w:val="nil"/>
              <w:right w:val="nil"/>
            </w:tcBorders>
            <w:shd w:val="clear" w:color="auto" w:fill="auto"/>
            <w:noWrap/>
            <w:vAlign w:val="center"/>
          </w:tcPr>
          <w:p w14:paraId="52BED73F"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0.</w:t>
            </w:r>
            <w:r>
              <w:rPr>
                <w:rFonts w:ascii="Times New Roman" w:eastAsia="Times New Roman" w:hAnsi="Times New Roman" w:cs="Times New Roman"/>
                <w:color w:val="000000"/>
              </w:rPr>
              <w:t>80</w:t>
            </w:r>
          </w:p>
        </w:tc>
        <w:tc>
          <w:tcPr>
            <w:tcW w:w="585" w:type="pct"/>
            <w:tcBorders>
              <w:top w:val="nil"/>
              <w:left w:val="nil"/>
              <w:bottom w:val="nil"/>
              <w:right w:val="nil"/>
            </w:tcBorders>
            <w:shd w:val="clear" w:color="auto" w:fill="auto"/>
            <w:noWrap/>
            <w:vAlign w:val="center"/>
          </w:tcPr>
          <w:p w14:paraId="7E545E9B"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05BE4E8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28B8F0CD" w14:textId="77777777" w:rsidTr="00DE6FE8">
        <w:trPr>
          <w:trHeight w:hRule="exact" w:val="290"/>
        </w:trPr>
        <w:tc>
          <w:tcPr>
            <w:tcW w:w="1462" w:type="pct"/>
            <w:tcBorders>
              <w:top w:val="nil"/>
              <w:left w:val="nil"/>
              <w:bottom w:val="nil"/>
              <w:right w:val="nil"/>
            </w:tcBorders>
            <w:shd w:val="clear" w:color="auto" w:fill="auto"/>
            <w:noWrap/>
            <w:vAlign w:val="center"/>
            <w:hideMark/>
          </w:tcPr>
          <w:p w14:paraId="144BA4D8"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FIRSTYEAR</w:t>
            </w:r>
          </w:p>
        </w:tc>
        <w:tc>
          <w:tcPr>
            <w:tcW w:w="907" w:type="pct"/>
            <w:tcBorders>
              <w:top w:val="nil"/>
              <w:left w:val="nil"/>
              <w:bottom w:val="nil"/>
              <w:right w:val="nil"/>
            </w:tcBorders>
            <w:shd w:val="clear" w:color="auto" w:fill="auto"/>
            <w:vAlign w:val="center"/>
            <w:hideMark/>
          </w:tcPr>
          <w:p w14:paraId="34FFAF89"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hideMark/>
          </w:tcPr>
          <w:p w14:paraId="4FFDF60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5CD473E3" w14:textId="77777777" w:rsidR="00DE6FE8" w:rsidRPr="002223C7" w:rsidRDefault="00DE6FE8" w:rsidP="00DE6FE8">
            <w:pPr>
              <w:spacing w:after="0" w:line="240" w:lineRule="auto"/>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5D6EA348"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787AD67F"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w:t>
            </w:r>
            <w:r>
              <w:rPr>
                <w:rFonts w:ascii="Times New Roman" w:eastAsia="Times New Roman" w:hAnsi="Times New Roman" w:cs="Times New Roman"/>
                <w:color w:val="000000"/>
              </w:rPr>
              <w:t>2.168**</w:t>
            </w:r>
          </w:p>
        </w:tc>
        <w:tc>
          <w:tcPr>
            <w:tcW w:w="496" w:type="pct"/>
            <w:tcBorders>
              <w:top w:val="nil"/>
              <w:left w:val="nil"/>
              <w:bottom w:val="nil"/>
              <w:right w:val="nil"/>
            </w:tcBorders>
            <w:shd w:val="clear" w:color="auto" w:fill="auto"/>
            <w:noWrap/>
            <w:vAlign w:val="center"/>
            <w:hideMark/>
          </w:tcPr>
          <w:p w14:paraId="1B83C212"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r w:rsidRPr="002223C7">
              <w:rPr>
                <w:rFonts w:ascii="Times New Roman" w:eastAsia="Times New Roman" w:hAnsi="Times New Roman" w:cs="Times New Roman"/>
                <w:color w:val="000000"/>
              </w:rPr>
              <w:t>6.</w:t>
            </w:r>
            <w:r>
              <w:rPr>
                <w:rFonts w:ascii="Times New Roman" w:eastAsia="Times New Roman" w:hAnsi="Times New Roman" w:cs="Times New Roman"/>
                <w:color w:val="000000"/>
              </w:rPr>
              <w:t>12</w:t>
            </w:r>
          </w:p>
        </w:tc>
      </w:tr>
      <w:tr w:rsidR="00DE6FE8" w:rsidRPr="002223C7" w14:paraId="1CE55271" w14:textId="77777777" w:rsidTr="00DE6FE8">
        <w:trPr>
          <w:trHeight w:val="290"/>
        </w:trPr>
        <w:tc>
          <w:tcPr>
            <w:tcW w:w="1462" w:type="pct"/>
            <w:tcBorders>
              <w:top w:val="nil"/>
              <w:left w:val="nil"/>
              <w:bottom w:val="nil"/>
              <w:right w:val="nil"/>
            </w:tcBorders>
            <w:shd w:val="clear" w:color="auto" w:fill="auto"/>
            <w:noWrap/>
            <w:vAlign w:val="center"/>
            <w:hideMark/>
          </w:tcPr>
          <w:p w14:paraId="59FAAE28"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Controls/Fixed Effects</w:t>
            </w:r>
          </w:p>
        </w:tc>
        <w:tc>
          <w:tcPr>
            <w:tcW w:w="907" w:type="pct"/>
            <w:tcBorders>
              <w:top w:val="nil"/>
              <w:left w:val="nil"/>
              <w:bottom w:val="nil"/>
              <w:right w:val="nil"/>
            </w:tcBorders>
            <w:shd w:val="clear" w:color="auto" w:fill="auto"/>
            <w:vAlign w:val="center"/>
            <w:hideMark/>
          </w:tcPr>
          <w:p w14:paraId="00F80B87"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46DEE919"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58" w:type="pct"/>
            <w:tcBorders>
              <w:top w:val="nil"/>
              <w:left w:val="nil"/>
              <w:bottom w:val="nil"/>
              <w:right w:val="nil"/>
            </w:tcBorders>
            <w:shd w:val="clear" w:color="auto" w:fill="auto"/>
            <w:noWrap/>
            <w:vAlign w:val="center"/>
            <w:hideMark/>
          </w:tcPr>
          <w:p w14:paraId="70A1409E"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Yes/Yes</w:t>
            </w:r>
          </w:p>
        </w:tc>
        <w:tc>
          <w:tcPr>
            <w:tcW w:w="496" w:type="pct"/>
            <w:tcBorders>
              <w:top w:val="nil"/>
              <w:left w:val="nil"/>
              <w:bottom w:val="nil"/>
              <w:right w:val="nil"/>
            </w:tcBorders>
            <w:shd w:val="clear" w:color="auto" w:fill="auto"/>
            <w:noWrap/>
            <w:vAlign w:val="center"/>
            <w:hideMark/>
          </w:tcPr>
          <w:p w14:paraId="7538DF36"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21D8178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7A0B41B9"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55DCC4DB" w14:textId="77777777" w:rsidTr="00DE6FE8">
        <w:trPr>
          <w:trHeight w:hRule="exact" w:val="144"/>
        </w:trPr>
        <w:tc>
          <w:tcPr>
            <w:tcW w:w="1462" w:type="pct"/>
            <w:tcBorders>
              <w:top w:val="nil"/>
              <w:left w:val="nil"/>
              <w:bottom w:val="nil"/>
              <w:right w:val="nil"/>
            </w:tcBorders>
            <w:shd w:val="clear" w:color="auto" w:fill="auto"/>
            <w:noWrap/>
            <w:vAlign w:val="center"/>
            <w:hideMark/>
          </w:tcPr>
          <w:p w14:paraId="249872D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907" w:type="pct"/>
            <w:tcBorders>
              <w:top w:val="nil"/>
              <w:left w:val="nil"/>
              <w:bottom w:val="nil"/>
              <w:right w:val="nil"/>
            </w:tcBorders>
            <w:shd w:val="clear" w:color="auto" w:fill="auto"/>
            <w:vAlign w:val="center"/>
            <w:hideMark/>
          </w:tcPr>
          <w:p w14:paraId="0779BDDB"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64752CAF"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7E402344"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7D95E4E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7A7B863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6FD83E59"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1CC6FC18" w14:textId="77777777" w:rsidTr="00DE6FE8">
        <w:trPr>
          <w:trHeight w:val="300"/>
        </w:trPr>
        <w:tc>
          <w:tcPr>
            <w:tcW w:w="1462" w:type="pct"/>
            <w:tcBorders>
              <w:top w:val="nil"/>
              <w:left w:val="nil"/>
              <w:bottom w:val="nil"/>
              <w:right w:val="nil"/>
            </w:tcBorders>
            <w:shd w:val="clear" w:color="auto" w:fill="auto"/>
            <w:noWrap/>
            <w:vAlign w:val="center"/>
            <w:hideMark/>
          </w:tcPr>
          <w:p w14:paraId="1178EE6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3538" w:type="pct"/>
            <w:gridSpan w:val="6"/>
            <w:tcBorders>
              <w:top w:val="nil"/>
              <w:left w:val="nil"/>
              <w:bottom w:val="single" w:sz="12" w:space="0" w:color="auto"/>
              <w:right w:val="nil"/>
            </w:tcBorders>
            <w:shd w:val="clear" w:color="auto" w:fill="auto"/>
            <w:vAlign w:val="center"/>
            <w:hideMark/>
          </w:tcPr>
          <w:p w14:paraId="675E03DC"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Dependent Variable: </w:t>
            </w:r>
            <w:r w:rsidRPr="002223C7">
              <w:rPr>
                <w:rFonts w:ascii="Times New Roman" w:eastAsia="Times New Roman" w:hAnsi="Times New Roman" w:cs="Times New Roman"/>
                <w:i/>
                <w:iCs/>
                <w:color w:val="000000"/>
              </w:rPr>
              <w:t>RESTATE</w:t>
            </w:r>
            <w:r w:rsidRPr="002223C7">
              <w:rPr>
                <w:rFonts w:ascii="Times New Roman" w:eastAsia="Times New Roman" w:hAnsi="Times New Roman" w:cs="Times New Roman"/>
                <w:color w:val="000000"/>
              </w:rPr>
              <w:t xml:space="preserve"> (Excluding warrant-related)</w:t>
            </w:r>
          </w:p>
        </w:tc>
      </w:tr>
      <w:tr w:rsidR="00DE6FE8" w:rsidRPr="002223C7" w14:paraId="71F2470C" w14:textId="77777777" w:rsidTr="00DE6FE8">
        <w:trPr>
          <w:trHeight w:hRule="exact" w:val="144"/>
        </w:trPr>
        <w:tc>
          <w:tcPr>
            <w:tcW w:w="1462" w:type="pct"/>
            <w:tcBorders>
              <w:top w:val="nil"/>
              <w:left w:val="nil"/>
              <w:bottom w:val="nil"/>
              <w:right w:val="nil"/>
            </w:tcBorders>
            <w:shd w:val="clear" w:color="auto" w:fill="auto"/>
            <w:noWrap/>
            <w:vAlign w:val="center"/>
            <w:hideMark/>
          </w:tcPr>
          <w:p w14:paraId="18C1F126"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907" w:type="pct"/>
            <w:tcBorders>
              <w:top w:val="nil"/>
              <w:left w:val="nil"/>
              <w:bottom w:val="nil"/>
              <w:right w:val="nil"/>
            </w:tcBorders>
            <w:shd w:val="clear" w:color="auto" w:fill="auto"/>
            <w:vAlign w:val="center"/>
            <w:hideMark/>
          </w:tcPr>
          <w:p w14:paraId="634CFCC5"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1B89F3BA"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1657D81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430A1365"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nil"/>
              <w:left w:val="nil"/>
              <w:bottom w:val="nil"/>
              <w:right w:val="nil"/>
            </w:tcBorders>
            <w:shd w:val="clear" w:color="auto" w:fill="auto"/>
            <w:noWrap/>
            <w:vAlign w:val="center"/>
            <w:hideMark/>
          </w:tcPr>
          <w:p w14:paraId="7496DB2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5A61B890"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08B42B1D" w14:textId="77777777" w:rsidTr="00DE6FE8">
        <w:trPr>
          <w:trHeight w:val="290"/>
        </w:trPr>
        <w:tc>
          <w:tcPr>
            <w:tcW w:w="1462" w:type="pct"/>
            <w:tcBorders>
              <w:top w:val="nil"/>
              <w:left w:val="nil"/>
              <w:bottom w:val="nil"/>
              <w:right w:val="nil"/>
            </w:tcBorders>
            <w:shd w:val="clear" w:color="auto" w:fill="auto"/>
            <w:noWrap/>
            <w:vAlign w:val="center"/>
            <w:hideMark/>
          </w:tcPr>
          <w:p w14:paraId="769C9649"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SPONSOR_BOARD%</w:t>
            </w:r>
          </w:p>
        </w:tc>
        <w:tc>
          <w:tcPr>
            <w:tcW w:w="907" w:type="pct"/>
            <w:tcBorders>
              <w:top w:val="nil"/>
              <w:left w:val="nil"/>
              <w:bottom w:val="nil"/>
              <w:right w:val="nil"/>
            </w:tcBorders>
            <w:shd w:val="clear" w:color="auto" w:fill="auto"/>
            <w:vAlign w:val="center"/>
            <w:hideMark/>
          </w:tcPr>
          <w:p w14:paraId="703E6355"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2.979</w:t>
            </w:r>
          </w:p>
        </w:tc>
        <w:tc>
          <w:tcPr>
            <w:tcW w:w="496" w:type="pct"/>
            <w:tcBorders>
              <w:top w:val="nil"/>
              <w:left w:val="nil"/>
              <w:bottom w:val="nil"/>
              <w:right w:val="nil"/>
            </w:tcBorders>
            <w:shd w:val="clear" w:color="auto" w:fill="auto"/>
            <w:noWrap/>
            <w:vAlign w:val="center"/>
            <w:hideMark/>
          </w:tcPr>
          <w:p w14:paraId="2475949D"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w:t>
            </w:r>
          </w:p>
        </w:tc>
        <w:tc>
          <w:tcPr>
            <w:tcW w:w="558" w:type="pct"/>
            <w:tcBorders>
              <w:top w:val="nil"/>
              <w:left w:val="nil"/>
              <w:bottom w:val="nil"/>
              <w:right w:val="nil"/>
            </w:tcBorders>
            <w:shd w:val="clear" w:color="auto" w:fill="auto"/>
            <w:noWrap/>
            <w:vAlign w:val="center"/>
            <w:hideMark/>
          </w:tcPr>
          <w:p w14:paraId="4DD311B1"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hideMark/>
          </w:tcPr>
          <w:p w14:paraId="355A982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6F8BFCBD"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686BC011"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065D5D7A" w14:textId="77777777" w:rsidTr="00DE6FE8">
        <w:trPr>
          <w:trHeight w:hRule="exact" w:val="290"/>
        </w:trPr>
        <w:tc>
          <w:tcPr>
            <w:tcW w:w="1462" w:type="pct"/>
            <w:tcBorders>
              <w:top w:val="nil"/>
              <w:left w:val="nil"/>
              <w:bottom w:val="nil"/>
              <w:right w:val="nil"/>
            </w:tcBorders>
            <w:shd w:val="clear" w:color="auto" w:fill="auto"/>
            <w:noWrap/>
            <w:vAlign w:val="center"/>
          </w:tcPr>
          <w:p w14:paraId="02E6B056"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PIPE</w:t>
            </w:r>
          </w:p>
        </w:tc>
        <w:tc>
          <w:tcPr>
            <w:tcW w:w="907" w:type="pct"/>
            <w:tcBorders>
              <w:top w:val="nil"/>
              <w:left w:val="nil"/>
              <w:bottom w:val="nil"/>
              <w:right w:val="nil"/>
            </w:tcBorders>
            <w:shd w:val="clear" w:color="auto" w:fill="auto"/>
            <w:vAlign w:val="center"/>
          </w:tcPr>
          <w:p w14:paraId="67077A94"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tcPr>
          <w:p w14:paraId="24F66778"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1BEC4010" w14:textId="77777777" w:rsidR="00DE6FE8" w:rsidRPr="002223C7" w:rsidRDefault="00DE6FE8" w:rsidP="00DE6F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0.110</w:t>
            </w:r>
          </w:p>
        </w:tc>
        <w:tc>
          <w:tcPr>
            <w:tcW w:w="496" w:type="pct"/>
            <w:tcBorders>
              <w:top w:val="nil"/>
              <w:left w:val="nil"/>
              <w:bottom w:val="nil"/>
              <w:right w:val="nil"/>
            </w:tcBorders>
            <w:shd w:val="clear" w:color="auto" w:fill="auto"/>
            <w:noWrap/>
            <w:vAlign w:val="center"/>
          </w:tcPr>
          <w:p w14:paraId="516254A4"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0.0</w:t>
            </w:r>
            <w:r>
              <w:rPr>
                <w:rFonts w:ascii="Times New Roman" w:eastAsia="Times New Roman" w:hAnsi="Times New Roman" w:cs="Times New Roman"/>
                <w:color w:val="000000"/>
              </w:rPr>
              <w:t>3</w:t>
            </w:r>
          </w:p>
        </w:tc>
        <w:tc>
          <w:tcPr>
            <w:tcW w:w="585" w:type="pct"/>
            <w:tcBorders>
              <w:top w:val="nil"/>
              <w:left w:val="nil"/>
              <w:bottom w:val="nil"/>
              <w:right w:val="nil"/>
            </w:tcBorders>
            <w:shd w:val="clear" w:color="auto" w:fill="auto"/>
            <w:noWrap/>
            <w:vAlign w:val="center"/>
          </w:tcPr>
          <w:p w14:paraId="44560593"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3320A4C1"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7D88675F" w14:textId="77777777" w:rsidTr="00DE6FE8">
        <w:trPr>
          <w:trHeight w:hRule="exact" w:val="290"/>
        </w:trPr>
        <w:tc>
          <w:tcPr>
            <w:tcW w:w="1462" w:type="pct"/>
            <w:tcBorders>
              <w:top w:val="nil"/>
              <w:left w:val="nil"/>
              <w:bottom w:val="nil"/>
              <w:right w:val="nil"/>
            </w:tcBorders>
            <w:shd w:val="clear" w:color="auto" w:fill="auto"/>
            <w:noWrap/>
            <w:vAlign w:val="center"/>
            <w:hideMark/>
          </w:tcPr>
          <w:p w14:paraId="46D7D13C"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FIRSTYEAR</w:t>
            </w:r>
          </w:p>
        </w:tc>
        <w:tc>
          <w:tcPr>
            <w:tcW w:w="907" w:type="pct"/>
            <w:tcBorders>
              <w:top w:val="nil"/>
              <w:left w:val="nil"/>
              <w:bottom w:val="nil"/>
              <w:right w:val="nil"/>
            </w:tcBorders>
            <w:shd w:val="clear" w:color="auto" w:fill="auto"/>
            <w:vAlign w:val="center"/>
            <w:hideMark/>
          </w:tcPr>
          <w:p w14:paraId="6082C250"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hideMark/>
          </w:tcPr>
          <w:p w14:paraId="136556E6"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31C3753F" w14:textId="77777777" w:rsidR="00DE6FE8" w:rsidRPr="002223C7" w:rsidRDefault="00DE6FE8" w:rsidP="00DE6FE8">
            <w:pPr>
              <w:spacing w:after="0" w:line="240" w:lineRule="auto"/>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3275B480"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689A5855"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-0.</w:t>
            </w:r>
            <w:r>
              <w:rPr>
                <w:rFonts w:ascii="Times New Roman" w:eastAsia="Times New Roman" w:hAnsi="Times New Roman" w:cs="Times New Roman"/>
                <w:color w:val="000000"/>
              </w:rPr>
              <w:t>495</w:t>
            </w:r>
          </w:p>
        </w:tc>
        <w:tc>
          <w:tcPr>
            <w:tcW w:w="496" w:type="pct"/>
            <w:tcBorders>
              <w:top w:val="nil"/>
              <w:left w:val="nil"/>
              <w:bottom w:val="nil"/>
              <w:right w:val="nil"/>
            </w:tcBorders>
            <w:shd w:val="clear" w:color="auto" w:fill="auto"/>
            <w:noWrap/>
            <w:vAlign w:val="center"/>
            <w:hideMark/>
          </w:tcPr>
          <w:p w14:paraId="043B99D0"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r w:rsidRPr="002223C7">
              <w:rPr>
                <w:rFonts w:ascii="Times New Roman" w:eastAsia="Times New Roman" w:hAnsi="Times New Roman" w:cs="Times New Roman"/>
                <w:color w:val="000000"/>
              </w:rPr>
              <w:t>0.</w:t>
            </w:r>
            <w:r>
              <w:rPr>
                <w:rFonts w:ascii="Times New Roman" w:eastAsia="Times New Roman" w:hAnsi="Times New Roman" w:cs="Times New Roman"/>
                <w:color w:val="000000"/>
              </w:rPr>
              <w:t>23</w:t>
            </w:r>
          </w:p>
        </w:tc>
      </w:tr>
      <w:tr w:rsidR="00DE6FE8" w:rsidRPr="002223C7" w14:paraId="3E657DF1" w14:textId="77777777" w:rsidTr="00DE6FE8">
        <w:trPr>
          <w:trHeight w:val="290"/>
        </w:trPr>
        <w:tc>
          <w:tcPr>
            <w:tcW w:w="1462" w:type="pct"/>
            <w:tcBorders>
              <w:top w:val="nil"/>
              <w:left w:val="nil"/>
              <w:bottom w:val="nil"/>
              <w:right w:val="nil"/>
            </w:tcBorders>
            <w:shd w:val="clear" w:color="auto" w:fill="auto"/>
            <w:noWrap/>
            <w:vAlign w:val="center"/>
            <w:hideMark/>
          </w:tcPr>
          <w:p w14:paraId="74F2AB28"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Controls/Fixed Effects</w:t>
            </w:r>
          </w:p>
        </w:tc>
        <w:tc>
          <w:tcPr>
            <w:tcW w:w="907" w:type="pct"/>
            <w:tcBorders>
              <w:top w:val="nil"/>
              <w:left w:val="nil"/>
              <w:bottom w:val="nil"/>
              <w:right w:val="nil"/>
            </w:tcBorders>
            <w:shd w:val="clear" w:color="auto" w:fill="auto"/>
            <w:vAlign w:val="center"/>
            <w:hideMark/>
          </w:tcPr>
          <w:p w14:paraId="1C9D2348"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535F3D79"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58" w:type="pct"/>
            <w:tcBorders>
              <w:top w:val="nil"/>
              <w:left w:val="nil"/>
              <w:bottom w:val="nil"/>
              <w:right w:val="nil"/>
            </w:tcBorders>
            <w:shd w:val="clear" w:color="auto" w:fill="auto"/>
            <w:noWrap/>
            <w:vAlign w:val="center"/>
            <w:hideMark/>
          </w:tcPr>
          <w:p w14:paraId="07C62D44"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Yes/Yes</w:t>
            </w:r>
          </w:p>
        </w:tc>
        <w:tc>
          <w:tcPr>
            <w:tcW w:w="496" w:type="pct"/>
            <w:tcBorders>
              <w:top w:val="nil"/>
              <w:left w:val="nil"/>
              <w:bottom w:val="nil"/>
              <w:right w:val="nil"/>
            </w:tcBorders>
            <w:shd w:val="clear" w:color="auto" w:fill="auto"/>
            <w:noWrap/>
            <w:vAlign w:val="center"/>
            <w:hideMark/>
          </w:tcPr>
          <w:p w14:paraId="58C3492B"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56DACAB1"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229EBA80"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0C81DF22" w14:textId="77777777" w:rsidTr="00DE6FE8">
        <w:trPr>
          <w:trHeight w:hRule="exact" w:val="144"/>
        </w:trPr>
        <w:tc>
          <w:tcPr>
            <w:tcW w:w="1462" w:type="pct"/>
            <w:tcBorders>
              <w:top w:val="nil"/>
              <w:left w:val="nil"/>
              <w:bottom w:val="nil"/>
              <w:right w:val="nil"/>
            </w:tcBorders>
            <w:shd w:val="clear" w:color="auto" w:fill="auto"/>
            <w:noWrap/>
            <w:vAlign w:val="center"/>
            <w:hideMark/>
          </w:tcPr>
          <w:p w14:paraId="569D5E4A"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907" w:type="pct"/>
            <w:tcBorders>
              <w:top w:val="nil"/>
              <w:left w:val="nil"/>
              <w:bottom w:val="nil"/>
              <w:right w:val="nil"/>
            </w:tcBorders>
            <w:shd w:val="clear" w:color="auto" w:fill="auto"/>
            <w:vAlign w:val="center"/>
            <w:hideMark/>
          </w:tcPr>
          <w:p w14:paraId="6E37319E"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56777A7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40A177F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0D838DE1"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0AE6BA19"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507DFDE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7E80B0AD" w14:textId="77777777" w:rsidTr="00DE6FE8">
        <w:trPr>
          <w:trHeight w:val="300"/>
        </w:trPr>
        <w:tc>
          <w:tcPr>
            <w:tcW w:w="1462" w:type="pct"/>
            <w:tcBorders>
              <w:top w:val="nil"/>
              <w:left w:val="nil"/>
              <w:bottom w:val="nil"/>
              <w:right w:val="nil"/>
            </w:tcBorders>
            <w:shd w:val="clear" w:color="auto" w:fill="auto"/>
            <w:noWrap/>
            <w:vAlign w:val="center"/>
            <w:hideMark/>
          </w:tcPr>
          <w:p w14:paraId="6D59E3E1"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3538" w:type="pct"/>
            <w:gridSpan w:val="6"/>
            <w:tcBorders>
              <w:top w:val="nil"/>
              <w:left w:val="nil"/>
              <w:bottom w:val="single" w:sz="12" w:space="0" w:color="auto"/>
              <w:right w:val="nil"/>
            </w:tcBorders>
            <w:shd w:val="clear" w:color="auto" w:fill="auto"/>
            <w:vAlign w:val="center"/>
            <w:hideMark/>
          </w:tcPr>
          <w:p w14:paraId="2C882859"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Dependent Variable: </w:t>
            </w:r>
            <w:r w:rsidRPr="002223C7">
              <w:rPr>
                <w:rFonts w:ascii="Times New Roman" w:eastAsia="Times New Roman" w:hAnsi="Times New Roman" w:cs="Times New Roman"/>
                <w:i/>
                <w:iCs/>
                <w:color w:val="000000"/>
              </w:rPr>
              <w:t>NONTIMELY</w:t>
            </w:r>
          </w:p>
        </w:tc>
      </w:tr>
      <w:tr w:rsidR="00DE6FE8" w:rsidRPr="002223C7" w14:paraId="68DBC4D3" w14:textId="77777777" w:rsidTr="00DE6FE8">
        <w:trPr>
          <w:trHeight w:hRule="exact" w:val="144"/>
        </w:trPr>
        <w:tc>
          <w:tcPr>
            <w:tcW w:w="1462" w:type="pct"/>
            <w:tcBorders>
              <w:top w:val="nil"/>
              <w:left w:val="nil"/>
              <w:bottom w:val="nil"/>
              <w:right w:val="nil"/>
            </w:tcBorders>
            <w:shd w:val="clear" w:color="auto" w:fill="auto"/>
            <w:noWrap/>
            <w:vAlign w:val="center"/>
            <w:hideMark/>
          </w:tcPr>
          <w:p w14:paraId="2A06CE97"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907" w:type="pct"/>
            <w:tcBorders>
              <w:top w:val="nil"/>
              <w:left w:val="nil"/>
              <w:bottom w:val="nil"/>
              <w:right w:val="nil"/>
            </w:tcBorders>
            <w:shd w:val="clear" w:color="auto" w:fill="auto"/>
            <w:vAlign w:val="center"/>
            <w:hideMark/>
          </w:tcPr>
          <w:p w14:paraId="62304681" w14:textId="77777777" w:rsidR="00DE6FE8" w:rsidRPr="002223C7" w:rsidRDefault="00DE6FE8" w:rsidP="00DE6FE8">
            <w:pPr>
              <w:spacing w:after="0" w:line="240" w:lineRule="auto"/>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710D9FEC"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hideMark/>
          </w:tcPr>
          <w:p w14:paraId="32BD1181"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1A554394"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nil"/>
              <w:left w:val="nil"/>
              <w:bottom w:val="nil"/>
              <w:right w:val="nil"/>
            </w:tcBorders>
            <w:shd w:val="clear" w:color="auto" w:fill="auto"/>
            <w:noWrap/>
            <w:vAlign w:val="center"/>
            <w:hideMark/>
          </w:tcPr>
          <w:p w14:paraId="540E43B4"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nil"/>
              <w:right w:val="nil"/>
            </w:tcBorders>
            <w:shd w:val="clear" w:color="auto" w:fill="auto"/>
            <w:noWrap/>
            <w:vAlign w:val="center"/>
            <w:hideMark/>
          </w:tcPr>
          <w:p w14:paraId="42484069"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7A5B6834" w14:textId="77777777" w:rsidTr="00DE6FE8">
        <w:trPr>
          <w:trHeight w:val="290"/>
        </w:trPr>
        <w:tc>
          <w:tcPr>
            <w:tcW w:w="1462" w:type="pct"/>
            <w:tcBorders>
              <w:top w:val="nil"/>
              <w:left w:val="nil"/>
              <w:bottom w:val="nil"/>
              <w:right w:val="nil"/>
            </w:tcBorders>
            <w:shd w:val="clear" w:color="auto" w:fill="auto"/>
            <w:noWrap/>
            <w:vAlign w:val="center"/>
            <w:hideMark/>
          </w:tcPr>
          <w:p w14:paraId="521AB3D5"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SPONSOR_BOARD%</w:t>
            </w:r>
          </w:p>
        </w:tc>
        <w:tc>
          <w:tcPr>
            <w:tcW w:w="907" w:type="pct"/>
            <w:tcBorders>
              <w:top w:val="nil"/>
              <w:left w:val="nil"/>
              <w:bottom w:val="nil"/>
              <w:right w:val="nil"/>
            </w:tcBorders>
            <w:shd w:val="clear" w:color="auto" w:fill="auto"/>
            <w:vAlign w:val="center"/>
            <w:hideMark/>
          </w:tcPr>
          <w:p w14:paraId="6571E2C5"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997</w:t>
            </w:r>
          </w:p>
        </w:tc>
        <w:tc>
          <w:tcPr>
            <w:tcW w:w="496" w:type="pct"/>
            <w:tcBorders>
              <w:top w:val="nil"/>
              <w:left w:val="nil"/>
              <w:bottom w:val="nil"/>
              <w:right w:val="nil"/>
            </w:tcBorders>
            <w:shd w:val="clear" w:color="auto" w:fill="auto"/>
            <w:noWrap/>
            <w:vAlign w:val="center"/>
            <w:hideMark/>
          </w:tcPr>
          <w:p w14:paraId="5D158B16"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0.</w:t>
            </w:r>
            <w:r>
              <w:rPr>
                <w:rFonts w:ascii="Times New Roman" w:eastAsia="Times New Roman" w:hAnsi="Times New Roman" w:cs="Times New Roman"/>
                <w:color w:val="000000"/>
              </w:rPr>
              <w:t>36</w:t>
            </w:r>
          </w:p>
        </w:tc>
        <w:tc>
          <w:tcPr>
            <w:tcW w:w="558" w:type="pct"/>
            <w:tcBorders>
              <w:top w:val="nil"/>
              <w:left w:val="nil"/>
              <w:bottom w:val="nil"/>
              <w:right w:val="nil"/>
            </w:tcBorders>
            <w:shd w:val="clear" w:color="auto" w:fill="auto"/>
            <w:noWrap/>
            <w:vAlign w:val="center"/>
            <w:hideMark/>
          </w:tcPr>
          <w:p w14:paraId="1E85BDEF"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hideMark/>
          </w:tcPr>
          <w:p w14:paraId="0BD445BB"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85" w:type="pct"/>
            <w:tcBorders>
              <w:top w:val="nil"/>
              <w:left w:val="nil"/>
              <w:bottom w:val="nil"/>
              <w:right w:val="nil"/>
            </w:tcBorders>
            <w:shd w:val="clear" w:color="auto" w:fill="auto"/>
            <w:noWrap/>
            <w:vAlign w:val="center"/>
            <w:hideMark/>
          </w:tcPr>
          <w:p w14:paraId="6983CA7B"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496" w:type="pct"/>
            <w:tcBorders>
              <w:top w:val="nil"/>
              <w:left w:val="nil"/>
              <w:bottom w:val="nil"/>
              <w:right w:val="nil"/>
            </w:tcBorders>
            <w:shd w:val="clear" w:color="auto" w:fill="auto"/>
            <w:noWrap/>
            <w:vAlign w:val="center"/>
            <w:hideMark/>
          </w:tcPr>
          <w:p w14:paraId="7FFBCFAF"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32926DE9" w14:textId="77777777" w:rsidTr="00DE6FE8">
        <w:trPr>
          <w:trHeight w:hRule="exact" w:val="290"/>
        </w:trPr>
        <w:tc>
          <w:tcPr>
            <w:tcW w:w="1462" w:type="pct"/>
            <w:tcBorders>
              <w:top w:val="nil"/>
              <w:left w:val="nil"/>
              <w:bottom w:val="nil"/>
              <w:right w:val="nil"/>
            </w:tcBorders>
            <w:shd w:val="clear" w:color="auto" w:fill="auto"/>
            <w:noWrap/>
            <w:vAlign w:val="center"/>
          </w:tcPr>
          <w:p w14:paraId="1FB98801"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PIPE</w:t>
            </w:r>
          </w:p>
        </w:tc>
        <w:tc>
          <w:tcPr>
            <w:tcW w:w="907" w:type="pct"/>
            <w:tcBorders>
              <w:top w:val="nil"/>
              <w:left w:val="nil"/>
              <w:bottom w:val="nil"/>
              <w:right w:val="nil"/>
            </w:tcBorders>
            <w:shd w:val="clear" w:color="auto" w:fill="auto"/>
            <w:vAlign w:val="center"/>
          </w:tcPr>
          <w:p w14:paraId="2BA3649B"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tcPr>
          <w:p w14:paraId="36576AC5"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52A7E6F3"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-1.</w:t>
            </w:r>
            <w:r>
              <w:rPr>
                <w:rFonts w:ascii="Times New Roman" w:eastAsia="Times New Roman" w:hAnsi="Times New Roman" w:cs="Times New Roman"/>
                <w:color w:val="000000"/>
              </w:rPr>
              <w:t>513</w:t>
            </w:r>
            <w:r w:rsidRPr="002223C7">
              <w:rPr>
                <w:rFonts w:ascii="Times New Roman" w:eastAsia="Times New Roman" w:hAnsi="Times New Roman" w:cs="Times New Roman"/>
                <w:color w:val="000000"/>
              </w:rPr>
              <w:t>*</w:t>
            </w:r>
          </w:p>
        </w:tc>
        <w:tc>
          <w:tcPr>
            <w:tcW w:w="496" w:type="pct"/>
            <w:tcBorders>
              <w:top w:val="nil"/>
              <w:left w:val="nil"/>
              <w:bottom w:val="nil"/>
              <w:right w:val="nil"/>
            </w:tcBorders>
            <w:shd w:val="clear" w:color="auto" w:fill="auto"/>
            <w:noWrap/>
            <w:vAlign w:val="center"/>
          </w:tcPr>
          <w:p w14:paraId="0E53DAE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585" w:type="pct"/>
            <w:tcBorders>
              <w:top w:val="nil"/>
              <w:left w:val="nil"/>
              <w:bottom w:val="nil"/>
              <w:right w:val="nil"/>
            </w:tcBorders>
            <w:shd w:val="clear" w:color="auto" w:fill="auto"/>
            <w:noWrap/>
            <w:vAlign w:val="center"/>
          </w:tcPr>
          <w:p w14:paraId="4200EB70"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385511A3"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r>
      <w:tr w:rsidR="00DE6FE8" w:rsidRPr="002223C7" w14:paraId="0E7A4603" w14:textId="77777777" w:rsidTr="00DE6FE8">
        <w:trPr>
          <w:trHeight w:hRule="exact" w:val="290"/>
        </w:trPr>
        <w:tc>
          <w:tcPr>
            <w:tcW w:w="1462" w:type="pct"/>
            <w:tcBorders>
              <w:top w:val="nil"/>
              <w:left w:val="nil"/>
              <w:bottom w:val="nil"/>
              <w:right w:val="nil"/>
            </w:tcBorders>
            <w:shd w:val="clear" w:color="auto" w:fill="auto"/>
            <w:noWrap/>
            <w:vAlign w:val="center"/>
            <w:hideMark/>
          </w:tcPr>
          <w:p w14:paraId="368F595D" w14:textId="77777777" w:rsidR="00DE6FE8" w:rsidRPr="002223C7" w:rsidRDefault="00DE6FE8" w:rsidP="00DE6FE8">
            <w:pPr>
              <w:spacing w:after="0" w:line="240" w:lineRule="auto"/>
              <w:rPr>
                <w:rFonts w:ascii="Times New Roman" w:eastAsia="Times New Roman" w:hAnsi="Times New Roman" w:cs="Times New Roman"/>
                <w:i/>
                <w:iCs/>
                <w:color w:val="000000"/>
              </w:rPr>
            </w:pPr>
            <w:r w:rsidRPr="002223C7">
              <w:rPr>
                <w:rFonts w:ascii="Times New Roman" w:eastAsia="Times New Roman" w:hAnsi="Times New Roman" w:cs="Times New Roman"/>
                <w:i/>
                <w:iCs/>
                <w:color w:val="000000"/>
              </w:rPr>
              <w:t>FIRSTYEAR</w:t>
            </w:r>
          </w:p>
        </w:tc>
        <w:tc>
          <w:tcPr>
            <w:tcW w:w="907" w:type="pct"/>
            <w:tcBorders>
              <w:top w:val="nil"/>
              <w:left w:val="nil"/>
              <w:bottom w:val="nil"/>
              <w:right w:val="nil"/>
            </w:tcBorders>
            <w:shd w:val="clear" w:color="auto" w:fill="auto"/>
            <w:vAlign w:val="center"/>
            <w:hideMark/>
          </w:tcPr>
          <w:p w14:paraId="346416D5" w14:textId="77777777" w:rsidR="00DE6FE8" w:rsidRPr="002223C7" w:rsidRDefault="00DE6FE8" w:rsidP="00DE6FE8">
            <w:pPr>
              <w:spacing w:after="0" w:line="240" w:lineRule="auto"/>
              <w:rPr>
                <w:rFonts w:ascii="Times New Roman" w:eastAsia="Times New Roman" w:hAnsi="Times New Roman" w:cs="Times New Roman"/>
                <w:i/>
                <w:iCs/>
                <w:color w:val="000000"/>
              </w:rPr>
            </w:pPr>
          </w:p>
        </w:tc>
        <w:tc>
          <w:tcPr>
            <w:tcW w:w="496" w:type="pct"/>
            <w:tcBorders>
              <w:top w:val="nil"/>
              <w:left w:val="nil"/>
              <w:bottom w:val="nil"/>
              <w:right w:val="nil"/>
            </w:tcBorders>
            <w:shd w:val="clear" w:color="auto" w:fill="auto"/>
            <w:noWrap/>
            <w:vAlign w:val="center"/>
            <w:hideMark/>
          </w:tcPr>
          <w:p w14:paraId="7ECCBF3E"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noWrap/>
            <w:vAlign w:val="center"/>
          </w:tcPr>
          <w:p w14:paraId="0FD1B3E0" w14:textId="77777777" w:rsidR="00DE6FE8" w:rsidRPr="002223C7" w:rsidRDefault="00DE6FE8" w:rsidP="00DE6FE8">
            <w:pPr>
              <w:spacing w:after="0" w:line="240" w:lineRule="auto"/>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center"/>
          </w:tcPr>
          <w:p w14:paraId="7AEE3FB6"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210F10D2"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w:t>
            </w:r>
            <w:r>
              <w:rPr>
                <w:rFonts w:ascii="Times New Roman" w:eastAsia="Times New Roman" w:hAnsi="Times New Roman" w:cs="Times New Roman"/>
                <w:color w:val="000000"/>
              </w:rPr>
              <w:t>2.564</w:t>
            </w:r>
          </w:p>
        </w:tc>
        <w:tc>
          <w:tcPr>
            <w:tcW w:w="496" w:type="pct"/>
            <w:tcBorders>
              <w:top w:val="nil"/>
              <w:left w:val="nil"/>
              <w:bottom w:val="nil"/>
              <w:right w:val="nil"/>
            </w:tcBorders>
            <w:shd w:val="clear" w:color="auto" w:fill="auto"/>
            <w:noWrap/>
            <w:vAlign w:val="center"/>
            <w:hideMark/>
          </w:tcPr>
          <w:p w14:paraId="5A050AC0" w14:textId="77777777" w:rsidR="00DE6FE8" w:rsidRPr="002223C7" w:rsidRDefault="00DE6FE8" w:rsidP="00DE6FE8">
            <w:pPr>
              <w:spacing w:after="0" w:line="240" w:lineRule="auto"/>
              <w:jc w:val="center"/>
              <w:rPr>
                <w:rFonts w:ascii="Times New Roman" w:eastAsia="Times New Roman" w:hAnsi="Times New Roman" w:cs="Times New Roman"/>
                <w:sz w:val="20"/>
                <w:szCs w:val="20"/>
              </w:rPr>
            </w:pPr>
            <w:r w:rsidRPr="002223C7">
              <w:rPr>
                <w:rFonts w:ascii="Times New Roman" w:eastAsia="Times New Roman" w:hAnsi="Times New Roman" w:cs="Times New Roman"/>
                <w:color w:val="000000"/>
              </w:rPr>
              <w:t>2.</w:t>
            </w:r>
            <w:r>
              <w:rPr>
                <w:rFonts w:ascii="Times New Roman" w:eastAsia="Times New Roman" w:hAnsi="Times New Roman" w:cs="Times New Roman"/>
                <w:color w:val="000000"/>
              </w:rPr>
              <w:t>41</w:t>
            </w:r>
          </w:p>
        </w:tc>
      </w:tr>
      <w:tr w:rsidR="00DE6FE8" w:rsidRPr="002223C7" w14:paraId="642D6276" w14:textId="77777777" w:rsidTr="00DE6FE8">
        <w:trPr>
          <w:trHeight w:val="290"/>
        </w:trPr>
        <w:tc>
          <w:tcPr>
            <w:tcW w:w="1462" w:type="pct"/>
            <w:tcBorders>
              <w:top w:val="nil"/>
              <w:left w:val="nil"/>
              <w:bottom w:val="nil"/>
              <w:right w:val="nil"/>
            </w:tcBorders>
            <w:shd w:val="clear" w:color="auto" w:fill="auto"/>
            <w:noWrap/>
            <w:vAlign w:val="center"/>
            <w:hideMark/>
          </w:tcPr>
          <w:p w14:paraId="03DCA7E7"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Controls/Fixed Effects</w:t>
            </w:r>
          </w:p>
        </w:tc>
        <w:tc>
          <w:tcPr>
            <w:tcW w:w="907" w:type="pct"/>
            <w:tcBorders>
              <w:top w:val="nil"/>
              <w:left w:val="nil"/>
              <w:bottom w:val="nil"/>
              <w:right w:val="nil"/>
            </w:tcBorders>
            <w:shd w:val="clear" w:color="auto" w:fill="auto"/>
            <w:vAlign w:val="center"/>
            <w:hideMark/>
          </w:tcPr>
          <w:p w14:paraId="4321EEFB"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07D9F784"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58" w:type="pct"/>
            <w:tcBorders>
              <w:top w:val="nil"/>
              <w:left w:val="nil"/>
              <w:bottom w:val="nil"/>
              <w:right w:val="nil"/>
            </w:tcBorders>
            <w:shd w:val="clear" w:color="auto" w:fill="auto"/>
            <w:noWrap/>
            <w:vAlign w:val="center"/>
            <w:hideMark/>
          </w:tcPr>
          <w:p w14:paraId="4FF93EBF"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xml:space="preserve"> Yes/Yes</w:t>
            </w:r>
          </w:p>
        </w:tc>
        <w:tc>
          <w:tcPr>
            <w:tcW w:w="496" w:type="pct"/>
            <w:tcBorders>
              <w:top w:val="nil"/>
              <w:left w:val="nil"/>
              <w:bottom w:val="nil"/>
              <w:right w:val="nil"/>
            </w:tcBorders>
            <w:shd w:val="clear" w:color="auto" w:fill="auto"/>
            <w:noWrap/>
            <w:vAlign w:val="center"/>
            <w:hideMark/>
          </w:tcPr>
          <w:p w14:paraId="27E8FD48"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c>
          <w:tcPr>
            <w:tcW w:w="585" w:type="pct"/>
            <w:tcBorders>
              <w:top w:val="nil"/>
              <w:left w:val="nil"/>
              <w:bottom w:val="nil"/>
              <w:right w:val="nil"/>
            </w:tcBorders>
            <w:shd w:val="clear" w:color="auto" w:fill="auto"/>
            <w:noWrap/>
            <w:vAlign w:val="center"/>
            <w:hideMark/>
          </w:tcPr>
          <w:p w14:paraId="3049691B"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Yes/Yes</w:t>
            </w:r>
          </w:p>
        </w:tc>
        <w:tc>
          <w:tcPr>
            <w:tcW w:w="496" w:type="pct"/>
            <w:tcBorders>
              <w:top w:val="nil"/>
              <w:left w:val="nil"/>
              <w:bottom w:val="nil"/>
              <w:right w:val="nil"/>
            </w:tcBorders>
            <w:shd w:val="clear" w:color="auto" w:fill="auto"/>
            <w:noWrap/>
            <w:vAlign w:val="center"/>
            <w:hideMark/>
          </w:tcPr>
          <w:p w14:paraId="0B520242" w14:textId="77777777" w:rsidR="00DE6FE8" w:rsidRPr="002223C7" w:rsidRDefault="00DE6FE8" w:rsidP="00DE6FE8">
            <w:pPr>
              <w:spacing w:after="0" w:line="240" w:lineRule="auto"/>
              <w:jc w:val="center"/>
              <w:rPr>
                <w:rFonts w:ascii="Times New Roman" w:eastAsia="Times New Roman" w:hAnsi="Times New Roman" w:cs="Times New Roman"/>
                <w:color w:val="000000"/>
              </w:rPr>
            </w:pPr>
          </w:p>
        </w:tc>
      </w:tr>
      <w:tr w:rsidR="00DE6FE8" w:rsidRPr="002223C7" w14:paraId="22F8A27D" w14:textId="77777777" w:rsidTr="00DE6FE8">
        <w:trPr>
          <w:trHeight w:hRule="exact" w:val="144"/>
        </w:trPr>
        <w:tc>
          <w:tcPr>
            <w:tcW w:w="1462" w:type="pct"/>
            <w:tcBorders>
              <w:top w:val="nil"/>
              <w:left w:val="nil"/>
              <w:bottom w:val="single" w:sz="12" w:space="0" w:color="auto"/>
              <w:right w:val="nil"/>
            </w:tcBorders>
            <w:shd w:val="clear" w:color="auto" w:fill="auto"/>
            <w:noWrap/>
            <w:vAlign w:val="center"/>
            <w:hideMark/>
          </w:tcPr>
          <w:p w14:paraId="3C272375" w14:textId="77777777" w:rsidR="00DE6FE8" w:rsidRPr="002223C7" w:rsidRDefault="00DE6FE8" w:rsidP="00DE6FE8">
            <w:pPr>
              <w:spacing w:after="0" w:line="240" w:lineRule="auto"/>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907" w:type="pct"/>
            <w:tcBorders>
              <w:top w:val="nil"/>
              <w:left w:val="nil"/>
              <w:bottom w:val="single" w:sz="12" w:space="0" w:color="auto"/>
              <w:right w:val="nil"/>
            </w:tcBorders>
            <w:shd w:val="clear" w:color="auto" w:fill="auto"/>
            <w:vAlign w:val="center"/>
            <w:hideMark/>
          </w:tcPr>
          <w:p w14:paraId="44880A22"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31F990E5"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58" w:type="pct"/>
            <w:tcBorders>
              <w:top w:val="nil"/>
              <w:left w:val="nil"/>
              <w:bottom w:val="single" w:sz="12" w:space="0" w:color="auto"/>
              <w:right w:val="nil"/>
            </w:tcBorders>
            <w:shd w:val="clear" w:color="auto" w:fill="auto"/>
            <w:noWrap/>
            <w:vAlign w:val="center"/>
            <w:hideMark/>
          </w:tcPr>
          <w:p w14:paraId="4E38732A"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66A6E128"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585" w:type="pct"/>
            <w:tcBorders>
              <w:top w:val="nil"/>
              <w:left w:val="nil"/>
              <w:bottom w:val="single" w:sz="12" w:space="0" w:color="auto"/>
              <w:right w:val="nil"/>
            </w:tcBorders>
            <w:shd w:val="clear" w:color="auto" w:fill="auto"/>
            <w:noWrap/>
            <w:vAlign w:val="center"/>
            <w:hideMark/>
          </w:tcPr>
          <w:p w14:paraId="2B189FA3"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c>
          <w:tcPr>
            <w:tcW w:w="496" w:type="pct"/>
            <w:tcBorders>
              <w:top w:val="nil"/>
              <w:left w:val="nil"/>
              <w:bottom w:val="single" w:sz="12" w:space="0" w:color="auto"/>
              <w:right w:val="nil"/>
            </w:tcBorders>
            <w:shd w:val="clear" w:color="auto" w:fill="auto"/>
            <w:noWrap/>
            <w:vAlign w:val="center"/>
            <w:hideMark/>
          </w:tcPr>
          <w:p w14:paraId="6AB0FD77" w14:textId="77777777" w:rsidR="00DE6FE8" w:rsidRPr="002223C7" w:rsidRDefault="00DE6FE8" w:rsidP="00DE6FE8">
            <w:pPr>
              <w:spacing w:after="0" w:line="240" w:lineRule="auto"/>
              <w:jc w:val="center"/>
              <w:rPr>
                <w:rFonts w:ascii="Times New Roman" w:eastAsia="Times New Roman" w:hAnsi="Times New Roman" w:cs="Times New Roman"/>
                <w:color w:val="000000"/>
              </w:rPr>
            </w:pPr>
            <w:r w:rsidRPr="002223C7">
              <w:rPr>
                <w:rFonts w:ascii="Times New Roman" w:eastAsia="Times New Roman" w:hAnsi="Times New Roman" w:cs="Times New Roman"/>
                <w:color w:val="000000"/>
              </w:rPr>
              <w:t> </w:t>
            </w:r>
          </w:p>
        </w:tc>
      </w:tr>
    </w:tbl>
    <w:p w14:paraId="377E4A3C" w14:textId="779CA8B5" w:rsidR="00B64F05" w:rsidRDefault="00DE6FE8" w:rsidP="00DE6FE8">
      <w:pPr>
        <w:jc w:val="both"/>
        <w:rPr>
          <w:rFonts w:ascii="Times New Roman" w:eastAsia="Times New Roman" w:hAnsi="Times New Roman" w:cs="Times New Roman"/>
          <w:color w:val="000000"/>
        </w:rPr>
      </w:pPr>
      <w:r w:rsidRPr="00BE1C09">
        <w:rPr>
          <w:rFonts w:ascii="Times New Roman" w:eastAsia="Times New Roman" w:hAnsi="Times New Roman" w:cs="Times New Roman"/>
          <w:color w:val="000000"/>
        </w:rPr>
        <w:t>The table presents the effects of sponsors’ continuing involvement on the board of directors of the SPAC-IPO</w:t>
      </w:r>
      <w:r>
        <w:rPr>
          <w:rFonts w:ascii="Times New Roman" w:eastAsia="Times New Roman" w:hAnsi="Times New Roman" w:cs="Times New Roman"/>
          <w:color w:val="000000"/>
        </w:rPr>
        <w:t xml:space="preserve">, </w:t>
      </w:r>
      <w:r w:rsidRPr="00BE1C09">
        <w:rPr>
          <w:rFonts w:ascii="Times New Roman" w:eastAsia="Times New Roman" w:hAnsi="Times New Roman" w:cs="Times New Roman"/>
          <w:color w:val="000000"/>
        </w:rPr>
        <w:t xml:space="preserve">the effects of time </w:t>
      </w:r>
      <w:r>
        <w:rPr>
          <w:rFonts w:ascii="Times New Roman" w:eastAsia="Times New Roman" w:hAnsi="Times New Roman" w:cs="Times New Roman"/>
          <w:color w:val="000000"/>
        </w:rPr>
        <w:t>e</w:t>
      </w:r>
      <w:r>
        <w:rPr>
          <w:rFonts w:ascii="Times New Roman" w:hAnsi="Times New Roman" w:cs="Times New Roman"/>
          <w:color w:val="000000"/>
        </w:rPr>
        <w:t xml:space="preserve">lapsed between the launch of a SPAC and the merger with the target, and the effects of a PIPE investment at the time of merger with the target. </w:t>
      </w:r>
      <w:r w:rsidRPr="00BE1C09">
        <w:rPr>
          <w:rFonts w:ascii="Times New Roman" w:eastAsia="Times New Roman" w:hAnsi="Times New Roman" w:cs="Times New Roman"/>
          <w:color w:val="000000"/>
        </w:rPr>
        <w:t>The sample consists of the 145 private companies that go public via a SPAC transaction. For the restatement analyses, the sample consists of 9</w:t>
      </w:r>
      <w:r>
        <w:rPr>
          <w:rFonts w:ascii="Times New Roman" w:eastAsia="Times New Roman" w:hAnsi="Times New Roman" w:cs="Times New Roman"/>
          <w:color w:val="000000"/>
        </w:rPr>
        <w:t>6</w:t>
      </w:r>
      <w:r w:rsidRPr="00BE1C09">
        <w:rPr>
          <w:rFonts w:ascii="Times New Roman" w:eastAsia="Times New Roman" w:hAnsi="Times New Roman" w:cs="Times New Roman"/>
          <w:color w:val="000000"/>
        </w:rPr>
        <w:t xml:space="preserve"> SPAC-IPO firms </w:t>
      </w:r>
      <w:r w:rsidRPr="00BE1C09">
        <w:rPr>
          <w:rFonts w:ascii="Times New Roman" w:hAnsi="Times New Roman" w:cs="Times New Roman"/>
        </w:rPr>
        <w:t xml:space="preserve">completed between 2010 and 2019 to allow time for misstatement discovery and disclosure. </w:t>
      </w:r>
      <w:r w:rsidRPr="00BE1C09">
        <w:rPr>
          <w:rFonts w:ascii="Times New Roman" w:eastAsia="Times New Roman" w:hAnsi="Times New Roman" w:cs="Times New Roman"/>
          <w:color w:val="000000"/>
        </w:rPr>
        <w:t>See Appendix A for variable definitions. *, **, and *** represent statistical significance at the 10%, 5%, and 1% levels, respectively, for a two-tailed test.</w:t>
      </w:r>
    </w:p>
    <w:p w14:paraId="50010D35" w14:textId="77777777" w:rsidR="00B64F05" w:rsidRDefault="00B64F0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9BBE43C" w14:textId="77777777" w:rsidR="00B64F05" w:rsidRPr="00B55228" w:rsidRDefault="00B64F05" w:rsidP="00B64F05">
      <w:pPr>
        <w:spacing w:after="0" w:line="240" w:lineRule="auto"/>
        <w:rPr>
          <w:rFonts w:ascii="Times New Roman" w:eastAsiaTheme="minorEastAsia" w:hAnsi="Times New Roman" w:cs="Times New Roman"/>
          <w:b/>
          <w:lang w:eastAsia="zh-CN"/>
        </w:rPr>
      </w:pPr>
      <w:r w:rsidRPr="00B55228">
        <w:rPr>
          <w:rFonts w:ascii="Times New Roman" w:eastAsiaTheme="minorEastAsia" w:hAnsi="Times New Roman" w:cs="Times New Roman"/>
          <w:b/>
          <w:lang w:eastAsia="zh-CN"/>
        </w:rPr>
        <w:lastRenderedPageBreak/>
        <w:t xml:space="preserve">Table </w:t>
      </w:r>
      <w:r>
        <w:rPr>
          <w:rFonts w:ascii="Times New Roman" w:eastAsiaTheme="minorEastAsia" w:hAnsi="Times New Roman" w:cs="Times New Roman"/>
          <w:b/>
          <w:lang w:eastAsia="zh-CN"/>
        </w:rPr>
        <w:t>9</w:t>
      </w:r>
      <w:r w:rsidRPr="00B55228">
        <w:rPr>
          <w:rFonts w:ascii="Times New Roman" w:eastAsiaTheme="minorEastAsia" w:hAnsi="Times New Roman" w:cs="Times New Roman"/>
          <w:b/>
          <w:lang w:eastAsia="zh-CN"/>
        </w:rPr>
        <w:t xml:space="preserve"> </w:t>
      </w:r>
    </w:p>
    <w:p w14:paraId="182FA6D8" w14:textId="77777777" w:rsidR="00B64F05" w:rsidRPr="00B55228" w:rsidRDefault="00B64F05" w:rsidP="00B64F05">
      <w:pPr>
        <w:spacing w:after="0" w:line="240" w:lineRule="auto"/>
        <w:rPr>
          <w:rFonts w:ascii="Times New Roman" w:eastAsiaTheme="minorEastAsia" w:hAnsi="Times New Roman" w:cs="Times New Roman"/>
          <w:lang w:eastAsia="zh-CN"/>
        </w:rPr>
      </w:pPr>
      <w:r w:rsidRPr="00B55228">
        <w:rPr>
          <w:rFonts w:ascii="Times New Roman" w:eastAsiaTheme="minorEastAsia" w:hAnsi="Times New Roman" w:cs="Times New Roman"/>
          <w:lang w:eastAsia="zh-CN"/>
        </w:rPr>
        <w:t xml:space="preserve">Delisting </w:t>
      </w:r>
      <w:r>
        <w:rPr>
          <w:rFonts w:ascii="Times New Roman" w:eastAsiaTheme="minorEastAsia" w:hAnsi="Times New Roman" w:cs="Times New Roman"/>
          <w:lang w:eastAsia="zh-CN"/>
        </w:rPr>
        <w:t>D</w:t>
      </w:r>
      <w:r w:rsidRPr="00B55228">
        <w:rPr>
          <w:rFonts w:ascii="Times New Roman" w:eastAsiaTheme="minorEastAsia" w:hAnsi="Times New Roman" w:cs="Times New Roman"/>
          <w:lang w:eastAsia="zh-CN"/>
        </w:rPr>
        <w:t xml:space="preserve">ifferences </w:t>
      </w:r>
      <w:r>
        <w:rPr>
          <w:rFonts w:ascii="Times New Roman" w:eastAsiaTheme="minorEastAsia" w:hAnsi="Times New Roman" w:cs="Times New Roman"/>
          <w:lang w:eastAsia="zh-CN"/>
        </w:rPr>
        <w:t>B</w:t>
      </w:r>
      <w:r w:rsidRPr="00B55228">
        <w:rPr>
          <w:rFonts w:ascii="Times New Roman" w:eastAsiaTheme="minorEastAsia" w:hAnsi="Times New Roman" w:cs="Times New Roman"/>
          <w:lang w:eastAsia="zh-CN"/>
        </w:rPr>
        <w:t>etween SPAC- non-SPAC-IPOs</w:t>
      </w:r>
      <w:r>
        <w:rPr>
          <w:rFonts w:ascii="Times New Roman" w:eastAsiaTheme="minorEastAsia" w:hAnsi="Times New Roman" w:cs="Times New Roman"/>
          <w:lang w:eastAsia="zh-CN"/>
        </w:rPr>
        <w:t>.</w:t>
      </w:r>
    </w:p>
    <w:p w14:paraId="77206629" w14:textId="77777777" w:rsidR="00B64F05" w:rsidRPr="00B55228" w:rsidRDefault="00B64F05" w:rsidP="00B64F05">
      <w:pPr>
        <w:spacing w:after="0" w:line="240" w:lineRule="auto"/>
        <w:jc w:val="center"/>
        <w:rPr>
          <w:rFonts w:ascii="Times New Roman" w:eastAsiaTheme="minorEastAsia" w:hAnsi="Times New Roman" w:cs="Times New Roman"/>
          <w:lang w:eastAsia="zh-CN"/>
        </w:rPr>
      </w:pPr>
    </w:p>
    <w:tbl>
      <w:tblPr>
        <w:tblW w:w="9070" w:type="dxa"/>
        <w:tblLayout w:type="fixed"/>
        <w:tblLook w:val="04A0" w:firstRow="1" w:lastRow="0" w:firstColumn="1" w:lastColumn="0" w:noHBand="0" w:noVBand="1"/>
      </w:tblPr>
      <w:tblGrid>
        <w:gridCol w:w="3580"/>
        <w:gridCol w:w="1475"/>
        <w:gridCol w:w="1798"/>
        <w:gridCol w:w="1252"/>
        <w:gridCol w:w="965"/>
      </w:tblGrid>
      <w:tr w:rsidR="00B64F05" w:rsidRPr="00B55228" w14:paraId="5577E0E1" w14:textId="77777777" w:rsidTr="00C93CAB">
        <w:trPr>
          <w:trHeight w:hRule="exact" w:val="317"/>
        </w:trPr>
        <w:tc>
          <w:tcPr>
            <w:tcW w:w="5000" w:type="pct"/>
            <w:gridSpan w:val="5"/>
            <w:tcBorders>
              <w:top w:val="single" w:sz="12" w:space="0" w:color="auto"/>
              <w:left w:val="nil"/>
              <w:bottom w:val="single" w:sz="4" w:space="0" w:color="auto"/>
              <w:right w:val="nil"/>
            </w:tcBorders>
            <w:shd w:val="clear" w:color="auto" w:fill="auto"/>
            <w:noWrap/>
            <w:vAlign w:val="bottom"/>
            <w:hideMark/>
          </w:tcPr>
          <w:p w14:paraId="30FC2DDA" w14:textId="0D6BB831" w:rsidR="00B64F05" w:rsidRPr="00B55228" w:rsidRDefault="00B64F05">
            <w:pPr>
              <w:spacing w:after="0" w:line="240" w:lineRule="auto"/>
              <w:rPr>
                <w:rFonts w:ascii="Times New Roman" w:eastAsia="Times New Roman" w:hAnsi="Times New Roman" w:cs="Times New Roman"/>
                <w:bCs/>
                <w:color w:val="000000"/>
                <w:lang w:eastAsia="zh-CN"/>
              </w:rPr>
            </w:pPr>
            <w:r w:rsidRPr="00B55228">
              <w:rPr>
                <w:rFonts w:ascii="Times New Roman" w:eastAsia="Times New Roman" w:hAnsi="Times New Roman" w:cs="Times New Roman"/>
                <w:bCs/>
                <w:color w:val="000000"/>
                <w:lang w:eastAsia="zh-CN"/>
              </w:rPr>
              <w:t xml:space="preserve">Panel A: Univariate comparisons </w:t>
            </w:r>
            <w:r w:rsidR="00551D5D">
              <w:rPr>
                <w:rFonts w:ascii="Times New Roman" w:eastAsia="Times New Roman" w:hAnsi="Times New Roman" w:cs="Times New Roman"/>
                <w:bCs/>
                <w:color w:val="000000"/>
                <w:lang w:eastAsia="zh-CN"/>
              </w:rPr>
              <w:t>of delisting</w:t>
            </w:r>
          </w:p>
        </w:tc>
      </w:tr>
      <w:tr w:rsidR="00B64F05" w:rsidRPr="00B55228" w14:paraId="64F577AC" w14:textId="77777777" w:rsidTr="00C93CAB">
        <w:trPr>
          <w:trHeight w:hRule="exact" w:val="317"/>
        </w:trPr>
        <w:tc>
          <w:tcPr>
            <w:tcW w:w="1974" w:type="pct"/>
            <w:tcBorders>
              <w:top w:val="single" w:sz="12" w:space="0" w:color="auto"/>
              <w:left w:val="nil"/>
              <w:bottom w:val="single" w:sz="12" w:space="0" w:color="auto"/>
              <w:right w:val="nil"/>
            </w:tcBorders>
            <w:shd w:val="clear" w:color="auto" w:fill="auto"/>
            <w:noWrap/>
            <w:vAlign w:val="bottom"/>
            <w:hideMark/>
          </w:tcPr>
          <w:p w14:paraId="72FB0C06"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 </w:t>
            </w:r>
          </w:p>
        </w:tc>
        <w:tc>
          <w:tcPr>
            <w:tcW w:w="813" w:type="pct"/>
            <w:tcBorders>
              <w:top w:val="single" w:sz="12" w:space="0" w:color="auto"/>
              <w:left w:val="nil"/>
              <w:bottom w:val="single" w:sz="12" w:space="0" w:color="auto"/>
              <w:right w:val="nil"/>
            </w:tcBorders>
            <w:shd w:val="clear" w:color="auto" w:fill="auto"/>
            <w:noWrap/>
            <w:vAlign w:val="center"/>
            <w:hideMark/>
          </w:tcPr>
          <w:p w14:paraId="24093EC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SPAC-IPOs</w:t>
            </w:r>
          </w:p>
        </w:tc>
        <w:tc>
          <w:tcPr>
            <w:tcW w:w="991" w:type="pct"/>
            <w:tcBorders>
              <w:top w:val="single" w:sz="12" w:space="0" w:color="auto"/>
              <w:left w:val="nil"/>
              <w:bottom w:val="single" w:sz="12" w:space="0" w:color="auto"/>
              <w:right w:val="nil"/>
            </w:tcBorders>
            <w:shd w:val="clear" w:color="auto" w:fill="auto"/>
            <w:noWrap/>
            <w:vAlign w:val="center"/>
            <w:hideMark/>
          </w:tcPr>
          <w:p w14:paraId="11BA818F"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Non-SPAC-IPOs</w:t>
            </w:r>
          </w:p>
        </w:tc>
        <w:tc>
          <w:tcPr>
            <w:tcW w:w="1222" w:type="pct"/>
            <w:gridSpan w:val="2"/>
            <w:tcBorders>
              <w:top w:val="single" w:sz="12" w:space="0" w:color="auto"/>
              <w:left w:val="nil"/>
              <w:bottom w:val="single" w:sz="12" w:space="0" w:color="auto"/>
              <w:right w:val="nil"/>
            </w:tcBorders>
            <w:shd w:val="clear" w:color="auto" w:fill="auto"/>
            <w:noWrap/>
            <w:vAlign w:val="center"/>
            <w:hideMark/>
          </w:tcPr>
          <w:p w14:paraId="3B090AF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Difference</w:t>
            </w:r>
          </w:p>
        </w:tc>
      </w:tr>
      <w:tr w:rsidR="00B64F05" w:rsidRPr="00B55228" w14:paraId="139C8A6E" w14:textId="77777777" w:rsidTr="00C93CAB">
        <w:trPr>
          <w:trHeight w:hRule="exact" w:val="317"/>
        </w:trPr>
        <w:tc>
          <w:tcPr>
            <w:tcW w:w="1974" w:type="pct"/>
            <w:tcBorders>
              <w:top w:val="single" w:sz="12" w:space="0" w:color="auto"/>
              <w:left w:val="nil"/>
              <w:bottom w:val="nil"/>
              <w:right w:val="nil"/>
            </w:tcBorders>
            <w:shd w:val="clear" w:color="auto" w:fill="auto"/>
            <w:vAlign w:val="center"/>
            <w:hideMark/>
          </w:tcPr>
          <w:p w14:paraId="37FCDD33"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Bankruptcy, declared insolvent</w:t>
            </w:r>
          </w:p>
        </w:tc>
        <w:tc>
          <w:tcPr>
            <w:tcW w:w="813" w:type="pct"/>
            <w:tcBorders>
              <w:top w:val="single" w:sz="12" w:space="0" w:color="auto"/>
              <w:left w:val="nil"/>
              <w:bottom w:val="nil"/>
              <w:right w:val="nil"/>
            </w:tcBorders>
            <w:shd w:val="clear" w:color="auto" w:fill="auto"/>
            <w:noWrap/>
            <w:vAlign w:val="center"/>
            <w:hideMark/>
          </w:tcPr>
          <w:p w14:paraId="7ABEAD96"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3</w:t>
            </w:r>
          </w:p>
        </w:tc>
        <w:tc>
          <w:tcPr>
            <w:tcW w:w="991" w:type="pct"/>
            <w:tcBorders>
              <w:top w:val="single" w:sz="12" w:space="0" w:color="auto"/>
              <w:left w:val="nil"/>
              <w:bottom w:val="nil"/>
              <w:right w:val="nil"/>
            </w:tcBorders>
            <w:shd w:val="clear" w:color="auto" w:fill="auto"/>
            <w:noWrap/>
            <w:vAlign w:val="center"/>
            <w:hideMark/>
          </w:tcPr>
          <w:p w14:paraId="00165F5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1222" w:type="pct"/>
            <w:gridSpan w:val="2"/>
            <w:tcBorders>
              <w:top w:val="single" w:sz="12" w:space="0" w:color="auto"/>
              <w:left w:val="nil"/>
              <w:bottom w:val="nil"/>
              <w:right w:val="nil"/>
            </w:tcBorders>
            <w:shd w:val="clear" w:color="auto" w:fill="auto"/>
            <w:noWrap/>
            <w:vAlign w:val="center"/>
            <w:hideMark/>
          </w:tcPr>
          <w:p w14:paraId="7553317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 </w:t>
            </w:r>
          </w:p>
        </w:tc>
      </w:tr>
      <w:tr w:rsidR="00B64F05" w:rsidRPr="00B55228" w14:paraId="46DAF84B" w14:textId="77777777" w:rsidTr="00C93CAB">
        <w:trPr>
          <w:trHeight w:hRule="exact" w:val="317"/>
        </w:trPr>
        <w:tc>
          <w:tcPr>
            <w:tcW w:w="1974" w:type="pct"/>
            <w:tcBorders>
              <w:top w:val="nil"/>
              <w:left w:val="nil"/>
              <w:bottom w:val="nil"/>
              <w:right w:val="nil"/>
            </w:tcBorders>
            <w:shd w:val="clear" w:color="auto" w:fill="auto"/>
            <w:vAlign w:val="center"/>
            <w:hideMark/>
          </w:tcPr>
          <w:p w14:paraId="77775F1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Delinquent in filing or fee payment</w:t>
            </w:r>
          </w:p>
        </w:tc>
        <w:tc>
          <w:tcPr>
            <w:tcW w:w="813" w:type="pct"/>
            <w:tcBorders>
              <w:top w:val="nil"/>
              <w:left w:val="nil"/>
              <w:bottom w:val="nil"/>
              <w:right w:val="nil"/>
            </w:tcBorders>
            <w:shd w:val="clear" w:color="auto" w:fill="auto"/>
            <w:noWrap/>
            <w:vAlign w:val="center"/>
            <w:hideMark/>
          </w:tcPr>
          <w:p w14:paraId="39872FD3"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991" w:type="pct"/>
            <w:tcBorders>
              <w:top w:val="nil"/>
              <w:left w:val="nil"/>
              <w:bottom w:val="nil"/>
              <w:right w:val="nil"/>
            </w:tcBorders>
            <w:shd w:val="clear" w:color="auto" w:fill="auto"/>
            <w:noWrap/>
            <w:vAlign w:val="center"/>
            <w:hideMark/>
          </w:tcPr>
          <w:p w14:paraId="124275E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w:t>
            </w:r>
          </w:p>
        </w:tc>
        <w:tc>
          <w:tcPr>
            <w:tcW w:w="1222" w:type="pct"/>
            <w:gridSpan w:val="2"/>
            <w:tcBorders>
              <w:top w:val="nil"/>
              <w:left w:val="nil"/>
              <w:bottom w:val="nil"/>
              <w:right w:val="nil"/>
            </w:tcBorders>
            <w:shd w:val="clear" w:color="auto" w:fill="auto"/>
            <w:noWrap/>
            <w:vAlign w:val="center"/>
            <w:hideMark/>
          </w:tcPr>
          <w:p w14:paraId="1AB257B2" w14:textId="77777777" w:rsidR="00B64F05" w:rsidRPr="00B55228" w:rsidRDefault="00B64F05" w:rsidP="00C93CAB">
            <w:pPr>
              <w:spacing w:after="0" w:line="240" w:lineRule="auto"/>
              <w:ind w:right="700"/>
              <w:jc w:val="center"/>
              <w:rPr>
                <w:rFonts w:ascii="Times New Roman" w:eastAsia="Times New Roman" w:hAnsi="Times New Roman" w:cs="Times New Roman"/>
                <w:color w:val="000000"/>
                <w:lang w:eastAsia="zh-CN"/>
              </w:rPr>
            </w:pPr>
          </w:p>
        </w:tc>
      </w:tr>
      <w:tr w:rsidR="00B64F05" w:rsidRPr="00B55228" w14:paraId="5DCEF6F6" w14:textId="77777777" w:rsidTr="00C93CAB">
        <w:trPr>
          <w:trHeight w:hRule="exact" w:val="317"/>
        </w:trPr>
        <w:tc>
          <w:tcPr>
            <w:tcW w:w="1974" w:type="pct"/>
            <w:tcBorders>
              <w:top w:val="nil"/>
              <w:left w:val="nil"/>
              <w:bottom w:val="nil"/>
              <w:right w:val="nil"/>
            </w:tcBorders>
            <w:shd w:val="clear" w:color="auto" w:fill="auto"/>
            <w:vAlign w:val="center"/>
            <w:hideMark/>
          </w:tcPr>
          <w:p w14:paraId="59742AAA"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Does not meet exchange requirements</w:t>
            </w:r>
          </w:p>
        </w:tc>
        <w:tc>
          <w:tcPr>
            <w:tcW w:w="813" w:type="pct"/>
            <w:tcBorders>
              <w:top w:val="nil"/>
              <w:left w:val="nil"/>
              <w:bottom w:val="nil"/>
              <w:right w:val="nil"/>
            </w:tcBorders>
            <w:shd w:val="clear" w:color="auto" w:fill="auto"/>
            <w:noWrap/>
            <w:vAlign w:val="center"/>
            <w:hideMark/>
          </w:tcPr>
          <w:p w14:paraId="5895984B"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4</w:t>
            </w:r>
          </w:p>
        </w:tc>
        <w:tc>
          <w:tcPr>
            <w:tcW w:w="991" w:type="pct"/>
            <w:tcBorders>
              <w:top w:val="nil"/>
              <w:left w:val="nil"/>
              <w:bottom w:val="nil"/>
              <w:right w:val="nil"/>
            </w:tcBorders>
            <w:shd w:val="clear" w:color="auto" w:fill="auto"/>
            <w:noWrap/>
            <w:vAlign w:val="center"/>
            <w:hideMark/>
          </w:tcPr>
          <w:p w14:paraId="7E005B9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1222" w:type="pct"/>
            <w:gridSpan w:val="2"/>
            <w:tcBorders>
              <w:top w:val="nil"/>
              <w:left w:val="nil"/>
              <w:bottom w:val="nil"/>
              <w:right w:val="nil"/>
            </w:tcBorders>
            <w:shd w:val="clear" w:color="auto" w:fill="auto"/>
            <w:noWrap/>
            <w:vAlign w:val="center"/>
            <w:hideMark/>
          </w:tcPr>
          <w:p w14:paraId="6EC6DB1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1F9F5CA6" w14:textId="77777777" w:rsidTr="00C93CAB">
        <w:trPr>
          <w:trHeight w:hRule="exact" w:val="317"/>
        </w:trPr>
        <w:tc>
          <w:tcPr>
            <w:tcW w:w="1974" w:type="pct"/>
            <w:tcBorders>
              <w:top w:val="nil"/>
              <w:left w:val="nil"/>
              <w:bottom w:val="nil"/>
              <w:right w:val="nil"/>
            </w:tcBorders>
            <w:shd w:val="clear" w:color="auto" w:fill="auto"/>
            <w:vAlign w:val="center"/>
            <w:hideMark/>
          </w:tcPr>
          <w:p w14:paraId="67E528D6"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Non-compliance with float or assets</w:t>
            </w:r>
          </w:p>
        </w:tc>
        <w:tc>
          <w:tcPr>
            <w:tcW w:w="813" w:type="pct"/>
            <w:tcBorders>
              <w:top w:val="nil"/>
              <w:left w:val="nil"/>
              <w:bottom w:val="nil"/>
              <w:right w:val="nil"/>
            </w:tcBorders>
            <w:shd w:val="clear" w:color="auto" w:fill="auto"/>
            <w:noWrap/>
            <w:vAlign w:val="center"/>
            <w:hideMark/>
          </w:tcPr>
          <w:p w14:paraId="5D5C820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991" w:type="pct"/>
            <w:tcBorders>
              <w:top w:val="nil"/>
              <w:left w:val="nil"/>
              <w:bottom w:val="nil"/>
              <w:right w:val="nil"/>
            </w:tcBorders>
            <w:shd w:val="clear" w:color="auto" w:fill="auto"/>
            <w:noWrap/>
            <w:vAlign w:val="center"/>
            <w:hideMark/>
          </w:tcPr>
          <w:p w14:paraId="40F5B3D7"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w:t>
            </w:r>
          </w:p>
        </w:tc>
        <w:tc>
          <w:tcPr>
            <w:tcW w:w="1222" w:type="pct"/>
            <w:gridSpan w:val="2"/>
            <w:tcBorders>
              <w:top w:val="nil"/>
              <w:left w:val="nil"/>
              <w:bottom w:val="nil"/>
              <w:right w:val="nil"/>
            </w:tcBorders>
            <w:shd w:val="clear" w:color="auto" w:fill="auto"/>
            <w:noWrap/>
            <w:vAlign w:val="center"/>
            <w:hideMark/>
          </w:tcPr>
          <w:p w14:paraId="2D0122C3"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3E8B6C30" w14:textId="77777777" w:rsidTr="00C93CAB">
        <w:trPr>
          <w:trHeight w:hRule="exact" w:val="317"/>
        </w:trPr>
        <w:tc>
          <w:tcPr>
            <w:tcW w:w="1974" w:type="pct"/>
            <w:tcBorders>
              <w:top w:val="nil"/>
              <w:left w:val="nil"/>
              <w:bottom w:val="nil"/>
              <w:right w:val="nil"/>
            </w:tcBorders>
            <w:shd w:val="clear" w:color="auto" w:fill="auto"/>
            <w:vAlign w:val="center"/>
            <w:hideMark/>
          </w:tcPr>
          <w:p w14:paraId="3FB1FC8F"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Insufficient capital, surplus, and/or equity</w:t>
            </w:r>
          </w:p>
        </w:tc>
        <w:tc>
          <w:tcPr>
            <w:tcW w:w="813" w:type="pct"/>
            <w:tcBorders>
              <w:top w:val="nil"/>
              <w:left w:val="nil"/>
              <w:bottom w:val="nil"/>
              <w:right w:val="nil"/>
            </w:tcBorders>
            <w:shd w:val="clear" w:color="auto" w:fill="auto"/>
            <w:noWrap/>
            <w:vAlign w:val="center"/>
            <w:hideMark/>
          </w:tcPr>
          <w:p w14:paraId="2A32D2E4"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w:t>
            </w:r>
          </w:p>
        </w:tc>
        <w:tc>
          <w:tcPr>
            <w:tcW w:w="991" w:type="pct"/>
            <w:tcBorders>
              <w:top w:val="nil"/>
              <w:left w:val="nil"/>
              <w:bottom w:val="nil"/>
              <w:right w:val="nil"/>
            </w:tcBorders>
            <w:shd w:val="clear" w:color="auto" w:fill="auto"/>
            <w:noWrap/>
            <w:vAlign w:val="center"/>
            <w:hideMark/>
          </w:tcPr>
          <w:p w14:paraId="7AD13F9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1222" w:type="pct"/>
            <w:gridSpan w:val="2"/>
            <w:tcBorders>
              <w:top w:val="nil"/>
              <w:left w:val="nil"/>
              <w:bottom w:val="nil"/>
              <w:right w:val="nil"/>
            </w:tcBorders>
            <w:shd w:val="clear" w:color="auto" w:fill="auto"/>
            <w:noWrap/>
            <w:vAlign w:val="center"/>
            <w:hideMark/>
          </w:tcPr>
          <w:p w14:paraId="488201C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15F9E3CC" w14:textId="77777777" w:rsidTr="00C93CAB">
        <w:trPr>
          <w:trHeight w:hRule="exact" w:val="317"/>
        </w:trPr>
        <w:tc>
          <w:tcPr>
            <w:tcW w:w="1974" w:type="pct"/>
            <w:tcBorders>
              <w:top w:val="nil"/>
              <w:left w:val="nil"/>
              <w:bottom w:val="nil"/>
              <w:right w:val="nil"/>
            </w:tcBorders>
            <w:shd w:val="clear" w:color="auto" w:fill="auto"/>
            <w:vAlign w:val="center"/>
            <w:hideMark/>
          </w:tcPr>
          <w:p w14:paraId="05C2440F"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Insufficient market makers</w:t>
            </w:r>
          </w:p>
        </w:tc>
        <w:tc>
          <w:tcPr>
            <w:tcW w:w="813" w:type="pct"/>
            <w:tcBorders>
              <w:top w:val="nil"/>
              <w:left w:val="nil"/>
              <w:bottom w:val="nil"/>
              <w:right w:val="nil"/>
            </w:tcBorders>
            <w:shd w:val="clear" w:color="auto" w:fill="auto"/>
            <w:noWrap/>
            <w:vAlign w:val="center"/>
            <w:hideMark/>
          </w:tcPr>
          <w:p w14:paraId="08B9A60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w:t>
            </w:r>
          </w:p>
        </w:tc>
        <w:tc>
          <w:tcPr>
            <w:tcW w:w="991" w:type="pct"/>
            <w:tcBorders>
              <w:top w:val="nil"/>
              <w:left w:val="nil"/>
              <w:bottom w:val="nil"/>
              <w:right w:val="nil"/>
            </w:tcBorders>
            <w:shd w:val="clear" w:color="auto" w:fill="auto"/>
            <w:noWrap/>
            <w:vAlign w:val="center"/>
            <w:hideMark/>
          </w:tcPr>
          <w:p w14:paraId="55232552"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w:t>
            </w:r>
          </w:p>
        </w:tc>
        <w:tc>
          <w:tcPr>
            <w:tcW w:w="1222" w:type="pct"/>
            <w:gridSpan w:val="2"/>
            <w:tcBorders>
              <w:top w:val="nil"/>
              <w:left w:val="nil"/>
              <w:bottom w:val="nil"/>
              <w:right w:val="nil"/>
            </w:tcBorders>
            <w:shd w:val="clear" w:color="auto" w:fill="auto"/>
            <w:noWrap/>
            <w:vAlign w:val="center"/>
            <w:hideMark/>
          </w:tcPr>
          <w:p w14:paraId="405B9F45"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26AEF1E7" w14:textId="77777777" w:rsidTr="00C93CAB">
        <w:trPr>
          <w:trHeight w:hRule="exact" w:val="317"/>
        </w:trPr>
        <w:tc>
          <w:tcPr>
            <w:tcW w:w="1974" w:type="pct"/>
            <w:tcBorders>
              <w:top w:val="nil"/>
              <w:left w:val="nil"/>
              <w:bottom w:val="nil"/>
              <w:right w:val="nil"/>
            </w:tcBorders>
            <w:shd w:val="clear" w:color="auto" w:fill="auto"/>
            <w:vAlign w:val="center"/>
            <w:hideMark/>
          </w:tcPr>
          <w:p w14:paraId="2EA4D8C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Price below acceptable level</w:t>
            </w:r>
          </w:p>
        </w:tc>
        <w:tc>
          <w:tcPr>
            <w:tcW w:w="813" w:type="pct"/>
            <w:tcBorders>
              <w:top w:val="nil"/>
              <w:left w:val="nil"/>
              <w:bottom w:val="nil"/>
              <w:right w:val="nil"/>
            </w:tcBorders>
            <w:shd w:val="clear" w:color="auto" w:fill="auto"/>
            <w:noWrap/>
            <w:vAlign w:val="center"/>
            <w:hideMark/>
          </w:tcPr>
          <w:p w14:paraId="051C678B"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4</w:t>
            </w:r>
          </w:p>
        </w:tc>
        <w:tc>
          <w:tcPr>
            <w:tcW w:w="991" w:type="pct"/>
            <w:tcBorders>
              <w:top w:val="nil"/>
              <w:left w:val="nil"/>
              <w:bottom w:val="nil"/>
              <w:right w:val="nil"/>
            </w:tcBorders>
            <w:shd w:val="clear" w:color="auto" w:fill="auto"/>
            <w:noWrap/>
            <w:vAlign w:val="center"/>
            <w:hideMark/>
          </w:tcPr>
          <w:p w14:paraId="2DBCE38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w:t>
            </w:r>
          </w:p>
        </w:tc>
        <w:tc>
          <w:tcPr>
            <w:tcW w:w="1222" w:type="pct"/>
            <w:gridSpan w:val="2"/>
            <w:tcBorders>
              <w:top w:val="nil"/>
              <w:left w:val="nil"/>
              <w:bottom w:val="nil"/>
              <w:right w:val="nil"/>
            </w:tcBorders>
            <w:shd w:val="clear" w:color="auto" w:fill="auto"/>
            <w:noWrap/>
            <w:vAlign w:val="center"/>
            <w:hideMark/>
          </w:tcPr>
          <w:p w14:paraId="4271E6C5"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604DCCAC" w14:textId="77777777" w:rsidTr="00C93CAB">
        <w:trPr>
          <w:trHeight w:hRule="exact" w:val="317"/>
        </w:trPr>
        <w:tc>
          <w:tcPr>
            <w:tcW w:w="1974" w:type="pct"/>
            <w:tcBorders>
              <w:top w:val="nil"/>
              <w:left w:val="nil"/>
              <w:bottom w:val="nil"/>
              <w:right w:val="nil"/>
            </w:tcBorders>
            <w:shd w:val="clear" w:color="auto" w:fill="auto"/>
            <w:noWrap/>
            <w:vAlign w:val="center"/>
            <w:hideMark/>
          </w:tcPr>
          <w:p w14:paraId="2082F8B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Total delisted firms</w:t>
            </w:r>
          </w:p>
        </w:tc>
        <w:tc>
          <w:tcPr>
            <w:tcW w:w="813" w:type="pct"/>
            <w:tcBorders>
              <w:top w:val="single" w:sz="4" w:space="0" w:color="auto"/>
              <w:left w:val="nil"/>
              <w:bottom w:val="nil"/>
              <w:right w:val="nil"/>
            </w:tcBorders>
            <w:shd w:val="clear" w:color="auto" w:fill="auto"/>
            <w:noWrap/>
            <w:vAlign w:val="center"/>
            <w:hideMark/>
          </w:tcPr>
          <w:p w14:paraId="5B8B8CF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15</w:t>
            </w:r>
          </w:p>
        </w:tc>
        <w:tc>
          <w:tcPr>
            <w:tcW w:w="991" w:type="pct"/>
            <w:tcBorders>
              <w:top w:val="single" w:sz="4" w:space="0" w:color="auto"/>
              <w:left w:val="nil"/>
              <w:bottom w:val="nil"/>
              <w:right w:val="nil"/>
            </w:tcBorders>
            <w:shd w:val="clear" w:color="auto" w:fill="auto"/>
            <w:noWrap/>
            <w:vAlign w:val="center"/>
            <w:hideMark/>
          </w:tcPr>
          <w:p w14:paraId="13ABEACD"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3</w:t>
            </w:r>
          </w:p>
        </w:tc>
        <w:tc>
          <w:tcPr>
            <w:tcW w:w="1222" w:type="pct"/>
            <w:gridSpan w:val="2"/>
            <w:tcBorders>
              <w:top w:val="single" w:sz="4" w:space="0" w:color="auto"/>
              <w:left w:val="nil"/>
              <w:bottom w:val="nil"/>
              <w:right w:val="nil"/>
            </w:tcBorders>
            <w:shd w:val="clear" w:color="auto" w:fill="auto"/>
            <w:noWrap/>
            <w:vAlign w:val="center"/>
            <w:hideMark/>
          </w:tcPr>
          <w:p w14:paraId="455B72BE"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12</w:t>
            </w:r>
          </w:p>
        </w:tc>
      </w:tr>
      <w:tr w:rsidR="00B64F05" w:rsidRPr="00B55228" w14:paraId="43881EBB" w14:textId="77777777" w:rsidTr="00C93CAB">
        <w:trPr>
          <w:trHeight w:hRule="exact" w:val="317"/>
        </w:trPr>
        <w:tc>
          <w:tcPr>
            <w:tcW w:w="1974" w:type="pct"/>
            <w:tcBorders>
              <w:top w:val="nil"/>
              <w:left w:val="nil"/>
              <w:bottom w:val="nil"/>
              <w:right w:val="nil"/>
            </w:tcBorders>
            <w:shd w:val="clear" w:color="auto" w:fill="auto"/>
            <w:vAlign w:val="center"/>
            <w:hideMark/>
          </w:tcPr>
          <w:p w14:paraId="23B1C0AC"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Sample with nonmissing PERMNOs</w:t>
            </w:r>
          </w:p>
        </w:tc>
        <w:tc>
          <w:tcPr>
            <w:tcW w:w="813" w:type="pct"/>
            <w:tcBorders>
              <w:top w:val="nil"/>
              <w:left w:val="nil"/>
              <w:bottom w:val="single" w:sz="4" w:space="0" w:color="auto"/>
              <w:right w:val="nil"/>
            </w:tcBorders>
            <w:shd w:val="clear" w:color="auto" w:fill="auto"/>
            <w:noWrap/>
            <w:vAlign w:val="center"/>
            <w:hideMark/>
          </w:tcPr>
          <w:p w14:paraId="75394652"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137</w:t>
            </w:r>
          </w:p>
        </w:tc>
        <w:tc>
          <w:tcPr>
            <w:tcW w:w="991" w:type="pct"/>
            <w:tcBorders>
              <w:top w:val="nil"/>
              <w:left w:val="nil"/>
              <w:bottom w:val="single" w:sz="4" w:space="0" w:color="auto"/>
              <w:right w:val="nil"/>
            </w:tcBorders>
            <w:shd w:val="clear" w:color="auto" w:fill="auto"/>
            <w:noWrap/>
            <w:vAlign w:val="center"/>
            <w:hideMark/>
          </w:tcPr>
          <w:p w14:paraId="314BAEB4"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145</w:t>
            </w:r>
          </w:p>
        </w:tc>
        <w:tc>
          <w:tcPr>
            <w:tcW w:w="1222" w:type="pct"/>
            <w:gridSpan w:val="2"/>
            <w:tcBorders>
              <w:top w:val="nil"/>
              <w:left w:val="nil"/>
              <w:bottom w:val="single" w:sz="4" w:space="0" w:color="auto"/>
              <w:right w:val="nil"/>
            </w:tcBorders>
            <w:shd w:val="clear" w:color="auto" w:fill="auto"/>
            <w:noWrap/>
            <w:vAlign w:val="center"/>
            <w:hideMark/>
          </w:tcPr>
          <w:p w14:paraId="3F79ED0F"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 </w:t>
            </w:r>
          </w:p>
        </w:tc>
      </w:tr>
      <w:tr w:rsidR="00B64F05" w:rsidRPr="00B55228" w14:paraId="0F6D84CE" w14:textId="77777777" w:rsidTr="00C93CAB">
        <w:trPr>
          <w:trHeight w:hRule="exact" w:val="317"/>
        </w:trPr>
        <w:tc>
          <w:tcPr>
            <w:tcW w:w="1974" w:type="pct"/>
            <w:tcBorders>
              <w:top w:val="nil"/>
              <w:left w:val="nil"/>
              <w:bottom w:val="single" w:sz="12" w:space="0" w:color="auto"/>
              <w:right w:val="nil"/>
            </w:tcBorders>
            <w:shd w:val="clear" w:color="auto" w:fill="auto"/>
            <w:noWrap/>
            <w:vAlign w:val="center"/>
            <w:hideMark/>
          </w:tcPr>
          <w:p w14:paraId="580FD44F"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Proportion of delisted firms</w:t>
            </w:r>
          </w:p>
        </w:tc>
        <w:tc>
          <w:tcPr>
            <w:tcW w:w="813" w:type="pct"/>
            <w:tcBorders>
              <w:top w:val="nil"/>
              <w:left w:val="nil"/>
              <w:bottom w:val="single" w:sz="12" w:space="0" w:color="auto"/>
              <w:right w:val="nil"/>
            </w:tcBorders>
            <w:shd w:val="clear" w:color="auto" w:fill="auto"/>
            <w:noWrap/>
            <w:vAlign w:val="center"/>
            <w:hideMark/>
          </w:tcPr>
          <w:p w14:paraId="7250B582"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0.1</w:t>
            </w:r>
            <w:r>
              <w:rPr>
                <w:rFonts w:ascii="Times New Roman" w:eastAsia="Times New Roman" w:hAnsi="Times New Roman" w:cs="Times New Roman"/>
                <w:color w:val="000000"/>
                <w:lang w:eastAsia="zh-CN"/>
              </w:rPr>
              <w:t>1</w:t>
            </w:r>
          </w:p>
        </w:tc>
        <w:tc>
          <w:tcPr>
            <w:tcW w:w="991" w:type="pct"/>
            <w:tcBorders>
              <w:top w:val="nil"/>
              <w:left w:val="nil"/>
              <w:bottom w:val="single" w:sz="12" w:space="0" w:color="auto"/>
              <w:right w:val="nil"/>
            </w:tcBorders>
            <w:shd w:val="clear" w:color="auto" w:fill="auto"/>
            <w:noWrap/>
            <w:vAlign w:val="center"/>
            <w:hideMark/>
          </w:tcPr>
          <w:p w14:paraId="1D50422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0.02</w:t>
            </w:r>
          </w:p>
        </w:tc>
        <w:tc>
          <w:tcPr>
            <w:tcW w:w="1222" w:type="pct"/>
            <w:gridSpan w:val="2"/>
            <w:tcBorders>
              <w:top w:val="nil"/>
              <w:left w:val="nil"/>
              <w:bottom w:val="single" w:sz="12" w:space="0" w:color="auto"/>
              <w:right w:val="nil"/>
            </w:tcBorders>
            <w:shd w:val="clear" w:color="auto" w:fill="auto"/>
            <w:noWrap/>
            <w:vAlign w:val="center"/>
            <w:hideMark/>
          </w:tcPr>
          <w:p w14:paraId="2B058FE1"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0.09***</w:t>
            </w:r>
          </w:p>
        </w:tc>
      </w:tr>
      <w:tr w:rsidR="00B64F05" w:rsidRPr="00B55228" w14:paraId="66F226BF" w14:textId="77777777" w:rsidTr="00C93CAB">
        <w:trPr>
          <w:trHeight w:hRule="exact" w:val="317"/>
        </w:trPr>
        <w:tc>
          <w:tcPr>
            <w:tcW w:w="5000" w:type="pct"/>
            <w:gridSpan w:val="5"/>
            <w:tcBorders>
              <w:top w:val="nil"/>
              <w:left w:val="nil"/>
              <w:bottom w:val="single" w:sz="4" w:space="0" w:color="auto"/>
              <w:right w:val="nil"/>
            </w:tcBorders>
            <w:shd w:val="clear" w:color="auto" w:fill="auto"/>
            <w:noWrap/>
            <w:vAlign w:val="bottom"/>
            <w:hideMark/>
          </w:tcPr>
          <w:p w14:paraId="778C930C" w14:textId="4586A146" w:rsidR="00B64F05" w:rsidRPr="00B55228" w:rsidRDefault="00B64F05">
            <w:pPr>
              <w:spacing w:after="0" w:line="240" w:lineRule="auto"/>
              <w:rPr>
                <w:rFonts w:ascii="Times New Roman" w:eastAsia="Times New Roman" w:hAnsi="Times New Roman" w:cs="Times New Roman"/>
                <w:bCs/>
                <w:color w:val="000000"/>
                <w:lang w:eastAsia="zh-CN"/>
              </w:rPr>
            </w:pPr>
            <w:r w:rsidRPr="00B55228">
              <w:rPr>
                <w:rFonts w:ascii="Times New Roman" w:eastAsia="Times New Roman" w:hAnsi="Times New Roman" w:cs="Times New Roman"/>
                <w:bCs/>
                <w:color w:val="000000"/>
                <w:lang w:eastAsia="zh-CN"/>
              </w:rPr>
              <w:t xml:space="preserve">Panel B: </w:t>
            </w:r>
            <w:r w:rsidR="00551D5D" w:rsidRPr="00A45E8F">
              <w:rPr>
                <w:rFonts w:ascii="Times New Roman" w:eastAsia="Times New Roman" w:hAnsi="Times New Roman" w:cs="Times New Roman"/>
                <w:color w:val="000000"/>
              </w:rPr>
              <w:t>Logistic regression</w:t>
            </w:r>
            <w:r w:rsidR="00551D5D">
              <w:rPr>
                <w:rFonts w:ascii="Times New Roman" w:eastAsia="Times New Roman" w:hAnsi="Times New Roman" w:cs="Times New Roman"/>
                <w:color w:val="000000"/>
              </w:rPr>
              <w:t>s</w:t>
            </w:r>
            <w:r w:rsidR="00551D5D" w:rsidRPr="00A45E8F">
              <w:rPr>
                <w:rFonts w:ascii="Times New Roman" w:eastAsia="Times New Roman" w:hAnsi="Times New Roman" w:cs="Times New Roman"/>
                <w:color w:val="000000"/>
              </w:rPr>
              <w:t xml:space="preserve"> estimating the likelihood of </w:t>
            </w:r>
            <w:r w:rsidR="00551D5D">
              <w:rPr>
                <w:rFonts w:ascii="Times New Roman" w:eastAsia="Times New Roman" w:hAnsi="Times New Roman" w:cs="Times New Roman"/>
                <w:color w:val="000000"/>
              </w:rPr>
              <w:t>delisting</w:t>
            </w:r>
          </w:p>
        </w:tc>
      </w:tr>
      <w:tr w:rsidR="00B64F05" w:rsidRPr="00B55228" w14:paraId="6B653AE7" w14:textId="77777777" w:rsidTr="00C93CAB">
        <w:trPr>
          <w:trHeight w:hRule="exact" w:val="317"/>
        </w:trPr>
        <w:tc>
          <w:tcPr>
            <w:tcW w:w="1974" w:type="pct"/>
            <w:tcBorders>
              <w:top w:val="single" w:sz="12" w:space="0" w:color="auto"/>
              <w:left w:val="nil"/>
              <w:right w:val="nil"/>
            </w:tcBorders>
            <w:shd w:val="clear" w:color="auto" w:fill="auto"/>
            <w:noWrap/>
            <w:vAlign w:val="bottom"/>
          </w:tcPr>
          <w:p w14:paraId="72C56319"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p>
        </w:tc>
        <w:tc>
          <w:tcPr>
            <w:tcW w:w="1804" w:type="pct"/>
            <w:gridSpan w:val="2"/>
            <w:tcBorders>
              <w:top w:val="single" w:sz="12" w:space="0" w:color="auto"/>
              <w:left w:val="nil"/>
              <w:bottom w:val="single" w:sz="4" w:space="0" w:color="auto"/>
              <w:right w:val="nil"/>
            </w:tcBorders>
            <w:shd w:val="clear" w:color="auto" w:fill="auto"/>
            <w:noWrap/>
            <w:vAlign w:val="center"/>
          </w:tcPr>
          <w:p w14:paraId="19779DA3" w14:textId="40623321" w:rsidR="00B64F05" w:rsidRPr="00B55228" w:rsidRDefault="00551D5D" w:rsidP="00C93CAB">
            <w:pPr>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Proceeds Match</w:t>
            </w:r>
          </w:p>
        </w:tc>
        <w:tc>
          <w:tcPr>
            <w:tcW w:w="1222" w:type="pct"/>
            <w:gridSpan w:val="2"/>
            <w:tcBorders>
              <w:top w:val="single" w:sz="12" w:space="0" w:color="auto"/>
              <w:left w:val="nil"/>
              <w:bottom w:val="single" w:sz="4" w:space="0" w:color="auto"/>
              <w:right w:val="nil"/>
            </w:tcBorders>
            <w:shd w:val="clear" w:color="auto" w:fill="auto"/>
            <w:noWrap/>
            <w:vAlign w:val="center"/>
          </w:tcPr>
          <w:p w14:paraId="1CE72AE4"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With Entropy balancing</w:t>
            </w:r>
          </w:p>
        </w:tc>
      </w:tr>
      <w:tr w:rsidR="00B64F05" w:rsidRPr="00B55228" w14:paraId="77DFDE10" w14:textId="77777777" w:rsidTr="00C93CAB">
        <w:trPr>
          <w:trHeight w:hRule="exact" w:val="317"/>
        </w:trPr>
        <w:tc>
          <w:tcPr>
            <w:tcW w:w="1974" w:type="pct"/>
            <w:tcBorders>
              <w:left w:val="nil"/>
              <w:bottom w:val="single" w:sz="12" w:space="0" w:color="auto"/>
              <w:right w:val="nil"/>
            </w:tcBorders>
            <w:shd w:val="clear" w:color="auto" w:fill="auto"/>
            <w:noWrap/>
            <w:vAlign w:val="bottom"/>
            <w:hideMark/>
          </w:tcPr>
          <w:p w14:paraId="25919419"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 </w:t>
            </w:r>
          </w:p>
        </w:tc>
        <w:tc>
          <w:tcPr>
            <w:tcW w:w="813" w:type="pct"/>
            <w:tcBorders>
              <w:top w:val="nil"/>
              <w:left w:val="nil"/>
              <w:bottom w:val="single" w:sz="12" w:space="0" w:color="auto"/>
              <w:right w:val="nil"/>
            </w:tcBorders>
            <w:shd w:val="clear" w:color="auto" w:fill="auto"/>
            <w:noWrap/>
            <w:vAlign w:val="center"/>
            <w:hideMark/>
          </w:tcPr>
          <w:p w14:paraId="5CEB576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Estimate</w:t>
            </w:r>
          </w:p>
        </w:tc>
        <w:tc>
          <w:tcPr>
            <w:tcW w:w="991" w:type="pct"/>
            <w:tcBorders>
              <w:top w:val="nil"/>
              <w:left w:val="nil"/>
              <w:bottom w:val="single" w:sz="12" w:space="0" w:color="auto"/>
              <w:right w:val="nil"/>
            </w:tcBorders>
            <w:shd w:val="clear" w:color="auto" w:fill="auto"/>
            <w:noWrap/>
            <w:vAlign w:val="center"/>
            <w:hideMark/>
          </w:tcPr>
          <w:p w14:paraId="4B83E4FA" w14:textId="77777777" w:rsidR="00B64F05" w:rsidRPr="00B55228" w:rsidRDefault="0048295D" w:rsidP="00C93CAB">
            <w:pPr>
              <w:spacing w:after="0" w:line="240" w:lineRule="auto"/>
              <w:jc w:val="center"/>
              <w:rPr>
                <w:rFonts w:ascii="Times New Roman" w:eastAsia="Times New Roman" w:hAnsi="Times New Roman" w:cs="Times New Roman"/>
                <w:color w:val="000000"/>
                <w:lang w:eastAsia="zh-CN"/>
              </w:rPr>
            </w:pPr>
            <m:oMath>
              <m:sSup>
                <m:sSupPr>
                  <m:ctrlPr>
                    <w:rPr>
                      <w:rFonts w:ascii="Cambria Math" w:eastAsia="Times New Roman" w:hAnsi="Cambria Math" w:cs="Times New Roman"/>
                      <w:i/>
                      <w:color w:val="000000"/>
                      <w:lang w:eastAsia="zh-CN"/>
                    </w:rPr>
                  </m:ctrlPr>
                </m:sSupPr>
                <m:e>
                  <m:r>
                    <w:rPr>
                      <w:rFonts w:ascii="Cambria Math" w:eastAsia="Times New Roman" w:hAnsi="Cambria Math" w:cs="Times New Roman"/>
                      <w:color w:val="000000"/>
                      <w:lang w:eastAsia="zh-CN"/>
                    </w:rPr>
                    <m:t>χ</m:t>
                  </m:r>
                </m:e>
                <m:sup>
                  <m:r>
                    <w:rPr>
                      <w:rFonts w:ascii="Cambria Math" w:eastAsia="Times New Roman" w:hAnsi="Cambria Math" w:cs="Times New Roman"/>
                      <w:color w:val="000000"/>
                      <w:lang w:eastAsia="zh-CN"/>
                    </w:rPr>
                    <m:t>2</m:t>
                  </m:r>
                </m:sup>
              </m:sSup>
            </m:oMath>
            <w:r w:rsidR="00B64F05" w:rsidRPr="00B55228">
              <w:rPr>
                <w:rFonts w:ascii="Times New Roman" w:eastAsia="Times New Roman" w:hAnsi="Times New Roman" w:cs="Times New Roman"/>
                <w:color w:val="000000"/>
                <w:lang w:eastAsia="zh-CN"/>
              </w:rPr>
              <w:t>-stat</w:t>
            </w:r>
          </w:p>
        </w:tc>
        <w:tc>
          <w:tcPr>
            <w:tcW w:w="690" w:type="pct"/>
            <w:tcBorders>
              <w:top w:val="nil"/>
              <w:left w:val="nil"/>
              <w:bottom w:val="single" w:sz="12" w:space="0" w:color="auto"/>
              <w:right w:val="nil"/>
            </w:tcBorders>
            <w:shd w:val="clear" w:color="auto" w:fill="auto"/>
            <w:noWrap/>
            <w:vAlign w:val="center"/>
            <w:hideMark/>
          </w:tcPr>
          <w:p w14:paraId="1DF42244"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Estimate</w:t>
            </w:r>
          </w:p>
        </w:tc>
        <w:tc>
          <w:tcPr>
            <w:tcW w:w="533" w:type="pct"/>
            <w:tcBorders>
              <w:top w:val="nil"/>
              <w:left w:val="nil"/>
              <w:bottom w:val="single" w:sz="12" w:space="0" w:color="auto"/>
              <w:right w:val="nil"/>
            </w:tcBorders>
            <w:shd w:val="clear" w:color="auto" w:fill="auto"/>
            <w:noWrap/>
            <w:vAlign w:val="center"/>
            <w:hideMark/>
          </w:tcPr>
          <w:p w14:paraId="39D33D35" w14:textId="77777777" w:rsidR="00B64F05" w:rsidRPr="00B55228" w:rsidRDefault="0048295D" w:rsidP="00C93CAB">
            <w:pPr>
              <w:spacing w:after="0" w:line="240" w:lineRule="auto"/>
              <w:jc w:val="center"/>
              <w:rPr>
                <w:rFonts w:ascii="Times New Roman" w:eastAsia="Times New Roman" w:hAnsi="Times New Roman" w:cs="Times New Roman"/>
                <w:color w:val="000000"/>
                <w:lang w:eastAsia="zh-CN"/>
              </w:rPr>
            </w:pPr>
            <m:oMath>
              <m:sSup>
                <m:sSupPr>
                  <m:ctrlPr>
                    <w:rPr>
                      <w:rFonts w:ascii="Cambria Math" w:eastAsia="Times New Roman" w:hAnsi="Cambria Math" w:cs="Times New Roman"/>
                      <w:i/>
                      <w:color w:val="000000"/>
                      <w:lang w:eastAsia="zh-CN"/>
                    </w:rPr>
                  </m:ctrlPr>
                </m:sSupPr>
                <m:e>
                  <m:r>
                    <w:rPr>
                      <w:rFonts w:ascii="Cambria Math" w:eastAsia="Times New Roman" w:hAnsi="Cambria Math" w:cs="Times New Roman"/>
                      <w:color w:val="000000"/>
                      <w:lang w:eastAsia="zh-CN"/>
                    </w:rPr>
                    <m:t>χ</m:t>
                  </m:r>
                </m:e>
                <m:sup>
                  <m:r>
                    <w:rPr>
                      <w:rFonts w:ascii="Cambria Math" w:eastAsia="Times New Roman" w:hAnsi="Cambria Math" w:cs="Times New Roman"/>
                      <w:color w:val="000000"/>
                      <w:lang w:eastAsia="zh-CN"/>
                    </w:rPr>
                    <m:t>2</m:t>
                  </m:r>
                </m:sup>
              </m:sSup>
            </m:oMath>
            <w:r w:rsidR="00B64F05" w:rsidRPr="00B55228">
              <w:rPr>
                <w:rFonts w:ascii="Times New Roman" w:eastAsia="Times New Roman" w:hAnsi="Times New Roman" w:cs="Times New Roman"/>
                <w:color w:val="000000"/>
                <w:lang w:eastAsia="zh-CN"/>
              </w:rPr>
              <w:t>-stat</w:t>
            </w:r>
          </w:p>
        </w:tc>
      </w:tr>
      <w:tr w:rsidR="00B64F05" w:rsidRPr="00B55228" w14:paraId="6DA8B12D" w14:textId="77777777" w:rsidTr="00C93CAB">
        <w:trPr>
          <w:trHeight w:hRule="exact" w:val="317"/>
        </w:trPr>
        <w:tc>
          <w:tcPr>
            <w:tcW w:w="1974" w:type="pct"/>
            <w:tcBorders>
              <w:top w:val="single" w:sz="12" w:space="0" w:color="auto"/>
              <w:left w:val="nil"/>
              <w:bottom w:val="nil"/>
              <w:right w:val="nil"/>
            </w:tcBorders>
            <w:shd w:val="clear" w:color="auto" w:fill="auto"/>
            <w:noWrap/>
            <w:vAlign w:val="center"/>
            <w:hideMark/>
          </w:tcPr>
          <w:p w14:paraId="6256F469"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Intercept</w:t>
            </w:r>
          </w:p>
        </w:tc>
        <w:tc>
          <w:tcPr>
            <w:tcW w:w="813" w:type="pct"/>
            <w:tcBorders>
              <w:top w:val="single" w:sz="12" w:space="0" w:color="auto"/>
              <w:left w:val="nil"/>
              <w:bottom w:val="nil"/>
              <w:right w:val="nil"/>
            </w:tcBorders>
            <w:shd w:val="clear" w:color="auto" w:fill="auto"/>
            <w:noWrap/>
            <w:hideMark/>
          </w:tcPr>
          <w:p w14:paraId="3CEB4FDD"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3.875*</w:t>
            </w:r>
          </w:p>
        </w:tc>
        <w:tc>
          <w:tcPr>
            <w:tcW w:w="991" w:type="pct"/>
            <w:tcBorders>
              <w:top w:val="single" w:sz="12" w:space="0" w:color="auto"/>
              <w:left w:val="nil"/>
              <w:bottom w:val="nil"/>
              <w:right w:val="nil"/>
            </w:tcBorders>
            <w:shd w:val="clear" w:color="auto" w:fill="auto"/>
            <w:noWrap/>
            <w:hideMark/>
          </w:tcPr>
          <w:p w14:paraId="2A63A475"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3.76</w:t>
            </w:r>
          </w:p>
        </w:tc>
        <w:tc>
          <w:tcPr>
            <w:tcW w:w="690" w:type="pct"/>
            <w:tcBorders>
              <w:top w:val="single" w:sz="12" w:space="0" w:color="auto"/>
              <w:left w:val="nil"/>
              <w:bottom w:val="nil"/>
              <w:right w:val="nil"/>
            </w:tcBorders>
            <w:shd w:val="clear" w:color="auto" w:fill="auto"/>
            <w:noWrap/>
            <w:vAlign w:val="center"/>
          </w:tcPr>
          <w:p w14:paraId="4BA8E7CE"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-0.475</w:t>
            </w:r>
          </w:p>
        </w:tc>
        <w:tc>
          <w:tcPr>
            <w:tcW w:w="533" w:type="pct"/>
            <w:tcBorders>
              <w:top w:val="single" w:sz="12" w:space="0" w:color="auto"/>
              <w:left w:val="nil"/>
              <w:bottom w:val="nil"/>
              <w:right w:val="nil"/>
            </w:tcBorders>
            <w:shd w:val="clear" w:color="auto" w:fill="auto"/>
            <w:noWrap/>
            <w:vAlign w:val="bottom"/>
          </w:tcPr>
          <w:p w14:paraId="29D1B8BB"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0.06</w:t>
            </w:r>
          </w:p>
        </w:tc>
      </w:tr>
      <w:tr w:rsidR="00B64F05" w:rsidRPr="00B55228" w14:paraId="79E7CBED" w14:textId="77777777" w:rsidTr="00C93CAB">
        <w:trPr>
          <w:trHeight w:hRule="exact" w:val="317"/>
        </w:trPr>
        <w:tc>
          <w:tcPr>
            <w:tcW w:w="1974" w:type="pct"/>
            <w:tcBorders>
              <w:top w:val="nil"/>
              <w:left w:val="nil"/>
              <w:bottom w:val="nil"/>
              <w:right w:val="nil"/>
            </w:tcBorders>
            <w:shd w:val="clear" w:color="auto" w:fill="auto"/>
            <w:noWrap/>
            <w:vAlign w:val="center"/>
            <w:hideMark/>
          </w:tcPr>
          <w:p w14:paraId="7BA203FB"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SPAC-IPO</w:t>
            </w:r>
          </w:p>
        </w:tc>
        <w:tc>
          <w:tcPr>
            <w:tcW w:w="813" w:type="pct"/>
            <w:tcBorders>
              <w:top w:val="nil"/>
              <w:left w:val="nil"/>
              <w:bottom w:val="nil"/>
              <w:right w:val="nil"/>
            </w:tcBorders>
            <w:shd w:val="clear" w:color="auto" w:fill="auto"/>
            <w:noWrap/>
            <w:hideMark/>
          </w:tcPr>
          <w:p w14:paraId="117F9F1C"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1.648**</w:t>
            </w:r>
          </w:p>
        </w:tc>
        <w:tc>
          <w:tcPr>
            <w:tcW w:w="991" w:type="pct"/>
            <w:tcBorders>
              <w:top w:val="nil"/>
              <w:left w:val="nil"/>
              <w:bottom w:val="nil"/>
              <w:right w:val="nil"/>
            </w:tcBorders>
            <w:shd w:val="clear" w:color="auto" w:fill="auto"/>
            <w:noWrap/>
            <w:hideMark/>
          </w:tcPr>
          <w:p w14:paraId="6807B07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4.6</w:t>
            </w:r>
            <w:r>
              <w:rPr>
                <w:rFonts w:ascii="Times New Roman" w:eastAsia="Times New Roman" w:hAnsi="Times New Roman" w:cs="Times New Roman"/>
                <w:color w:val="000000"/>
                <w:lang w:eastAsia="zh-CN"/>
              </w:rPr>
              <w:t>7</w:t>
            </w:r>
          </w:p>
        </w:tc>
        <w:tc>
          <w:tcPr>
            <w:tcW w:w="690" w:type="pct"/>
            <w:tcBorders>
              <w:top w:val="nil"/>
              <w:left w:val="nil"/>
              <w:bottom w:val="nil"/>
              <w:right w:val="nil"/>
            </w:tcBorders>
            <w:shd w:val="clear" w:color="auto" w:fill="auto"/>
            <w:noWrap/>
            <w:vAlign w:val="center"/>
          </w:tcPr>
          <w:p w14:paraId="0A08AC88"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1.624**</w:t>
            </w:r>
          </w:p>
        </w:tc>
        <w:tc>
          <w:tcPr>
            <w:tcW w:w="533" w:type="pct"/>
            <w:tcBorders>
              <w:top w:val="nil"/>
              <w:left w:val="nil"/>
              <w:bottom w:val="nil"/>
              <w:right w:val="nil"/>
            </w:tcBorders>
            <w:shd w:val="clear" w:color="auto" w:fill="auto"/>
            <w:noWrap/>
            <w:vAlign w:val="bottom"/>
          </w:tcPr>
          <w:p w14:paraId="09CF89D8"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5.4</w:t>
            </w:r>
            <w:r>
              <w:rPr>
                <w:rFonts w:ascii="Times New Roman" w:eastAsia="Times New Roman" w:hAnsi="Times New Roman" w:cs="Times New Roman"/>
                <w:color w:val="000000"/>
                <w:lang w:eastAsia="zh-CN"/>
              </w:rPr>
              <w:t>8</w:t>
            </w:r>
          </w:p>
        </w:tc>
      </w:tr>
      <w:tr w:rsidR="00B64F05" w:rsidRPr="00B55228" w14:paraId="2C1BDA32" w14:textId="77777777" w:rsidTr="00C93CAB">
        <w:trPr>
          <w:trHeight w:hRule="exact" w:val="317"/>
        </w:trPr>
        <w:tc>
          <w:tcPr>
            <w:tcW w:w="1974" w:type="pct"/>
            <w:tcBorders>
              <w:top w:val="nil"/>
              <w:left w:val="nil"/>
              <w:bottom w:val="nil"/>
              <w:right w:val="nil"/>
            </w:tcBorders>
            <w:shd w:val="clear" w:color="auto" w:fill="auto"/>
            <w:noWrap/>
            <w:vAlign w:val="center"/>
            <w:hideMark/>
          </w:tcPr>
          <w:p w14:paraId="4C874699"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PROCEEDS</w:t>
            </w:r>
          </w:p>
        </w:tc>
        <w:tc>
          <w:tcPr>
            <w:tcW w:w="813" w:type="pct"/>
            <w:tcBorders>
              <w:top w:val="nil"/>
              <w:left w:val="nil"/>
              <w:bottom w:val="nil"/>
              <w:right w:val="nil"/>
            </w:tcBorders>
            <w:shd w:val="clear" w:color="auto" w:fill="auto"/>
            <w:noWrap/>
            <w:hideMark/>
          </w:tcPr>
          <w:p w14:paraId="7CAC2D07"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-1.501***</w:t>
            </w:r>
          </w:p>
        </w:tc>
        <w:tc>
          <w:tcPr>
            <w:tcW w:w="991" w:type="pct"/>
            <w:tcBorders>
              <w:top w:val="nil"/>
              <w:left w:val="nil"/>
              <w:bottom w:val="nil"/>
              <w:right w:val="nil"/>
            </w:tcBorders>
            <w:shd w:val="clear" w:color="auto" w:fill="auto"/>
            <w:noWrap/>
            <w:hideMark/>
          </w:tcPr>
          <w:p w14:paraId="74485063"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8.2</w:t>
            </w:r>
            <w:r>
              <w:rPr>
                <w:rFonts w:ascii="Times New Roman" w:eastAsia="Times New Roman" w:hAnsi="Times New Roman" w:cs="Times New Roman"/>
                <w:color w:val="000000"/>
                <w:lang w:eastAsia="zh-CN"/>
              </w:rPr>
              <w:t>4</w:t>
            </w:r>
          </w:p>
        </w:tc>
        <w:tc>
          <w:tcPr>
            <w:tcW w:w="690" w:type="pct"/>
            <w:tcBorders>
              <w:top w:val="nil"/>
              <w:left w:val="nil"/>
              <w:bottom w:val="nil"/>
              <w:right w:val="nil"/>
            </w:tcBorders>
            <w:shd w:val="clear" w:color="auto" w:fill="auto"/>
            <w:noWrap/>
            <w:vAlign w:val="center"/>
          </w:tcPr>
          <w:p w14:paraId="1540E71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-0.367</w:t>
            </w:r>
          </w:p>
        </w:tc>
        <w:tc>
          <w:tcPr>
            <w:tcW w:w="533" w:type="pct"/>
            <w:tcBorders>
              <w:top w:val="nil"/>
              <w:left w:val="nil"/>
              <w:bottom w:val="nil"/>
              <w:right w:val="nil"/>
            </w:tcBorders>
            <w:shd w:val="clear" w:color="auto" w:fill="auto"/>
            <w:noWrap/>
            <w:vAlign w:val="bottom"/>
          </w:tcPr>
          <w:p w14:paraId="75ED4FD0"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0.5</w:t>
            </w:r>
            <w:r>
              <w:rPr>
                <w:rFonts w:ascii="Times New Roman" w:eastAsia="Times New Roman" w:hAnsi="Times New Roman" w:cs="Times New Roman"/>
                <w:color w:val="000000"/>
                <w:lang w:eastAsia="zh-CN"/>
              </w:rPr>
              <w:t>2</w:t>
            </w:r>
          </w:p>
        </w:tc>
      </w:tr>
      <w:tr w:rsidR="00B64F05" w:rsidRPr="00B55228" w14:paraId="4839C5C7" w14:textId="77777777" w:rsidTr="00C93CAB">
        <w:trPr>
          <w:trHeight w:hRule="exact" w:val="317"/>
        </w:trPr>
        <w:tc>
          <w:tcPr>
            <w:tcW w:w="1974" w:type="pct"/>
            <w:tcBorders>
              <w:top w:val="nil"/>
              <w:left w:val="nil"/>
              <w:bottom w:val="nil"/>
              <w:right w:val="nil"/>
            </w:tcBorders>
            <w:shd w:val="clear" w:color="auto" w:fill="auto"/>
            <w:noWrap/>
            <w:vAlign w:val="center"/>
            <w:hideMark/>
          </w:tcPr>
          <w:p w14:paraId="438E7EEA"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ASSETS</w:t>
            </w:r>
          </w:p>
        </w:tc>
        <w:tc>
          <w:tcPr>
            <w:tcW w:w="813" w:type="pct"/>
            <w:tcBorders>
              <w:top w:val="nil"/>
              <w:left w:val="nil"/>
              <w:bottom w:val="nil"/>
              <w:right w:val="nil"/>
            </w:tcBorders>
            <w:shd w:val="clear" w:color="auto" w:fill="auto"/>
            <w:noWrap/>
            <w:hideMark/>
          </w:tcPr>
          <w:p w14:paraId="4CA7AD2D"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-0.047</w:t>
            </w:r>
          </w:p>
        </w:tc>
        <w:tc>
          <w:tcPr>
            <w:tcW w:w="991" w:type="pct"/>
            <w:tcBorders>
              <w:top w:val="nil"/>
              <w:left w:val="nil"/>
              <w:bottom w:val="nil"/>
              <w:right w:val="nil"/>
            </w:tcBorders>
            <w:shd w:val="clear" w:color="auto" w:fill="auto"/>
            <w:noWrap/>
            <w:hideMark/>
          </w:tcPr>
          <w:p w14:paraId="57AB6CD7"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w:t>
            </w:r>
            <w:r>
              <w:rPr>
                <w:rFonts w:ascii="Times New Roman" w:eastAsia="Times New Roman" w:hAnsi="Times New Roman" w:cs="Times New Roman"/>
                <w:color w:val="000000"/>
                <w:lang w:eastAsia="zh-CN"/>
              </w:rPr>
              <w:t>2</w:t>
            </w:r>
          </w:p>
        </w:tc>
        <w:tc>
          <w:tcPr>
            <w:tcW w:w="690" w:type="pct"/>
            <w:tcBorders>
              <w:top w:val="nil"/>
              <w:left w:val="nil"/>
              <w:bottom w:val="nil"/>
              <w:right w:val="nil"/>
            </w:tcBorders>
            <w:shd w:val="clear" w:color="auto" w:fill="auto"/>
            <w:noWrap/>
            <w:vAlign w:val="center"/>
          </w:tcPr>
          <w:p w14:paraId="667B579C"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0.248</w:t>
            </w:r>
          </w:p>
        </w:tc>
        <w:tc>
          <w:tcPr>
            <w:tcW w:w="533" w:type="pct"/>
            <w:tcBorders>
              <w:top w:val="nil"/>
              <w:left w:val="nil"/>
              <w:bottom w:val="nil"/>
              <w:right w:val="nil"/>
            </w:tcBorders>
            <w:shd w:val="clear" w:color="auto" w:fill="auto"/>
            <w:noWrap/>
            <w:vAlign w:val="bottom"/>
          </w:tcPr>
          <w:p w14:paraId="24DCDDE8"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0.62</w:t>
            </w:r>
          </w:p>
        </w:tc>
      </w:tr>
      <w:tr w:rsidR="00B64F05" w:rsidRPr="00B55228" w14:paraId="194CC58B" w14:textId="77777777" w:rsidTr="00C93CAB">
        <w:trPr>
          <w:trHeight w:hRule="exact" w:val="317"/>
        </w:trPr>
        <w:tc>
          <w:tcPr>
            <w:tcW w:w="1974" w:type="pct"/>
            <w:tcBorders>
              <w:top w:val="nil"/>
              <w:left w:val="nil"/>
              <w:bottom w:val="nil"/>
              <w:right w:val="nil"/>
            </w:tcBorders>
            <w:shd w:val="clear" w:color="auto" w:fill="auto"/>
            <w:noWrap/>
            <w:vAlign w:val="center"/>
            <w:hideMark/>
          </w:tcPr>
          <w:p w14:paraId="6B653B7B"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ASSETTURNOVER</w:t>
            </w:r>
          </w:p>
        </w:tc>
        <w:tc>
          <w:tcPr>
            <w:tcW w:w="813" w:type="pct"/>
            <w:tcBorders>
              <w:top w:val="nil"/>
              <w:left w:val="nil"/>
              <w:bottom w:val="nil"/>
              <w:right w:val="nil"/>
            </w:tcBorders>
            <w:shd w:val="clear" w:color="auto" w:fill="auto"/>
            <w:noWrap/>
            <w:hideMark/>
          </w:tcPr>
          <w:p w14:paraId="25A7D5DF"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-0.198</w:t>
            </w:r>
          </w:p>
        </w:tc>
        <w:tc>
          <w:tcPr>
            <w:tcW w:w="991" w:type="pct"/>
            <w:tcBorders>
              <w:top w:val="nil"/>
              <w:left w:val="nil"/>
              <w:bottom w:val="nil"/>
              <w:right w:val="nil"/>
            </w:tcBorders>
            <w:shd w:val="clear" w:color="auto" w:fill="auto"/>
            <w:noWrap/>
            <w:hideMark/>
          </w:tcPr>
          <w:p w14:paraId="32C48CF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0.26</w:t>
            </w:r>
          </w:p>
        </w:tc>
        <w:tc>
          <w:tcPr>
            <w:tcW w:w="690" w:type="pct"/>
            <w:tcBorders>
              <w:top w:val="nil"/>
              <w:left w:val="nil"/>
              <w:bottom w:val="nil"/>
              <w:right w:val="nil"/>
            </w:tcBorders>
            <w:shd w:val="clear" w:color="auto" w:fill="auto"/>
            <w:noWrap/>
            <w:vAlign w:val="center"/>
          </w:tcPr>
          <w:p w14:paraId="396118CE"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-0.172</w:t>
            </w:r>
          </w:p>
        </w:tc>
        <w:tc>
          <w:tcPr>
            <w:tcW w:w="533" w:type="pct"/>
            <w:tcBorders>
              <w:top w:val="nil"/>
              <w:left w:val="nil"/>
              <w:bottom w:val="nil"/>
              <w:right w:val="nil"/>
            </w:tcBorders>
            <w:shd w:val="clear" w:color="auto" w:fill="auto"/>
            <w:noWrap/>
            <w:vAlign w:val="bottom"/>
          </w:tcPr>
          <w:p w14:paraId="5D016356"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0.28</w:t>
            </w:r>
          </w:p>
        </w:tc>
      </w:tr>
      <w:tr w:rsidR="00B64F05" w:rsidRPr="00B55228" w14:paraId="35B3FC2D" w14:textId="77777777" w:rsidTr="00C93CAB">
        <w:trPr>
          <w:trHeight w:hRule="exact" w:val="317"/>
        </w:trPr>
        <w:tc>
          <w:tcPr>
            <w:tcW w:w="1974" w:type="pct"/>
            <w:tcBorders>
              <w:top w:val="nil"/>
              <w:left w:val="nil"/>
              <w:bottom w:val="nil"/>
              <w:right w:val="nil"/>
            </w:tcBorders>
            <w:shd w:val="clear" w:color="auto" w:fill="auto"/>
            <w:noWrap/>
            <w:vAlign w:val="center"/>
            <w:hideMark/>
          </w:tcPr>
          <w:p w14:paraId="31431D2B"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CURRATIO</w:t>
            </w:r>
          </w:p>
        </w:tc>
        <w:tc>
          <w:tcPr>
            <w:tcW w:w="813" w:type="pct"/>
            <w:tcBorders>
              <w:top w:val="nil"/>
              <w:left w:val="nil"/>
              <w:bottom w:val="nil"/>
              <w:right w:val="nil"/>
            </w:tcBorders>
            <w:shd w:val="clear" w:color="auto" w:fill="auto"/>
            <w:noWrap/>
            <w:hideMark/>
          </w:tcPr>
          <w:p w14:paraId="76C2D2E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-0.286</w:t>
            </w:r>
          </w:p>
        </w:tc>
        <w:tc>
          <w:tcPr>
            <w:tcW w:w="991" w:type="pct"/>
            <w:tcBorders>
              <w:top w:val="nil"/>
              <w:left w:val="nil"/>
              <w:bottom w:val="nil"/>
              <w:right w:val="nil"/>
            </w:tcBorders>
            <w:shd w:val="clear" w:color="auto" w:fill="auto"/>
            <w:noWrap/>
            <w:hideMark/>
          </w:tcPr>
          <w:p w14:paraId="2B212742"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2.43</w:t>
            </w:r>
          </w:p>
        </w:tc>
        <w:tc>
          <w:tcPr>
            <w:tcW w:w="690" w:type="pct"/>
            <w:tcBorders>
              <w:top w:val="nil"/>
              <w:left w:val="nil"/>
              <w:bottom w:val="nil"/>
              <w:right w:val="nil"/>
            </w:tcBorders>
            <w:shd w:val="clear" w:color="auto" w:fill="auto"/>
            <w:noWrap/>
            <w:vAlign w:val="center"/>
          </w:tcPr>
          <w:p w14:paraId="31EBCBE5"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-0.008</w:t>
            </w:r>
          </w:p>
        </w:tc>
        <w:tc>
          <w:tcPr>
            <w:tcW w:w="533" w:type="pct"/>
            <w:tcBorders>
              <w:top w:val="nil"/>
              <w:left w:val="nil"/>
              <w:bottom w:val="nil"/>
              <w:right w:val="nil"/>
            </w:tcBorders>
            <w:shd w:val="clear" w:color="auto" w:fill="auto"/>
            <w:noWrap/>
            <w:vAlign w:val="bottom"/>
          </w:tcPr>
          <w:p w14:paraId="3DF9DD85"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0.00</w:t>
            </w:r>
          </w:p>
        </w:tc>
      </w:tr>
      <w:tr w:rsidR="00B64F05" w:rsidRPr="00B55228" w14:paraId="6371E9C6" w14:textId="77777777" w:rsidTr="00C93CAB">
        <w:trPr>
          <w:trHeight w:hRule="exact" w:val="317"/>
        </w:trPr>
        <w:tc>
          <w:tcPr>
            <w:tcW w:w="1974" w:type="pct"/>
            <w:tcBorders>
              <w:top w:val="nil"/>
              <w:left w:val="nil"/>
              <w:bottom w:val="nil"/>
              <w:right w:val="nil"/>
            </w:tcBorders>
            <w:shd w:val="clear" w:color="auto" w:fill="auto"/>
            <w:noWrap/>
            <w:vAlign w:val="center"/>
            <w:hideMark/>
          </w:tcPr>
          <w:p w14:paraId="54DE216A"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LEVERAGE</w:t>
            </w:r>
          </w:p>
        </w:tc>
        <w:tc>
          <w:tcPr>
            <w:tcW w:w="813" w:type="pct"/>
            <w:tcBorders>
              <w:top w:val="nil"/>
              <w:left w:val="nil"/>
              <w:bottom w:val="nil"/>
              <w:right w:val="nil"/>
            </w:tcBorders>
            <w:shd w:val="clear" w:color="auto" w:fill="auto"/>
            <w:noWrap/>
            <w:hideMark/>
          </w:tcPr>
          <w:p w14:paraId="68B4BBE4"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0.476</w:t>
            </w:r>
          </w:p>
        </w:tc>
        <w:tc>
          <w:tcPr>
            <w:tcW w:w="991" w:type="pct"/>
            <w:tcBorders>
              <w:top w:val="nil"/>
              <w:left w:val="nil"/>
              <w:bottom w:val="nil"/>
              <w:right w:val="nil"/>
            </w:tcBorders>
            <w:shd w:val="clear" w:color="auto" w:fill="auto"/>
            <w:noWrap/>
            <w:hideMark/>
          </w:tcPr>
          <w:p w14:paraId="7899189B"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0.1</w:t>
            </w:r>
            <w:r>
              <w:rPr>
                <w:rFonts w:ascii="Times New Roman" w:eastAsia="Times New Roman" w:hAnsi="Times New Roman" w:cs="Times New Roman"/>
                <w:color w:val="000000"/>
                <w:lang w:eastAsia="zh-CN"/>
              </w:rPr>
              <w:t>8</w:t>
            </w:r>
          </w:p>
        </w:tc>
        <w:tc>
          <w:tcPr>
            <w:tcW w:w="690" w:type="pct"/>
            <w:tcBorders>
              <w:top w:val="nil"/>
              <w:left w:val="nil"/>
              <w:bottom w:val="nil"/>
              <w:right w:val="nil"/>
            </w:tcBorders>
            <w:shd w:val="clear" w:color="auto" w:fill="auto"/>
            <w:noWrap/>
            <w:vAlign w:val="center"/>
          </w:tcPr>
          <w:p w14:paraId="2451D90A"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-0.136</w:t>
            </w:r>
          </w:p>
        </w:tc>
        <w:tc>
          <w:tcPr>
            <w:tcW w:w="533" w:type="pct"/>
            <w:tcBorders>
              <w:top w:val="nil"/>
              <w:left w:val="nil"/>
              <w:bottom w:val="nil"/>
              <w:right w:val="nil"/>
            </w:tcBorders>
            <w:shd w:val="clear" w:color="auto" w:fill="auto"/>
            <w:noWrap/>
            <w:vAlign w:val="bottom"/>
          </w:tcPr>
          <w:p w14:paraId="7300094E"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0.01</w:t>
            </w:r>
          </w:p>
        </w:tc>
      </w:tr>
      <w:tr w:rsidR="00B64F05" w:rsidRPr="00B55228" w14:paraId="1738D04A" w14:textId="77777777" w:rsidTr="00C93CAB">
        <w:trPr>
          <w:trHeight w:hRule="exact" w:val="317"/>
        </w:trPr>
        <w:tc>
          <w:tcPr>
            <w:tcW w:w="1974" w:type="pct"/>
            <w:tcBorders>
              <w:top w:val="nil"/>
              <w:left w:val="nil"/>
              <w:bottom w:val="nil"/>
              <w:right w:val="nil"/>
            </w:tcBorders>
            <w:shd w:val="clear" w:color="auto" w:fill="auto"/>
            <w:noWrap/>
            <w:vAlign w:val="center"/>
            <w:hideMark/>
          </w:tcPr>
          <w:p w14:paraId="24223543"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ROA</w:t>
            </w:r>
          </w:p>
        </w:tc>
        <w:tc>
          <w:tcPr>
            <w:tcW w:w="813" w:type="pct"/>
            <w:tcBorders>
              <w:top w:val="nil"/>
              <w:left w:val="nil"/>
              <w:bottom w:val="nil"/>
              <w:right w:val="nil"/>
            </w:tcBorders>
            <w:shd w:val="clear" w:color="auto" w:fill="auto"/>
            <w:noWrap/>
            <w:hideMark/>
          </w:tcPr>
          <w:p w14:paraId="4F620722"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0.042</w:t>
            </w:r>
          </w:p>
        </w:tc>
        <w:tc>
          <w:tcPr>
            <w:tcW w:w="991" w:type="pct"/>
            <w:tcBorders>
              <w:top w:val="nil"/>
              <w:left w:val="nil"/>
              <w:bottom w:val="nil"/>
              <w:right w:val="nil"/>
            </w:tcBorders>
            <w:shd w:val="clear" w:color="auto" w:fill="auto"/>
            <w:noWrap/>
            <w:hideMark/>
          </w:tcPr>
          <w:p w14:paraId="7EB87B3D"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w:t>
            </w:r>
            <w:r>
              <w:rPr>
                <w:rFonts w:ascii="Times New Roman" w:eastAsia="Times New Roman" w:hAnsi="Times New Roman" w:cs="Times New Roman"/>
                <w:color w:val="000000"/>
                <w:lang w:eastAsia="zh-CN"/>
              </w:rPr>
              <w:t>1</w:t>
            </w:r>
          </w:p>
        </w:tc>
        <w:tc>
          <w:tcPr>
            <w:tcW w:w="690" w:type="pct"/>
            <w:tcBorders>
              <w:top w:val="nil"/>
              <w:left w:val="nil"/>
              <w:bottom w:val="nil"/>
              <w:right w:val="nil"/>
            </w:tcBorders>
            <w:shd w:val="clear" w:color="auto" w:fill="auto"/>
            <w:noWrap/>
            <w:vAlign w:val="center"/>
          </w:tcPr>
          <w:p w14:paraId="065CD5D7"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-0.041</w:t>
            </w:r>
          </w:p>
        </w:tc>
        <w:tc>
          <w:tcPr>
            <w:tcW w:w="533" w:type="pct"/>
            <w:tcBorders>
              <w:top w:val="nil"/>
              <w:left w:val="nil"/>
              <w:bottom w:val="nil"/>
              <w:right w:val="nil"/>
            </w:tcBorders>
            <w:shd w:val="clear" w:color="auto" w:fill="auto"/>
            <w:noWrap/>
            <w:vAlign w:val="bottom"/>
          </w:tcPr>
          <w:p w14:paraId="32844431"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w:t>
            </w:r>
            <w:r>
              <w:rPr>
                <w:rFonts w:ascii="Times New Roman" w:eastAsia="Times New Roman" w:hAnsi="Times New Roman" w:cs="Times New Roman"/>
                <w:color w:val="000000"/>
                <w:lang w:eastAsia="zh-CN"/>
              </w:rPr>
              <w:t>1</w:t>
            </w:r>
          </w:p>
        </w:tc>
      </w:tr>
      <w:tr w:rsidR="00B64F05" w:rsidRPr="00B55228" w14:paraId="2310C951" w14:textId="77777777" w:rsidTr="00C93CAB">
        <w:trPr>
          <w:trHeight w:hRule="exact" w:val="317"/>
        </w:trPr>
        <w:tc>
          <w:tcPr>
            <w:tcW w:w="1974" w:type="pct"/>
            <w:tcBorders>
              <w:top w:val="nil"/>
              <w:left w:val="nil"/>
              <w:bottom w:val="nil"/>
              <w:right w:val="nil"/>
            </w:tcBorders>
            <w:shd w:val="clear" w:color="auto" w:fill="auto"/>
            <w:noWrap/>
            <w:vAlign w:val="center"/>
            <w:hideMark/>
          </w:tcPr>
          <w:p w14:paraId="799B5B1B"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Z-SCORE</w:t>
            </w:r>
          </w:p>
        </w:tc>
        <w:tc>
          <w:tcPr>
            <w:tcW w:w="813" w:type="pct"/>
            <w:tcBorders>
              <w:top w:val="nil"/>
              <w:left w:val="nil"/>
              <w:bottom w:val="nil"/>
              <w:right w:val="nil"/>
            </w:tcBorders>
            <w:shd w:val="clear" w:color="auto" w:fill="auto"/>
            <w:noWrap/>
            <w:hideMark/>
          </w:tcPr>
          <w:p w14:paraId="58030BCD"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0.608</w:t>
            </w:r>
          </w:p>
        </w:tc>
        <w:tc>
          <w:tcPr>
            <w:tcW w:w="991" w:type="pct"/>
            <w:tcBorders>
              <w:top w:val="nil"/>
              <w:left w:val="nil"/>
              <w:bottom w:val="nil"/>
              <w:right w:val="nil"/>
            </w:tcBorders>
            <w:shd w:val="clear" w:color="auto" w:fill="auto"/>
            <w:noWrap/>
            <w:hideMark/>
          </w:tcPr>
          <w:p w14:paraId="07E88E05"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0.77</w:t>
            </w:r>
          </w:p>
        </w:tc>
        <w:tc>
          <w:tcPr>
            <w:tcW w:w="690" w:type="pct"/>
            <w:tcBorders>
              <w:top w:val="nil"/>
              <w:left w:val="nil"/>
              <w:bottom w:val="nil"/>
              <w:right w:val="nil"/>
            </w:tcBorders>
            <w:shd w:val="clear" w:color="auto" w:fill="auto"/>
            <w:noWrap/>
            <w:vAlign w:val="center"/>
          </w:tcPr>
          <w:p w14:paraId="7F9D016C"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-0.112</w:t>
            </w:r>
          </w:p>
        </w:tc>
        <w:tc>
          <w:tcPr>
            <w:tcW w:w="533" w:type="pct"/>
            <w:tcBorders>
              <w:top w:val="nil"/>
              <w:left w:val="nil"/>
              <w:bottom w:val="nil"/>
              <w:right w:val="nil"/>
            </w:tcBorders>
            <w:shd w:val="clear" w:color="auto" w:fill="auto"/>
            <w:noWrap/>
            <w:vAlign w:val="bottom"/>
          </w:tcPr>
          <w:p w14:paraId="454C817F"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0.03</w:t>
            </w:r>
          </w:p>
        </w:tc>
      </w:tr>
      <w:tr w:rsidR="00B64F05" w:rsidRPr="00B55228" w14:paraId="7CB27AF9" w14:textId="77777777" w:rsidTr="00C93CAB">
        <w:trPr>
          <w:trHeight w:hRule="exact" w:val="317"/>
        </w:trPr>
        <w:tc>
          <w:tcPr>
            <w:tcW w:w="1974" w:type="pct"/>
            <w:tcBorders>
              <w:top w:val="nil"/>
              <w:left w:val="nil"/>
              <w:bottom w:val="nil"/>
              <w:right w:val="nil"/>
            </w:tcBorders>
            <w:shd w:val="clear" w:color="auto" w:fill="auto"/>
            <w:noWrap/>
            <w:vAlign w:val="center"/>
            <w:hideMark/>
          </w:tcPr>
          <w:p w14:paraId="5607FCA5"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EGA</w:t>
            </w:r>
          </w:p>
        </w:tc>
        <w:tc>
          <w:tcPr>
            <w:tcW w:w="813" w:type="pct"/>
            <w:tcBorders>
              <w:top w:val="nil"/>
              <w:left w:val="nil"/>
              <w:bottom w:val="nil"/>
              <w:right w:val="nil"/>
            </w:tcBorders>
            <w:shd w:val="clear" w:color="auto" w:fill="auto"/>
            <w:noWrap/>
            <w:hideMark/>
          </w:tcPr>
          <w:p w14:paraId="0B742614"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0.094</w:t>
            </w:r>
          </w:p>
        </w:tc>
        <w:tc>
          <w:tcPr>
            <w:tcW w:w="991" w:type="pct"/>
            <w:tcBorders>
              <w:top w:val="nil"/>
              <w:left w:val="nil"/>
              <w:bottom w:val="nil"/>
              <w:right w:val="nil"/>
            </w:tcBorders>
            <w:shd w:val="clear" w:color="auto" w:fill="auto"/>
            <w:noWrap/>
            <w:hideMark/>
          </w:tcPr>
          <w:p w14:paraId="01E5827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w:t>
            </w:r>
            <w:r>
              <w:rPr>
                <w:rFonts w:ascii="Times New Roman" w:eastAsia="Times New Roman" w:hAnsi="Times New Roman" w:cs="Times New Roman"/>
                <w:color w:val="000000"/>
                <w:lang w:eastAsia="zh-CN"/>
              </w:rPr>
              <w:t>3</w:t>
            </w:r>
          </w:p>
        </w:tc>
        <w:tc>
          <w:tcPr>
            <w:tcW w:w="690" w:type="pct"/>
            <w:tcBorders>
              <w:top w:val="nil"/>
              <w:left w:val="nil"/>
              <w:bottom w:val="nil"/>
              <w:right w:val="nil"/>
            </w:tcBorders>
            <w:shd w:val="clear" w:color="auto" w:fill="auto"/>
            <w:noWrap/>
            <w:vAlign w:val="center"/>
          </w:tcPr>
          <w:p w14:paraId="5CCAE7B8"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0.021</w:t>
            </w:r>
          </w:p>
        </w:tc>
        <w:tc>
          <w:tcPr>
            <w:tcW w:w="533" w:type="pct"/>
            <w:tcBorders>
              <w:top w:val="nil"/>
              <w:left w:val="nil"/>
              <w:bottom w:val="nil"/>
              <w:right w:val="nil"/>
            </w:tcBorders>
            <w:shd w:val="clear" w:color="auto" w:fill="auto"/>
            <w:noWrap/>
            <w:vAlign w:val="bottom"/>
          </w:tcPr>
          <w:p w14:paraId="6F286B8A"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0.00</w:t>
            </w:r>
          </w:p>
        </w:tc>
      </w:tr>
      <w:tr w:rsidR="00B64F05" w:rsidRPr="00B55228" w14:paraId="2E5B0CDB" w14:textId="77777777" w:rsidTr="00C93CAB">
        <w:trPr>
          <w:trHeight w:hRule="exact" w:val="317"/>
        </w:trPr>
        <w:tc>
          <w:tcPr>
            <w:tcW w:w="1974" w:type="pct"/>
            <w:tcBorders>
              <w:top w:val="nil"/>
              <w:left w:val="nil"/>
              <w:bottom w:val="nil"/>
              <w:right w:val="nil"/>
            </w:tcBorders>
            <w:shd w:val="clear" w:color="auto" w:fill="auto"/>
            <w:noWrap/>
            <w:vAlign w:val="center"/>
            <w:hideMark/>
          </w:tcPr>
          <w:p w14:paraId="6624ADBF" w14:textId="77777777" w:rsidR="00B64F05" w:rsidRPr="00B55228" w:rsidRDefault="00B64F05" w:rsidP="00C93CAB">
            <w:pPr>
              <w:spacing w:after="0" w:line="240" w:lineRule="auto"/>
              <w:ind w:left="339"/>
              <w:rPr>
                <w:rFonts w:ascii="Times New Roman" w:eastAsia="Times New Roman" w:hAnsi="Times New Roman" w:cs="Times New Roman"/>
                <w:i/>
                <w:color w:val="000000"/>
                <w:lang w:eastAsia="zh-CN"/>
              </w:rPr>
            </w:pPr>
            <w:r w:rsidRPr="00B55228">
              <w:rPr>
                <w:rFonts w:ascii="Times New Roman" w:eastAsia="Times New Roman" w:hAnsi="Times New Roman" w:cs="Times New Roman"/>
                <w:i/>
                <w:color w:val="000000"/>
                <w:lang w:eastAsia="zh-CN"/>
              </w:rPr>
              <w:t>FOREIGNFIRM</w:t>
            </w:r>
          </w:p>
        </w:tc>
        <w:tc>
          <w:tcPr>
            <w:tcW w:w="813" w:type="pct"/>
            <w:tcBorders>
              <w:top w:val="nil"/>
              <w:left w:val="nil"/>
              <w:bottom w:val="nil"/>
              <w:right w:val="nil"/>
            </w:tcBorders>
            <w:shd w:val="clear" w:color="auto" w:fill="auto"/>
            <w:noWrap/>
            <w:hideMark/>
          </w:tcPr>
          <w:p w14:paraId="282A6C01"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-0.289</w:t>
            </w:r>
          </w:p>
        </w:tc>
        <w:tc>
          <w:tcPr>
            <w:tcW w:w="991" w:type="pct"/>
            <w:tcBorders>
              <w:top w:val="nil"/>
              <w:left w:val="nil"/>
              <w:bottom w:val="nil"/>
              <w:right w:val="nil"/>
            </w:tcBorders>
            <w:shd w:val="clear" w:color="auto" w:fill="auto"/>
            <w:noWrap/>
            <w:hideMark/>
          </w:tcPr>
          <w:p w14:paraId="7E7E204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0.19</w:t>
            </w:r>
          </w:p>
        </w:tc>
        <w:tc>
          <w:tcPr>
            <w:tcW w:w="690" w:type="pct"/>
            <w:tcBorders>
              <w:top w:val="nil"/>
              <w:left w:val="nil"/>
              <w:bottom w:val="nil"/>
              <w:right w:val="nil"/>
            </w:tcBorders>
            <w:shd w:val="clear" w:color="auto" w:fill="auto"/>
            <w:noWrap/>
            <w:vAlign w:val="center"/>
          </w:tcPr>
          <w:p w14:paraId="47A838CD"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B55228">
              <w:rPr>
                <w:rFonts w:ascii="Times New Roman" w:eastAsia="Times New Roman" w:hAnsi="Times New Roman" w:cs="Times New Roman"/>
                <w:color w:val="000000"/>
                <w:lang w:eastAsia="zh-CN"/>
              </w:rPr>
              <w:t>-0.41</w:t>
            </w:r>
            <w:r>
              <w:rPr>
                <w:rFonts w:ascii="Times New Roman" w:eastAsia="Times New Roman" w:hAnsi="Times New Roman" w:cs="Times New Roman"/>
                <w:color w:val="000000"/>
                <w:lang w:eastAsia="zh-CN"/>
              </w:rPr>
              <w:t>0</w:t>
            </w:r>
          </w:p>
        </w:tc>
        <w:tc>
          <w:tcPr>
            <w:tcW w:w="533" w:type="pct"/>
            <w:tcBorders>
              <w:top w:val="nil"/>
              <w:left w:val="nil"/>
              <w:bottom w:val="nil"/>
              <w:right w:val="nil"/>
            </w:tcBorders>
            <w:shd w:val="clear" w:color="auto" w:fill="auto"/>
            <w:noWrap/>
            <w:vAlign w:val="bottom"/>
          </w:tcPr>
          <w:p w14:paraId="1B97EC90" w14:textId="77777777" w:rsidR="00B64F05" w:rsidRPr="00B55228" w:rsidRDefault="00B64F05" w:rsidP="00C93CAB">
            <w:pPr>
              <w:spacing w:after="0" w:line="240" w:lineRule="auto"/>
              <w:jc w:val="right"/>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0.42</w:t>
            </w:r>
          </w:p>
        </w:tc>
      </w:tr>
      <w:tr w:rsidR="00B64F05" w:rsidRPr="00B55228" w14:paraId="4929B9CF" w14:textId="77777777" w:rsidTr="00C93CAB">
        <w:trPr>
          <w:trHeight w:hRule="exact" w:val="317"/>
        </w:trPr>
        <w:tc>
          <w:tcPr>
            <w:tcW w:w="1974" w:type="pct"/>
            <w:tcBorders>
              <w:top w:val="nil"/>
              <w:left w:val="nil"/>
              <w:bottom w:val="nil"/>
              <w:right w:val="nil"/>
            </w:tcBorders>
            <w:shd w:val="clear" w:color="auto" w:fill="auto"/>
            <w:noWrap/>
            <w:vAlign w:val="center"/>
            <w:hideMark/>
          </w:tcPr>
          <w:p w14:paraId="7608FE67"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Industry fixed effects</w:t>
            </w:r>
          </w:p>
        </w:tc>
        <w:tc>
          <w:tcPr>
            <w:tcW w:w="813" w:type="pct"/>
            <w:tcBorders>
              <w:top w:val="nil"/>
              <w:left w:val="nil"/>
              <w:bottom w:val="nil"/>
              <w:right w:val="nil"/>
            </w:tcBorders>
            <w:shd w:val="clear" w:color="auto" w:fill="auto"/>
            <w:noWrap/>
            <w:hideMark/>
          </w:tcPr>
          <w:p w14:paraId="5214B53F"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No</w:t>
            </w:r>
          </w:p>
        </w:tc>
        <w:tc>
          <w:tcPr>
            <w:tcW w:w="991" w:type="pct"/>
            <w:tcBorders>
              <w:top w:val="nil"/>
              <w:left w:val="nil"/>
              <w:bottom w:val="nil"/>
              <w:right w:val="nil"/>
            </w:tcBorders>
            <w:shd w:val="clear" w:color="auto" w:fill="auto"/>
            <w:noWrap/>
            <w:hideMark/>
          </w:tcPr>
          <w:p w14:paraId="7F7A073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c>
          <w:tcPr>
            <w:tcW w:w="690" w:type="pct"/>
            <w:tcBorders>
              <w:top w:val="nil"/>
              <w:left w:val="nil"/>
              <w:bottom w:val="nil"/>
              <w:right w:val="nil"/>
            </w:tcBorders>
            <w:shd w:val="clear" w:color="auto" w:fill="auto"/>
            <w:noWrap/>
            <w:vAlign w:val="center"/>
          </w:tcPr>
          <w:p w14:paraId="07743801"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No</w:t>
            </w:r>
          </w:p>
        </w:tc>
        <w:tc>
          <w:tcPr>
            <w:tcW w:w="533" w:type="pct"/>
            <w:tcBorders>
              <w:top w:val="nil"/>
              <w:left w:val="nil"/>
              <w:bottom w:val="nil"/>
              <w:right w:val="nil"/>
            </w:tcBorders>
            <w:shd w:val="clear" w:color="auto" w:fill="auto"/>
            <w:noWrap/>
            <w:vAlign w:val="bottom"/>
          </w:tcPr>
          <w:p w14:paraId="109542A0"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48C5EBD1" w14:textId="77777777" w:rsidTr="00C93CAB">
        <w:trPr>
          <w:trHeight w:hRule="exact" w:val="317"/>
        </w:trPr>
        <w:tc>
          <w:tcPr>
            <w:tcW w:w="1974" w:type="pct"/>
            <w:tcBorders>
              <w:top w:val="nil"/>
              <w:left w:val="nil"/>
              <w:bottom w:val="nil"/>
              <w:right w:val="nil"/>
            </w:tcBorders>
            <w:shd w:val="clear" w:color="auto" w:fill="auto"/>
            <w:noWrap/>
            <w:vAlign w:val="center"/>
            <w:hideMark/>
          </w:tcPr>
          <w:p w14:paraId="60CA1130"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Observations</w:t>
            </w:r>
          </w:p>
        </w:tc>
        <w:tc>
          <w:tcPr>
            <w:tcW w:w="813" w:type="pct"/>
            <w:tcBorders>
              <w:top w:val="nil"/>
              <w:left w:val="nil"/>
              <w:bottom w:val="nil"/>
              <w:right w:val="nil"/>
            </w:tcBorders>
            <w:shd w:val="clear" w:color="auto" w:fill="auto"/>
            <w:noWrap/>
            <w:hideMark/>
          </w:tcPr>
          <w:p w14:paraId="43025A3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282</w:t>
            </w:r>
          </w:p>
        </w:tc>
        <w:tc>
          <w:tcPr>
            <w:tcW w:w="991" w:type="pct"/>
            <w:tcBorders>
              <w:top w:val="nil"/>
              <w:left w:val="nil"/>
              <w:bottom w:val="nil"/>
              <w:right w:val="nil"/>
            </w:tcBorders>
            <w:shd w:val="clear" w:color="auto" w:fill="auto"/>
            <w:noWrap/>
            <w:hideMark/>
          </w:tcPr>
          <w:p w14:paraId="4C4BF2E1"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c>
          <w:tcPr>
            <w:tcW w:w="690" w:type="pct"/>
            <w:tcBorders>
              <w:top w:val="nil"/>
              <w:left w:val="nil"/>
              <w:bottom w:val="nil"/>
              <w:right w:val="nil"/>
            </w:tcBorders>
            <w:shd w:val="clear" w:color="auto" w:fill="auto"/>
            <w:noWrap/>
            <w:vAlign w:val="center"/>
          </w:tcPr>
          <w:p w14:paraId="18B1881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282</w:t>
            </w:r>
          </w:p>
        </w:tc>
        <w:tc>
          <w:tcPr>
            <w:tcW w:w="533" w:type="pct"/>
            <w:tcBorders>
              <w:top w:val="nil"/>
              <w:left w:val="nil"/>
              <w:bottom w:val="nil"/>
              <w:right w:val="nil"/>
            </w:tcBorders>
            <w:shd w:val="clear" w:color="auto" w:fill="auto"/>
            <w:noWrap/>
            <w:vAlign w:val="bottom"/>
          </w:tcPr>
          <w:p w14:paraId="6DBEB8D6"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0394E526" w14:textId="77777777" w:rsidTr="00C93CAB">
        <w:trPr>
          <w:trHeight w:hRule="exact" w:val="317"/>
        </w:trPr>
        <w:tc>
          <w:tcPr>
            <w:tcW w:w="1974" w:type="pct"/>
            <w:tcBorders>
              <w:top w:val="nil"/>
              <w:left w:val="nil"/>
              <w:bottom w:val="nil"/>
              <w:right w:val="nil"/>
            </w:tcBorders>
            <w:shd w:val="clear" w:color="auto" w:fill="auto"/>
            <w:noWrap/>
            <w:vAlign w:val="center"/>
            <w:hideMark/>
          </w:tcPr>
          <w:p w14:paraId="6BF4975A"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Likelihood Ratio</w:t>
            </w:r>
          </w:p>
        </w:tc>
        <w:tc>
          <w:tcPr>
            <w:tcW w:w="813" w:type="pct"/>
            <w:tcBorders>
              <w:top w:val="nil"/>
              <w:left w:val="nil"/>
              <w:bottom w:val="nil"/>
              <w:right w:val="nil"/>
            </w:tcBorders>
            <w:shd w:val="clear" w:color="auto" w:fill="auto"/>
            <w:noWrap/>
            <w:hideMark/>
          </w:tcPr>
          <w:p w14:paraId="215F3D27"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48.377</w:t>
            </w:r>
          </w:p>
        </w:tc>
        <w:tc>
          <w:tcPr>
            <w:tcW w:w="991" w:type="pct"/>
            <w:tcBorders>
              <w:top w:val="nil"/>
              <w:left w:val="nil"/>
              <w:bottom w:val="nil"/>
              <w:right w:val="nil"/>
            </w:tcBorders>
            <w:shd w:val="clear" w:color="auto" w:fill="auto"/>
            <w:noWrap/>
            <w:hideMark/>
          </w:tcPr>
          <w:p w14:paraId="5DB9B28B"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c>
          <w:tcPr>
            <w:tcW w:w="690" w:type="pct"/>
            <w:tcBorders>
              <w:top w:val="nil"/>
              <w:left w:val="nil"/>
              <w:bottom w:val="nil"/>
              <w:right w:val="nil"/>
            </w:tcBorders>
            <w:shd w:val="clear" w:color="auto" w:fill="auto"/>
            <w:noWrap/>
            <w:vAlign w:val="center"/>
          </w:tcPr>
          <w:p w14:paraId="3803733C"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23.278</w:t>
            </w:r>
          </w:p>
        </w:tc>
        <w:tc>
          <w:tcPr>
            <w:tcW w:w="533" w:type="pct"/>
            <w:tcBorders>
              <w:top w:val="nil"/>
              <w:left w:val="nil"/>
              <w:bottom w:val="nil"/>
              <w:right w:val="nil"/>
            </w:tcBorders>
            <w:shd w:val="clear" w:color="auto" w:fill="auto"/>
            <w:noWrap/>
            <w:vAlign w:val="bottom"/>
          </w:tcPr>
          <w:p w14:paraId="77689E7C"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r>
      <w:tr w:rsidR="00B64F05" w:rsidRPr="00B55228" w14:paraId="034B205E" w14:textId="77777777" w:rsidTr="00C93CAB">
        <w:trPr>
          <w:trHeight w:hRule="exact" w:val="317"/>
        </w:trPr>
        <w:tc>
          <w:tcPr>
            <w:tcW w:w="1974" w:type="pct"/>
            <w:tcBorders>
              <w:top w:val="nil"/>
              <w:left w:val="nil"/>
              <w:bottom w:val="single" w:sz="12" w:space="0" w:color="auto"/>
              <w:right w:val="nil"/>
            </w:tcBorders>
            <w:shd w:val="clear" w:color="auto" w:fill="auto"/>
            <w:noWrap/>
            <w:vAlign w:val="center"/>
            <w:hideMark/>
          </w:tcPr>
          <w:p w14:paraId="02279E14"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Pseudo R</w:t>
            </w:r>
            <w:r w:rsidRPr="00B55228">
              <w:rPr>
                <w:rFonts w:ascii="Times New Roman" w:eastAsia="Times New Roman" w:hAnsi="Times New Roman" w:cs="Times New Roman"/>
                <w:color w:val="000000"/>
                <w:vertAlign w:val="superscript"/>
                <w:lang w:eastAsia="zh-CN"/>
              </w:rPr>
              <w:t>2</w:t>
            </w:r>
          </w:p>
        </w:tc>
        <w:tc>
          <w:tcPr>
            <w:tcW w:w="813" w:type="pct"/>
            <w:tcBorders>
              <w:top w:val="nil"/>
              <w:left w:val="nil"/>
              <w:bottom w:val="single" w:sz="12" w:space="0" w:color="auto"/>
              <w:right w:val="nil"/>
            </w:tcBorders>
            <w:shd w:val="clear" w:color="auto" w:fill="auto"/>
            <w:noWrap/>
            <w:hideMark/>
          </w:tcPr>
          <w:p w14:paraId="44E80C61"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0.2</w:t>
            </w:r>
            <w:r>
              <w:rPr>
                <w:rFonts w:ascii="Times New Roman" w:eastAsia="Times New Roman" w:hAnsi="Times New Roman" w:cs="Times New Roman"/>
                <w:color w:val="000000"/>
                <w:lang w:eastAsia="zh-CN"/>
              </w:rPr>
              <w:t>8</w:t>
            </w:r>
          </w:p>
        </w:tc>
        <w:tc>
          <w:tcPr>
            <w:tcW w:w="991" w:type="pct"/>
            <w:tcBorders>
              <w:top w:val="nil"/>
              <w:left w:val="nil"/>
              <w:bottom w:val="single" w:sz="12" w:space="0" w:color="auto"/>
              <w:right w:val="nil"/>
            </w:tcBorders>
            <w:shd w:val="clear" w:color="auto" w:fill="auto"/>
            <w:noWrap/>
            <w:hideMark/>
          </w:tcPr>
          <w:p w14:paraId="152FB80A"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p>
        </w:tc>
        <w:tc>
          <w:tcPr>
            <w:tcW w:w="690" w:type="pct"/>
            <w:tcBorders>
              <w:top w:val="nil"/>
              <w:left w:val="nil"/>
              <w:bottom w:val="single" w:sz="12" w:space="0" w:color="auto"/>
              <w:right w:val="nil"/>
            </w:tcBorders>
            <w:shd w:val="clear" w:color="auto" w:fill="auto"/>
            <w:noWrap/>
            <w:vAlign w:val="center"/>
          </w:tcPr>
          <w:p w14:paraId="62B41718" w14:textId="77777777" w:rsidR="00B64F05" w:rsidRPr="00B55228" w:rsidRDefault="00B64F05" w:rsidP="00C93CAB">
            <w:pPr>
              <w:spacing w:after="0" w:line="240" w:lineRule="auto"/>
              <w:jc w:val="center"/>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0.0</w:t>
            </w:r>
            <w:r>
              <w:rPr>
                <w:rFonts w:ascii="Times New Roman" w:eastAsia="Times New Roman" w:hAnsi="Times New Roman" w:cs="Times New Roman"/>
                <w:color w:val="000000"/>
                <w:lang w:eastAsia="zh-CN"/>
              </w:rPr>
              <w:t>7</w:t>
            </w:r>
          </w:p>
        </w:tc>
        <w:tc>
          <w:tcPr>
            <w:tcW w:w="533" w:type="pct"/>
            <w:tcBorders>
              <w:top w:val="nil"/>
              <w:left w:val="nil"/>
              <w:bottom w:val="single" w:sz="12" w:space="0" w:color="auto"/>
              <w:right w:val="nil"/>
            </w:tcBorders>
            <w:shd w:val="clear" w:color="auto" w:fill="auto"/>
            <w:noWrap/>
            <w:vAlign w:val="bottom"/>
          </w:tcPr>
          <w:p w14:paraId="31E6EE27" w14:textId="77777777" w:rsidR="00B64F05" w:rsidRPr="00B55228" w:rsidRDefault="00B64F05" w:rsidP="00C93CAB">
            <w:pPr>
              <w:spacing w:after="0" w:line="240" w:lineRule="auto"/>
              <w:rPr>
                <w:rFonts w:ascii="Times New Roman" w:eastAsia="Times New Roman" w:hAnsi="Times New Roman" w:cs="Times New Roman"/>
                <w:color w:val="000000"/>
                <w:lang w:eastAsia="zh-CN"/>
              </w:rPr>
            </w:pPr>
            <w:r w:rsidRPr="00B55228">
              <w:rPr>
                <w:rFonts w:ascii="Times New Roman" w:eastAsia="Times New Roman" w:hAnsi="Times New Roman" w:cs="Times New Roman"/>
                <w:color w:val="000000"/>
                <w:lang w:eastAsia="zh-CN"/>
              </w:rPr>
              <w:t> </w:t>
            </w:r>
          </w:p>
        </w:tc>
      </w:tr>
    </w:tbl>
    <w:p w14:paraId="296FEF9B" w14:textId="1731290E" w:rsidR="00D652C8" w:rsidRDefault="00B64F05" w:rsidP="00B64F05">
      <w:pPr>
        <w:tabs>
          <w:tab w:val="left" w:pos="1315"/>
        </w:tabs>
        <w:ind w:right="-90"/>
        <w:jc w:val="both"/>
      </w:pPr>
      <w:r w:rsidRPr="00FF439A">
        <w:rPr>
          <w:rFonts w:ascii="Times New Roman" w:eastAsiaTheme="minorEastAsia" w:hAnsi="Times New Roman" w:cs="Times New Roman"/>
          <w:lang w:eastAsia="zh-CN"/>
        </w:rPr>
        <w:t>Panel A reports the frequency of delisted SPAC-IPOs and non-SPAC-IPOs, the mean proportion of delisting in the SPAC-IPO and non-SPAC-IPO samples, and the difference in the mean numbers between the two groups. Panel B reports the log</w:t>
      </w:r>
      <w:r>
        <w:rPr>
          <w:rFonts w:ascii="Times New Roman" w:eastAsiaTheme="minorEastAsia" w:hAnsi="Times New Roman" w:cs="Times New Roman"/>
          <w:lang w:eastAsia="zh-CN"/>
        </w:rPr>
        <w:t xml:space="preserve">istic regression results where the dependent variable is </w:t>
      </w:r>
      <w:r w:rsidRPr="00FF439A">
        <w:rPr>
          <w:rFonts w:ascii="Times New Roman" w:eastAsiaTheme="minorEastAsia" w:hAnsi="Times New Roman" w:cs="Times New Roman"/>
          <w:i/>
          <w:lang w:eastAsia="zh-CN"/>
        </w:rPr>
        <w:t>DE</w:t>
      </w:r>
      <w:r>
        <w:rPr>
          <w:rFonts w:ascii="Times New Roman" w:eastAsiaTheme="minorEastAsia" w:hAnsi="Times New Roman" w:cs="Times New Roman"/>
          <w:i/>
          <w:lang w:eastAsia="zh-CN"/>
        </w:rPr>
        <w:t>LISTED</w:t>
      </w:r>
      <w:r w:rsidRPr="00FF439A">
        <w:rPr>
          <w:rFonts w:ascii="Times New Roman" w:eastAsiaTheme="minorEastAsia" w:hAnsi="Times New Roman" w:cs="Times New Roman"/>
          <w:lang w:eastAsia="zh-CN"/>
        </w:rPr>
        <w:t xml:space="preserve"> (equals </w:t>
      </w:r>
      <w:r>
        <w:rPr>
          <w:rFonts w:ascii="Times New Roman" w:eastAsiaTheme="minorEastAsia" w:hAnsi="Times New Roman" w:cs="Times New Roman"/>
          <w:lang w:eastAsia="zh-CN"/>
        </w:rPr>
        <w:t>one</w:t>
      </w:r>
      <w:r w:rsidRPr="00FF439A">
        <w:rPr>
          <w:rFonts w:ascii="Times New Roman" w:eastAsiaTheme="minorEastAsia" w:hAnsi="Times New Roman" w:cs="Times New Roman"/>
          <w:lang w:eastAsia="zh-CN"/>
        </w:rPr>
        <w:t xml:space="preserve"> if a firm is </w:t>
      </w:r>
      <w:r w:rsidRPr="00B16089">
        <w:rPr>
          <w:rFonts w:ascii="Times New Roman" w:hAnsi="Times New Roman" w:cs="Times New Roman"/>
        </w:rPr>
        <w:t>involuntarily</w:t>
      </w:r>
      <w:r w:rsidRPr="00FF439A">
        <w:rPr>
          <w:rFonts w:ascii="Times New Roman" w:eastAsiaTheme="minorEastAsia" w:hAnsi="Times New Roman" w:cs="Times New Roman"/>
          <w:lang w:eastAsia="zh-CN"/>
        </w:rPr>
        <w:t xml:space="preserve"> delisted by the exchange</w:t>
      </w:r>
      <w:r>
        <w:rPr>
          <w:rFonts w:ascii="Times New Roman" w:eastAsiaTheme="minorEastAsia" w:hAnsi="Times New Roman" w:cs="Times New Roman"/>
          <w:lang w:eastAsia="zh-CN"/>
        </w:rPr>
        <w:t>, and zero</w:t>
      </w:r>
      <w:r w:rsidRPr="00FF439A">
        <w:rPr>
          <w:rFonts w:ascii="Times New Roman" w:eastAsiaTheme="minorEastAsia" w:hAnsi="Times New Roman" w:cs="Times New Roman"/>
          <w:lang w:eastAsia="zh-CN"/>
        </w:rPr>
        <w:t xml:space="preserve"> otherwise). The first (second) regression reports the results without (with) entropy balancing on the first moment. Delisting information is acquired from CRSP as of March 2022. *, **, and *** represent statistical significance at the 10%, 5%, and 1% levels, respectively, for a two-tailed test.</w:t>
      </w:r>
    </w:p>
    <w:p w14:paraId="4647C894" w14:textId="77777777" w:rsidR="00D652C8" w:rsidRDefault="00D652C8" w:rsidP="00D652C8">
      <w:r>
        <w:br w:type="page"/>
      </w:r>
    </w:p>
    <w:tbl>
      <w:tblPr>
        <w:tblW w:w="4863" w:type="pct"/>
        <w:tblLayout w:type="fixed"/>
        <w:tblLook w:val="04A0" w:firstRow="1" w:lastRow="0" w:firstColumn="1" w:lastColumn="0" w:noHBand="0" w:noVBand="1"/>
      </w:tblPr>
      <w:tblGrid>
        <w:gridCol w:w="20"/>
        <w:gridCol w:w="2371"/>
        <w:gridCol w:w="424"/>
        <w:gridCol w:w="288"/>
        <w:gridCol w:w="1023"/>
        <w:gridCol w:w="242"/>
        <w:gridCol w:w="941"/>
        <w:gridCol w:w="237"/>
        <w:gridCol w:w="998"/>
        <w:gridCol w:w="998"/>
        <w:gridCol w:w="222"/>
        <w:gridCol w:w="1340"/>
      </w:tblGrid>
      <w:tr w:rsidR="004577A7" w:rsidRPr="00AB31E6" w14:paraId="1DE75139" w14:textId="77777777" w:rsidTr="00EC5AF3">
        <w:trPr>
          <w:trHeight w:val="288"/>
        </w:trPr>
        <w:tc>
          <w:tcPr>
            <w:tcW w:w="5000" w:type="pct"/>
            <w:gridSpan w:val="12"/>
            <w:tcBorders>
              <w:top w:val="nil"/>
              <w:left w:val="nil"/>
              <w:right w:val="nil"/>
            </w:tcBorders>
            <w:shd w:val="clear" w:color="auto" w:fill="auto"/>
            <w:noWrap/>
            <w:vAlign w:val="bottom"/>
            <w:hideMark/>
          </w:tcPr>
          <w:p w14:paraId="2D54810B" w14:textId="77777777" w:rsidR="004577A7" w:rsidRPr="00AB31E6" w:rsidRDefault="004577A7" w:rsidP="00EC5AF3">
            <w:pPr>
              <w:spacing w:after="0" w:line="240" w:lineRule="auto"/>
              <w:rPr>
                <w:rFonts w:ascii="Times New Roman" w:eastAsia="Times New Roman" w:hAnsi="Times New Roman" w:cs="Times New Roman"/>
                <w:b/>
                <w:bCs/>
                <w:color w:val="000000"/>
                <w:sz w:val="20"/>
                <w:szCs w:val="20"/>
              </w:rPr>
            </w:pPr>
            <w:r>
              <w:lastRenderedPageBreak/>
              <w:br w:type="page"/>
            </w:r>
            <w:r w:rsidRPr="00AB31E6">
              <w:rPr>
                <w:rFonts w:ascii="Times New Roman" w:eastAsia="Times New Roman" w:hAnsi="Times New Roman" w:cs="Times New Roman"/>
                <w:b/>
                <w:bCs/>
                <w:color w:val="000000"/>
                <w:sz w:val="20"/>
                <w:szCs w:val="20"/>
              </w:rPr>
              <w:t xml:space="preserve">Table </w:t>
            </w:r>
            <w:r>
              <w:rPr>
                <w:rFonts w:ascii="Times New Roman" w:eastAsia="Times New Roman" w:hAnsi="Times New Roman" w:cs="Times New Roman"/>
                <w:b/>
                <w:bCs/>
                <w:color w:val="000000"/>
                <w:sz w:val="20"/>
                <w:szCs w:val="20"/>
              </w:rPr>
              <w:t>10</w:t>
            </w:r>
          </w:p>
        </w:tc>
      </w:tr>
      <w:tr w:rsidR="004577A7" w:rsidRPr="00AB31E6" w14:paraId="3966AC5A" w14:textId="77777777" w:rsidTr="00EC5AF3">
        <w:trPr>
          <w:trHeight w:val="288"/>
        </w:trPr>
        <w:tc>
          <w:tcPr>
            <w:tcW w:w="5000" w:type="pct"/>
            <w:gridSpan w:val="12"/>
            <w:tcBorders>
              <w:top w:val="nil"/>
              <w:left w:val="nil"/>
              <w:right w:val="nil"/>
            </w:tcBorders>
            <w:shd w:val="clear" w:color="auto" w:fill="auto"/>
            <w:noWrap/>
            <w:vAlign w:val="bottom"/>
          </w:tcPr>
          <w:p w14:paraId="4E23C376" w14:textId="77777777" w:rsidR="004577A7" w:rsidRDefault="004577A7" w:rsidP="00EC5AF3">
            <w:pPr>
              <w:spacing w:after="0" w:line="240" w:lineRule="auto"/>
              <w:ind w:right="-260"/>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Differences </w:t>
            </w:r>
            <w:r>
              <w:rPr>
                <w:rFonts w:ascii="Times New Roman" w:hAnsi="Times New Roman" w:cs="Times New Roman"/>
                <w:color w:val="000000"/>
                <w:sz w:val="20"/>
                <w:szCs w:val="20"/>
              </w:rPr>
              <w:t xml:space="preserve">in Temporal Risk </w:t>
            </w:r>
            <w:r w:rsidRPr="00AB31E6">
              <w:rPr>
                <w:rFonts w:ascii="Times New Roman" w:eastAsia="Times New Roman" w:hAnsi="Times New Roman" w:cs="Times New Roman"/>
                <w:color w:val="000000"/>
                <w:sz w:val="20"/>
                <w:szCs w:val="20"/>
              </w:rPr>
              <w:t xml:space="preserve">Between SPAC- </w:t>
            </w:r>
            <w:r>
              <w:rPr>
                <w:rFonts w:ascii="Times New Roman" w:eastAsia="Times New Roman" w:hAnsi="Times New Roman" w:cs="Times New Roman"/>
                <w:color w:val="000000"/>
                <w:sz w:val="20"/>
                <w:szCs w:val="20"/>
              </w:rPr>
              <w:t xml:space="preserve">and </w:t>
            </w:r>
            <w:r w:rsidRPr="00AB31E6">
              <w:rPr>
                <w:rFonts w:ascii="Times New Roman" w:eastAsia="Times New Roman" w:hAnsi="Times New Roman" w:cs="Times New Roman"/>
                <w:color w:val="000000"/>
                <w:sz w:val="20"/>
                <w:szCs w:val="20"/>
              </w:rPr>
              <w:t xml:space="preserve">non-SPAC-IPO </w:t>
            </w:r>
            <w:r>
              <w:rPr>
                <w:rFonts w:ascii="Times New Roman" w:eastAsia="Times New Roman" w:hAnsi="Times New Roman" w:cs="Times New Roman"/>
                <w:color w:val="000000"/>
                <w:sz w:val="20"/>
                <w:szCs w:val="20"/>
              </w:rPr>
              <w:t>IPO</w:t>
            </w:r>
            <w:r w:rsidRPr="00AB31E6">
              <w:rPr>
                <w:rFonts w:ascii="Times New Roman" w:eastAsia="Times New Roman" w:hAnsi="Times New Roman" w:cs="Times New Roman"/>
                <w:color w:val="000000"/>
                <w:sz w:val="20"/>
                <w:szCs w:val="20"/>
              </w:rPr>
              <w:t>s</w:t>
            </w:r>
            <w:r w:rsidRPr="00AB31E6">
              <w:rPr>
                <w:rFonts w:ascii="Times New Roman" w:hAnsi="Times New Roman" w:cs="Times New Roman"/>
                <w:color w:val="000000"/>
                <w:sz w:val="20"/>
                <w:szCs w:val="20"/>
              </w:rPr>
              <w:t>.</w:t>
            </w:r>
          </w:p>
          <w:p w14:paraId="4D0E51D8" w14:textId="77777777" w:rsidR="004577A7" w:rsidRPr="00AB31E6" w:rsidRDefault="004577A7" w:rsidP="00EC5AF3">
            <w:pPr>
              <w:spacing w:after="0" w:line="240" w:lineRule="auto"/>
              <w:ind w:right="-260"/>
              <w:rPr>
                <w:rFonts w:ascii="Times New Roman" w:hAnsi="Times New Roman" w:cs="Times New Roman"/>
                <w:color w:val="000000"/>
                <w:sz w:val="20"/>
                <w:szCs w:val="20"/>
              </w:rPr>
            </w:pPr>
          </w:p>
        </w:tc>
      </w:tr>
      <w:tr w:rsidR="004577A7" w:rsidRPr="00AB31E6" w14:paraId="0E438CA0" w14:textId="77777777" w:rsidTr="00EC5AF3">
        <w:trPr>
          <w:gridBefore w:val="1"/>
          <w:wBefore w:w="11" w:type="pct"/>
          <w:trHeight w:val="288"/>
        </w:trPr>
        <w:tc>
          <w:tcPr>
            <w:tcW w:w="4989" w:type="pct"/>
            <w:gridSpan w:val="11"/>
            <w:tcBorders>
              <w:top w:val="single" w:sz="12" w:space="0" w:color="auto"/>
              <w:left w:val="nil"/>
              <w:bottom w:val="single" w:sz="12" w:space="0" w:color="auto"/>
              <w:right w:val="nil"/>
            </w:tcBorders>
            <w:shd w:val="clear" w:color="auto" w:fill="auto"/>
            <w:noWrap/>
            <w:vAlign w:val="bottom"/>
          </w:tcPr>
          <w:p w14:paraId="32EECD37" w14:textId="2C7788CE" w:rsidR="004577A7" w:rsidRPr="00AB31E6" w:rsidRDefault="004577A7">
            <w:pPr>
              <w:spacing w:after="0" w:line="240" w:lineRule="auto"/>
              <w:ind w:left="-15" w:firstLine="15"/>
              <w:rPr>
                <w:rFonts w:ascii="Times New Roman" w:eastAsia="Times New Roman" w:hAnsi="Times New Roman" w:cs="Times New Roman"/>
                <w:color w:val="000000"/>
                <w:sz w:val="20"/>
                <w:szCs w:val="20"/>
              </w:rPr>
            </w:pPr>
            <w:r w:rsidRPr="00AB31E6">
              <w:rPr>
                <w:rFonts w:ascii="Times New Roman" w:eastAsia="Times New Roman" w:hAnsi="Times New Roman" w:cs="Times New Roman"/>
                <w:color w:val="000000"/>
                <w:sz w:val="20"/>
                <w:szCs w:val="20"/>
              </w:rPr>
              <w:t xml:space="preserve">Panel A: Univariate comparisons </w:t>
            </w:r>
            <w:r w:rsidR="00551D5D">
              <w:rPr>
                <w:rFonts w:ascii="Times New Roman" w:eastAsia="Times New Roman" w:hAnsi="Times New Roman" w:cs="Times New Roman"/>
                <w:color w:val="000000"/>
                <w:sz w:val="20"/>
                <w:szCs w:val="20"/>
              </w:rPr>
              <w:t xml:space="preserve">in the post-IPO years </w:t>
            </w:r>
          </w:p>
        </w:tc>
      </w:tr>
      <w:tr w:rsidR="004577A7" w:rsidRPr="00AB31E6" w14:paraId="1AA09CA9" w14:textId="77777777" w:rsidTr="00EC5AF3">
        <w:trPr>
          <w:gridBefore w:val="1"/>
          <w:wBefore w:w="11" w:type="pct"/>
          <w:trHeight w:val="288"/>
        </w:trPr>
        <w:tc>
          <w:tcPr>
            <w:tcW w:w="1302" w:type="pct"/>
            <w:tcBorders>
              <w:top w:val="nil"/>
              <w:left w:val="nil"/>
              <w:right w:val="nil"/>
            </w:tcBorders>
            <w:shd w:val="clear" w:color="auto" w:fill="auto"/>
            <w:vAlign w:val="bottom"/>
          </w:tcPr>
          <w:p w14:paraId="5076A134"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p>
        </w:tc>
        <w:tc>
          <w:tcPr>
            <w:tcW w:w="1603" w:type="pct"/>
            <w:gridSpan w:val="5"/>
            <w:tcBorders>
              <w:top w:val="nil"/>
              <w:left w:val="nil"/>
              <w:bottom w:val="single" w:sz="4" w:space="0" w:color="auto"/>
              <w:right w:val="nil"/>
            </w:tcBorders>
            <w:shd w:val="clear" w:color="auto" w:fill="auto"/>
            <w:vAlign w:val="bottom"/>
          </w:tcPr>
          <w:p w14:paraId="721321E0" w14:textId="77777777" w:rsidR="004577A7" w:rsidRPr="004C3B53"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SPAC-IPOs</w:t>
            </w:r>
          </w:p>
        </w:tc>
        <w:tc>
          <w:tcPr>
            <w:tcW w:w="130" w:type="pct"/>
            <w:tcBorders>
              <w:top w:val="nil"/>
              <w:left w:val="nil"/>
              <w:right w:val="nil"/>
            </w:tcBorders>
            <w:shd w:val="clear" w:color="auto" w:fill="auto"/>
            <w:vAlign w:val="bottom"/>
          </w:tcPr>
          <w:p w14:paraId="63079458"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c>
          <w:tcPr>
            <w:tcW w:w="1954" w:type="pct"/>
            <w:gridSpan w:val="4"/>
            <w:tcBorders>
              <w:top w:val="nil"/>
              <w:left w:val="nil"/>
              <w:bottom w:val="single" w:sz="4" w:space="0" w:color="auto"/>
              <w:right w:val="nil"/>
            </w:tcBorders>
            <w:shd w:val="clear" w:color="auto" w:fill="auto"/>
            <w:vAlign w:val="bottom"/>
          </w:tcPr>
          <w:p w14:paraId="34D2EB7B"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Non-SPAC-IPOs</w:t>
            </w:r>
          </w:p>
        </w:tc>
      </w:tr>
      <w:tr w:rsidR="004577A7" w:rsidRPr="00AB31E6" w14:paraId="38312314" w14:textId="77777777" w:rsidTr="00EC5AF3">
        <w:trPr>
          <w:gridBefore w:val="1"/>
          <w:wBefore w:w="11" w:type="pct"/>
          <w:trHeight w:val="288"/>
        </w:trPr>
        <w:tc>
          <w:tcPr>
            <w:tcW w:w="1302" w:type="pct"/>
            <w:tcBorders>
              <w:left w:val="nil"/>
              <w:bottom w:val="single" w:sz="12" w:space="0" w:color="auto"/>
              <w:right w:val="nil"/>
            </w:tcBorders>
            <w:shd w:val="clear" w:color="auto" w:fill="auto"/>
            <w:vAlign w:val="bottom"/>
            <w:hideMark/>
          </w:tcPr>
          <w:p w14:paraId="1EA6C41B"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Years</w:t>
            </w:r>
          </w:p>
        </w:tc>
        <w:tc>
          <w:tcPr>
            <w:tcW w:w="391" w:type="pct"/>
            <w:gridSpan w:val="2"/>
            <w:tcBorders>
              <w:left w:val="nil"/>
              <w:bottom w:val="single" w:sz="12" w:space="0" w:color="auto"/>
              <w:right w:val="nil"/>
            </w:tcBorders>
            <w:shd w:val="clear" w:color="auto" w:fill="auto"/>
            <w:vAlign w:val="bottom"/>
          </w:tcPr>
          <w:p w14:paraId="7EBE08EF"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p>
        </w:tc>
        <w:tc>
          <w:tcPr>
            <w:tcW w:w="695" w:type="pct"/>
            <w:gridSpan w:val="2"/>
            <w:tcBorders>
              <w:left w:val="nil"/>
              <w:bottom w:val="single" w:sz="12" w:space="0" w:color="auto"/>
              <w:right w:val="nil"/>
            </w:tcBorders>
            <w:shd w:val="clear" w:color="auto" w:fill="auto"/>
            <w:vAlign w:val="bottom"/>
          </w:tcPr>
          <w:p w14:paraId="5B69C3D1"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t+1</w:t>
            </w:r>
            <w:r w:rsidRPr="00AB31E6">
              <w:rPr>
                <w:rFonts w:ascii="Times New Roman" w:eastAsia="Times New Roman" w:hAnsi="Times New Roman" w:cs="Times New Roman"/>
                <w:color w:val="000000"/>
                <w:sz w:val="20"/>
                <w:szCs w:val="20"/>
              </w:rPr>
              <w:t xml:space="preserve"> </w:t>
            </w:r>
          </w:p>
        </w:tc>
        <w:tc>
          <w:tcPr>
            <w:tcW w:w="517" w:type="pct"/>
            <w:tcBorders>
              <w:left w:val="nil"/>
              <w:bottom w:val="single" w:sz="12" w:space="0" w:color="auto"/>
              <w:right w:val="nil"/>
            </w:tcBorders>
            <w:shd w:val="clear" w:color="auto" w:fill="auto"/>
            <w:vAlign w:val="bottom"/>
          </w:tcPr>
          <w:p w14:paraId="038A00AC"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t+2</w:t>
            </w:r>
          </w:p>
        </w:tc>
        <w:tc>
          <w:tcPr>
            <w:tcW w:w="130" w:type="pct"/>
            <w:tcBorders>
              <w:left w:val="nil"/>
              <w:bottom w:val="single" w:sz="12" w:space="0" w:color="auto"/>
              <w:right w:val="nil"/>
            </w:tcBorders>
            <w:shd w:val="clear" w:color="auto" w:fill="auto"/>
            <w:vAlign w:val="bottom"/>
          </w:tcPr>
          <w:p w14:paraId="60486E7F"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c>
          <w:tcPr>
            <w:tcW w:w="548" w:type="pct"/>
            <w:tcBorders>
              <w:left w:val="nil"/>
              <w:bottom w:val="single" w:sz="12" w:space="0" w:color="auto"/>
              <w:right w:val="nil"/>
            </w:tcBorders>
            <w:shd w:val="clear" w:color="auto" w:fill="auto"/>
            <w:vAlign w:val="bottom"/>
            <w:hideMark/>
          </w:tcPr>
          <w:p w14:paraId="55C3D7D3"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AB31E6">
              <w:rPr>
                <w:rFonts w:ascii="Times New Roman" w:eastAsia="Times New Roman" w:hAnsi="Times New Roman" w:cs="Times New Roman"/>
                <w:color w:val="000000"/>
                <w:sz w:val="20"/>
                <w:szCs w:val="20"/>
              </w:rPr>
              <w:t xml:space="preserve"> </w:t>
            </w:r>
          </w:p>
        </w:tc>
        <w:tc>
          <w:tcPr>
            <w:tcW w:w="670" w:type="pct"/>
            <w:gridSpan w:val="2"/>
            <w:tcBorders>
              <w:left w:val="nil"/>
              <w:bottom w:val="single" w:sz="12" w:space="0" w:color="auto"/>
              <w:right w:val="nil"/>
            </w:tcBorders>
            <w:shd w:val="clear" w:color="auto" w:fill="auto"/>
            <w:vAlign w:val="bottom"/>
            <w:hideMark/>
          </w:tcPr>
          <w:p w14:paraId="553BA3C0"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t+1</w:t>
            </w:r>
          </w:p>
        </w:tc>
        <w:tc>
          <w:tcPr>
            <w:tcW w:w="736" w:type="pct"/>
            <w:tcBorders>
              <w:left w:val="nil"/>
              <w:bottom w:val="single" w:sz="12" w:space="0" w:color="auto"/>
              <w:right w:val="nil"/>
            </w:tcBorders>
            <w:shd w:val="clear" w:color="auto" w:fill="auto"/>
            <w:vAlign w:val="bottom"/>
            <w:hideMark/>
          </w:tcPr>
          <w:p w14:paraId="6C05DE61"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t+2</w:t>
            </w:r>
          </w:p>
        </w:tc>
      </w:tr>
      <w:tr w:rsidR="004577A7" w:rsidRPr="00AB31E6" w14:paraId="2DF79802"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hideMark/>
          </w:tcPr>
          <w:p w14:paraId="501B8936" w14:textId="77777777" w:rsidR="004577A7" w:rsidRPr="00AB31E6" w:rsidRDefault="004577A7" w:rsidP="00EC5AF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MATERIALWEAKNESS</w:t>
            </w:r>
          </w:p>
        </w:tc>
        <w:tc>
          <w:tcPr>
            <w:tcW w:w="391" w:type="pct"/>
            <w:gridSpan w:val="2"/>
            <w:tcBorders>
              <w:top w:val="nil"/>
              <w:left w:val="nil"/>
              <w:bottom w:val="nil"/>
              <w:right w:val="nil"/>
            </w:tcBorders>
            <w:shd w:val="clear" w:color="auto" w:fill="auto"/>
          </w:tcPr>
          <w:p w14:paraId="4B6BB961"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c>
          <w:tcPr>
            <w:tcW w:w="695" w:type="pct"/>
            <w:gridSpan w:val="2"/>
            <w:tcBorders>
              <w:top w:val="nil"/>
              <w:left w:val="nil"/>
              <w:bottom w:val="nil"/>
              <w:right w:val="nil"/>
            </w:tcBorders>
            <w:shd w:val="clear" w:color="auto" w:fill="auto"/>
          </w:tcPr>
          <w:p w14:paraId="7EB39321"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w:t>
            </w:r>
          </w:p>
        </w:tc>
        <w:tc>
          <w:tcPr>
            <w:tcW w:w="517" w:type="pct"/>
            <w:tcBorders>
              <w:top w:val="nil"/>
              <w:left w:val="nil"/>
              <w:bottom w:val="nil"/>
              <w:right w:val="nil"/>
            </w:tcBorders>
            <w:shd w:val="clear" w:color="auto" w:fill="auto"/>
          </w:tcPr>
          <w:p w14:paraId="4A205179"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w:t>
            </w:r>
          </w:p>
        </w:tc>
        <w:tc>
          <w:tcPr>
            <w:tcW w:w="130" w:type="pct"/>
            <w:tcBorders>
              <w:top w:val="nil"/>
              <w:left w:val="nil"/>
              <w:bottom w:val="nil"/>
              <w:right w:val="nil"/>
            </w:tcBorders>
            <w:shd w:val="clear" w:color="auto" w:fill="auto"/>
            <w:hideMark/>
          </w:tcPr>
          <w:p w14:paraId="54E26BCB"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tcPr>
          <w:p w14:paraId="0D4E269D"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c>
          <w:tcPr>
            <w:tcW w:w="670" w:type="pct"/>
            <w:gridSpan w:val="2"/>
            <w:tcBorders>
              <w:top w:val="nil"/>
              <w:left w:val="nil"/>
              <w:bottom w:val="nil"/>
              <w:right w:val="nil"/>
            </w:tcBorders>
            <w:shd w:val="clear" w:color="auto" w:fill="auto"/>
            <w:hideMark/>
          </w:tcPr>
          <w:p w14:paraId="0A2BFCAD"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sidRPr="00AB31E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0.14***</w:t>
            </w:r>
          </w:p>
        </w:tc>
        <w:tc>
          <w:tcPr>
            <w:tcW w:w="736" w:type="pct"/>
            <w:tcBorders>
              <w:top w:val="nil"/>
              <w:left w:val="nil"/>
              <w:bottom w:val="nil"/>
              <w:right w:val="nil"/>
            </w:tcBorders>
            <w:shd w:val="clear" w:color="auto" w:fill="auto"/>
            <w:hideMark/>
          </w:tcPr>
          <w:p w14:paraId="54892FB2"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B31E6">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p>
        </w:tc>
      </w:tr>
      <w:tr w:rsidR="004577A7" w:rsidRPr="00AB31E6" w14:paraId="4EE8BE87" w14:textId="77777777" w:rsidTr="00EC5AF3">
        <w:trPr>
          <w:gridBefore w:val="1"/>
          <w:wBefore w:w="11" w:type="pct"/>
          <w:trHeight w:val="216"/>
        </w:trPr>
        <w:tc>
          <w:tcPr>
            <w:tcW w:w="1302" w:type="pct"/>
            <w:tcBorders>
              <w:top w:val="nil"/>
              <w:left w:val="nil"/>
              <w:bottom w:val="nil"/>
              <w:right w:val="nil"/>
            </w:tcBorders>
            <w:shd w:val="clear" w:color="auto" w:fill="auto"/>
            <w:noWrap/>
            <w:vAlign w:val="center"/>
          </w:tcPr>
          <w:p w14:paraId="0E8F3E20" w14:textId="77777777" w:rsidR="004577A7" w:rsidRDefault="004577A7" w:rsidP="00EC5AF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RESTATE</w:t>
            </w:r>
          </w:p>
        </w:tc>
        <w:tc>
          <w:tcPr>
            <w:tcW w:w="391" w:type="pct"/>
            <w:gridSpan w:val="2"/>
            <w:tcBorders>
              <w:top w:val="nil"/>
              <w:left w:val="nil"/>
              <w:bottom w:val="nil"/>
              <w:right w:val="nil"/>
            </w:tcBorders>
            <w:shd w:val="clear" w:color="auto" w:fill="auto"/>
          </w:tcPr>
          <w:p w14:paraId="284F0A59"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p>
        </w:tc>
        <w:tc>
          <w:tcPr>
            <w:tcW w:w="695" w:type="pct"/>
            <w:gridSpan w:val="2"/>
            <w:tcBorders>
              <w:top w:val="nil"/>
              <w:left w:val="nil"/>
              <w:bottom w:val="nil"/>
              <w:right w:val="nil"/>
            </w:tcBorders>
            <w:shd w:val="clear" w:color="auto" w:fill="auto"/>
          </w:tcPr>
          <w:p w14:paraId="7B4CBF10"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w:t>
            </w:r>
          </w:p>
        </w:tc>
        <w:tc>
          <w:tcPr>
            <w:tcW w:w="517" w:type="pct"/>
            <w:tcBorders>
              <w:top w:val="nil"/>
              <w:left w:val="nil"/>
              <w:bottom w:val="nil"/>
              <w:right w:val="nil"/>
            </w:tcBorders>
            <w:shd w:val="clear" w:color="auto" w:fill="auto"/>
          </w:tcPr>
          <w:p w14:paraId="4A4AB4A2"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w:t>
            </w:r>
          </w:p>
        </w:tc>
        <w:tc>
          <w:tcPr>
            <w:tcW w:w="130" w:type="pct"/>
            <w:tcBorders>
              <w:top w:val="nil"/>
              <w:left w:val="nil"/>
              <w:bottom w:val="nil"/>
              <w:right w:val="nil"/>
            </w:tcBorders>
            <w:shd w:val="clear" w:color="auto" w:fill="auto"/>
          </w:tcPr>
          <w:p w14:paraId="2F009361"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tcPr>
          <w:p w14:paraId="4422B2A0"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p>
        </w:tc>
        <w:tc>
          <w:tcPr>
            <w:tcW w:w="670" w:type="pct"/>
            <w:gridSpan w:val="2"/>
            <w:tcBorders>
              <w:top w:val="nil"/>
              <w:left w:val="nil"/>
              <w:bottom w:val="nil"/>
              <w:right w:val="nil"/>
            </w:tcBorders>
            <w:shd w:val="clear" w:color="auto" w:fill="auto"/>
          </w:tcPr>
          <w:p w14:paraId="022B7B6C"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0.04***</w:t>
            </w:r>
          </w:p>
        </w:tc>
        <w:tc>
          <w:tcPr>
            <w:tcW w:w="736" w:type="pct"/>
            <w:tcBorders>
              <w:top w:val="nil"/>
              <w:left w:val="nil"/>
              <w:bottom w:val="nil"/>
              <w:right w:val="nil"/>
            </w:tcBorders>
            <w:shd w:val="clear" w:color="auto" w:fill="auto"/>
          </w:tcPr>
          <w:p w14:paraId="592A82CC" w14:textId="77777777" w:rsidR="004577A7"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0.06***</w:t>
            </w:r>
          </w:p>
        </w:tc>
      </w:tr>
      <w:tr w:rsidR="004577A7" w:rsidRPr="00AB31E6" w14:paraId="33F63432" w14:textId="77777777" w:rsidTr="00EC5AF3">
        <w:trPr>
          <w:gridBefore w:val="1"/>
          <w:wBefore w:w="11" w:type="pct"/>
          <w:trHeight w:val="216"/>
        </w:trPr>
        <w:tc>
          <w:tcPr>
            <w:tcW w:w="1302" w:type="pct"/>
            <w:tcBorders>
              <w:top w:val="nil"/>
              <w:left w:val="nil"/>
              <w:bottom w:val="nil"/>
              <w:right w:val="nil"/>
            </w:tcBorders>
            <w:shd w:val="clear" w:color="auto" w:fill="auto"/>
            <w:noWrap/>
            <w:vAlign w:val="center"/>
            <w:hideMark/>
          </w:tcPr>
          <w:p w14:paraId="51E21988" w14:textId="77777777" w:rsidR="004577A7" w:rsidRPr="00AB31E6" w:rsidRDefault="004577A7" w:rsidP="00EC5AF3">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RESTATE_ANNOUNCE</w:t>
            </w:r>
          </w:p>
        </w:tc>
        <w:tc>
          <w:tcPr>
            <w:tcW w:w="391" w:type="pct"/>
            <w:gridSpan w:val="2"/>
            <w:tcBorders>
              <w:top w:val="nil"/>
              <w:left w:val="nil"/>
              <w:bottom w:val="nil"/>
              <w:right w:val="nil"/>
            </w:tcBorders>
            <w:shd w:val="clear" w:color="auto" w:fill="auto"/>
          </w:tcPr>
          <w:p w14:paraId="69FA6419"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c>
          <w:tcPr>
            <w:tcW w:w="695" w:type="pct"/>
            <w:gridSpan w:val="2"/>
            <w:tcBorders>
              <w:top w:val="nil"/>
              <w:left w:val="nil"/>
              <w:bottom w:val="nil"/>
              <w:right w:val="nil"/>
            </w:tcBorders>
            <w:shd w:val="clear" w:color="auto" w:fill="auto"/>
          </w:tcPr>
          <w:p w14:paraId="45DF104A"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w:t>
            </w:r>
          </w:p>
        </w:tc>
        <w:tc>
          <w:tcPr>
            <w:tcW w:w="517" w:type="pct"/>
            <w:tcBorders>
              <w:top w:val="nil"/>
              <w:left w:val="nil"/>
              <w:bottom w:val="nil"/>
              <w:right w:val="nil"/>
            </w:tcBorders>
            <w:shd w:val="clear" w:color="auto" w:fill="auto"/>
          </w:tcPr>
          <w:p w14:paraId="1980AE5E"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w:t>
            </w:r>
          </w:p>
        </w:tc>
        <w:tc>
          <w:tcPr>
            <w:tcW w:w="130" w:type="pct"/>
            <w:tcBorders>
              <w:top w:val="nil"/>
              <w:left w:val="nil"/>
              <w:bottom w:val="nil"/>
              <w:right w:val="nil"/>
            </w:tcBorders>
            <w:shd w:val="clear" w:color="auto" w:fill="auto"/>
            <w:hideMark/>
          </w:tcPr>
          <w:p w14:paraId="78AE0A90"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p>
        </w:tc>
        <w:tc>
          <w:tcPr>
            <w:tcW w:w="548" w:type="pct"/>
            <w:tcBorders>
              <w:top w:val="nil"/>
              <w:left w:val="nil"/>
              <w:bottom w:val="nil"/>
              <w:right w:val="nil"/>
            </w:tcBorders>
            <w:shd w:val="clear" w:color="auto" w:fill="auto"/>
          </w:tcPr>
          <w:p w14:paraId="47D81BEA"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p>
        </w:tc>
        <w:tc>
          <w:tcPr>
            <w:tcW w:w="670" w:type="pct"/>
            <w:gridSpan w:val="2"/>
            <w:tcBorders>
              <w:top w:val="nil"/>
              <w:left w:val="nil"/>
              <w:bottom w:val="nil"/>
              <w:right w:val="nil"/>
            </w:tcBorders>
            <w:shd w:val="clear" w:color="auto" w:fill="auto"/>
            <w:hideMark/>
          </w:tcPr>
          <w:p w14:paraId="48B3C589"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0.09***</w:t>
            </w:r>
          </w:p>
        </w:tc>
        <w:tc>
          <w:tcPr>
            <w:tcW w:w="736" w:type="pct"/>
            <w:tcBorders>
              <w:top w:val="nil"/>
              <w:left w:val="nil"/>
              <w:bottom w:val="nil"/>
              <w:right w:val="nil"/>
            </w:tcBorders>
            <w:shd w:val="clear" w:color="auto" w:fill="auto"/>
            <w:hideMark/>
          </w:tcPr>
          <w:p w14:paraId="33ADF755" w14:textId="77777777" w:rsidR="004577A7" w:rsidRPr="00AB31E6" w:rsidRDefault="004577A7" w:rsidP="00EC5A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B31E6">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06***</w:t>
            </w:r>
          </w:p>
        </w:tc>
      </w:tr>
      <w:tr w:rsidR="004577A7" w:rsidRPr="00AB31E6" w14:paraId="6288C848"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hideMark/>
          </w:tcPr>
          <w:p w14:paraId="073D4479" w14:textId="77777777" w:rsidR="004577A7" w:rsidRPr="007C57B9" w:rsidRDefault="004577A7" w:rsidP="00EC5AF3">
            <w:pPr>
              <w:spacing w:after="0" w:line="240" w:lineRule="auto"/>
              <w:rPr>
                <w:rFonts w:ascii="Times New Roman" w:eastAsia="Times New Roman" w:hAnsi="Times New Roman" w:cs="Times New Roman"/>
                <w:i/>
                <w:iCs/>
                <w:sz w:val="20"/>
                <w:szCs w:val="20"/>
              </w:rPr>
            </w:pPr>
            <w:r w:rsidRPr="007C57B9">
              <w:rPr>
                <w:rFonts w:ascii="Times New Roman" w:eastAsia="Times New Roman" w:hAnsi="Times New Roman" w:cs="Times New Roman"/>
                <w:i/>
                <w:iCs/>
                <w:sz w:val="20"/>
                <w:szCs w:val="20"/>
              </w:rPr>
              <w:t>NONTIMELY</w:t>
            </w:r>
          </w:p>
        </w:tc>
        <w:tc>
          <w:tcPr>
            <w:tcW w:w="391" w:type="pct"/>
            <w:gridSpan w:val="2"/>
            <w:tcBorders>
              <w:top w:val="nil"/>
              <w:left w:val="nil"/>
              <w:bottom w:val="nil"/>
              <w:right w:val="nil"/>
            </w:tcBorders>
            <w:shd w:val="clear" w:color="auto" w:fill="auto"/>
          </w:tcPr>
          <w:p w14:paraId="5478956C"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tcPr>
          <w:p w14:paraId="3109244E"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0.14</w:t>
            </w:r>
          </w:p>
        </w:tc>
        <w:tc>
          <w:tcPr>
            <w:tcW w:w="517" w:type="pct"/>
            <w:tcBorders>
              <w:top w:val="nil"/>
              <w:left w:val="nil"/>
              <w:bottom w:val="nil"/>
              <w:right w:val="nil"/>
            </w:tcBorders>
            <w:shd w:val="clear" w:color="auto" w:fill="auto"/>
          </w:tcPr>
          <w:p w14:paraId="46C29688"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w:t>
            </w:r>
            <w:r>
              <w:rPr>
                <w:rFonts w:ascii="Times New Roman" w:eastAsia="Times New Roman" w:hAnsi="Times New Roman" w:cs="Times New Roman"/>
                <w:sz w:val="20"/>
                <w:szCs w:val="20"/>
              </w:rPr>
              <w:t>17</w:t>
            </w:r>
          </w:p>
        </w:tc>
        <w:tc>
          <w:tcPr>
            <w:tcW w:w="130" w:type="pct"/>
            <w:tcBorders>
              <w:top w:val="nil"/>
              <w:left w:val="nil"/>
              <w:bottom w:val="nil"/>
              <w:right w:val="nil"/>
            </w:tcBorders>
            <w:shd w:val="clear" w:color="auto" w:fill="auto"/>
            <w:hideMark/>
          </w:tcPr>
          <w:p w14:paraId="3215C336"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548" w:type="pct"/>
            <w:tcBorders>
              <w:top w:val="nil"/>
              <w:left w:val="nil"/>
              <w:bottom w:val="nil"/>
              <w:right w:val="nil"/>
            </w:tcBorders>
            <w:shd w:val="clear" w:color="auto" w:fill="auto"/>
          </w:tcPr>
          <w:p w14:paraId="07EEC65D"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670" w:type="pct"/>
            <w:gridSpan w:val="2"/>
            <w:tcBorders>
              <w:top w:val="nil"/>
              <w:left w:val="nil"/>
              <w:bottom w:val="nil"/>
              <w:right w:val="nil"/>
            </w:tcBorders>
            <w:shd w:val="clear" w:color="auto" w:fill="auto"/>
            <w:hideMark/>
          </w:tcPr>
          <w:p w14:paraId="6E3C85CB"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0.01***</w:t>
            </w:r>
          </w:p>
        </w:tc>
        <w:tc>
          <w:tcPr>
            <w:tcW w:w="736" w:type="pct"/>
            <w:tcBorders>
              <w:top w:val="nil"/>
              <w:left w:val="nil"/>
              <w:bottom w:val="nil"/>
              <w:right w:val="nil"/>
            </w:tcBorders>
            <w:shd w:val="clear" w:color="auto" w:fill="auto"/>
            <w:hideMark/>
          </w:tcPr>
          <w:p w14:paraId="22E5BCCD" w14:textId="77777777" w:rsidR="004577A7" w:rsidRPr="007C57B9" w:rsidRDefault="004577A7" w:rsidP="00EC5AF3">
            <w:pPr>
              <w:spacing w:after="0" w:line="240" w:lineRule="auto"/>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0.04**</w:t>
            </w:r>
          </w:p>
        </w:tc>
      </w:tr>
      <w:tr w:rsidR="004577A7" w:rsidRPr="00AB31E6" w14:paraId="79F58E0A"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hideMark/>
          </w:tcPr>
          <w:p w14:paraId="34785AC2" w14:textId="77777777" w:rsidR="004577A7" w:rsidRPr="007C57B9" w:rsidRDefault="004577A7" w:rsidP="00EC5AF3">
            <w:pPr>
              <w:spacing w:after="0" w:line="240" w:lineRule="auto"/>
              <w:rPr>
                <w:rFonts w:ascii="Times New Roman" w:eastAsia="Times New Roman" w:hAnsi="Times New Roman" w:cs="Times New Roman"/>
                <w:i/>
                <w:iCs/>
                <w:sz w:val="20"/>
                <w:szCs w:val="20"/>
              </w:rPr>
            </w:pPr>
            <w:r w:rsidRPr="007C57B9">
              <w:rPr>
                <w:rFonts w:ascii="Times New Roman" w:eastAsia="Times New Roman" w:hAnsi="Times New Roman" w:cs="Times New Roman"/>
                <w:i/>
                <w:iCs/>
                <w:sz w:val="20"/>
                <w:szCs w:val="20"/>
              </w:rPr>
              <w:t>NONBIG4</w:t>
            </w:r>
          </w:p>
        </w:tc>
        <w:tc>
          <w:tcPr>
            <w:tcW w:w="391" w:type="pct"/>
            <w:gridSpan w:val="2"/>
            <w:tcBorders>
              <w:top w:val="nil"/>
              <w:left w:val="nil"/>
              <w:bottom w:val="nil"/>
              <w:right w:val="nil"/>
            </w:tcBorders>
            <w:shd w:val="clear" w:color="auto" w:fill="auto"/>
          </w:tcPr>
          <w:p w14:paraId="083E8DD6"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tcPr>
          <w:p w14:paraId="62D3F78C"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0.5</w:t>
            </w:r>
            <w:r>
              <w:rPr>
                <w:rFonts w:ascii="Times New Roman" w:eastAsia="Times New Roman" w:hAnsi="Times New Roman" w:cs="Times New Roman"/>
                <w:sz w:val="20"/>
                <w:szCs w:val="20"/>
              </w:rPr>
              <w:t>2</w:t>
            </w:r>
          </w:p>
        </w:tc>
        <w:tc>
          <w:tcPr>
            <w:tcW w:w="517" w:type="pct"/>
            <w:tcBorders>
              <w:top w:val="nil"/>
              <w:left w:val="nil"/>
              <w:bottom w:val="nil"/>
              <w:right w:val="nil"/>
            </w:tcBorders>
            <w:shd w:val="clear" w:color="auto" w:fill="auto"/>
          </w:tcPr>
          <w:p w14:paraId="78CCA786"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0.51</w:t>
            </w:r>
          </w:p>
        </w:tc>
        <w:tc>
          <w:tcPr>
            <w:tcW w:w="130" w:type="pct"/>
            <w:tcBorders>
              <w:top w:val="nil"/>
              <w:left w:val="nil"/>
              <w:bottom w:val="nil"/>
              <w:right w:val="nil"/>
            </w:tcBorders>
            <w:shd w:val="clear" w:color="auto" w:fill="auto"/>
            <w:hideMark/>
          </w:tcPr>
          <w:p w14:paraId="5E43AE92"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548" w:type="pct"/>
            <w:tcBorders>
              <w:top w:val="nil"/>
              <w:left w:val="nil"/>
              <w:bottom w:val="nil"/>
              <w:right w:val="nil"/>
            </w:tcBorders>
            <w:shd w:val="clear" w:color="auto" w:fill="auto"/>
          </w:tcPr>
          <w:p w14:paraId="658D10A5"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70" w:type="pct"/>
            <w:gridSpan w:val="2"/>
            <w:tcBorders>
              <w:top w:val="nil"/>
              <w:left w:val="nil"/>
              <w:bottom w:val="nil"/>
              <w:right w:val="nil"/>
            </w:tcBorders>
            <w:shd w:val="clear" w:color="auto" w:fill="auto"/>
            <w:hideMark/>
          </w:tcPr>
          <w:p w14:paraId="6FC48293"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0.13***</w:t>
            </w:r>
          </w:p>
        </w:tc>
        <w:tc>
          <w:tcPr>
            <w:tcW w:w="736" w:type="pct"/>
            <w:tcBorders>
              <w:top w:val="nil"/>
              <w:left w:val="nil"/>
              <w:bottom w:val="nil"/>
              <w:right w:val="nil"/>
            </w:tcBorders>
            <w:shd w:val="clear" w:color="auto" w:fill="auto"/>
            <w:hideMark/>
          </w:tcPr>
          <w:p w14:paraId="60D22C2C"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0.16*** </w:t>
            </w:r>
          </w:p>
        </w:tc>
      </w:tr>
      <w:tr w:rsidR="004577A7" w:rsidRPr="00AB31E6" w14:paraId="40B270DF"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tcPr>
          <w:p w14:paraId="5C5711B6" w14:textId="77777777" w:rsidR="004577A7" w:rsidRPr="007C57B9" w:rsidRDefault="004577A7" w:rsidP="00EC5AF3">
            <w:pPr>
              <w:spacing w:after="0" w:line="240" w:lineRule="auto"/>
              <w:rPr>
                <w:rFonts w:ascii="Times New Roman" w:eastAsia="Times New Roman" w:hAnsi="Times New Roman" w:cs="Times New Roman"/>
                <w:i/>
                <w:iCs/>
                <w:sz w:val="20"/>
                <w:szCs w:val="20"/>
              </w:rPr>
            </w:pPr>
            <w:r w:rsidRPr="007C57B9">
              <w:rPr>
                <w:rFonts w:ascii="Times New Roman" w:eastAsia="Times New Roman" w:hAnsi="Times New Roman" w:cs="Times New Roman"/>
                <w:i/>
                <w:iCs/>
                <w:sz w:val="20"/>
                <w:szCs w:val="20"/>
              </w:rPr>
              <w:t>HIGHACCRUALS</w:t>
            </w:r>
          </w:p>
        </w:tc>
        <w:tc>
          <w:tcPr>
            <w:tcW w:w="391" w:type="pct"/>
            <w:gridSpan w:val="2"/>
            <w:tcBorders>
              <w:top w:val="nil"/>
              <w:left w:val="nil"/>
              <w:bottom w:val="nil"/>
              <w:right w:val="nil"/>
            </w:tcBorders>
            <w:shd w:val="clear" w:color="auto" w:fill="auto"/>
          </w:tcPr>
          <w:p w14:paraId="134F6B88"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tcPr>
          <w:p w14:paraId="68DCEFE9"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0.4</w:t>
            </w:r>
            <w:r>
              <w:rPr>
                <w:rFonts w:ascii="Times New Roman" w:eastAsia="Times New Roman" w:hAnsi="Times New Roman" w:cs="Times New Roman"/>
                <w:sz w:val="20"/>
                <w:szCs w:val="20"/>
              </w:rPr>
              <w:t>6</w:t>
            </w:r>
          </w:p>
        </w:tc>
        <w:tc>
          <w:tcPr>
            <w:tcW w:w="517" w:type="pct"/>
            <w:tcBorders>
              <w:top w:val="nil"/>
              <w:left w:val="nil"/>
              <w:bottom w:val="nil"/>
              <w:right w:val="nil"/>
            </w:tcBorders>
            <w:shd w:val="clear" w:color="auto" w:fill="auto"/>
          </w:tcPr>
          <w:p w14:paraId="7EEC9DA0"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0.4</w:t>
            </w:r>
            <w:r>
              <w:rPr>
                <w:rFonts w:ascii="Times New Roman" w:eastAsia="Times New Roman" w:hAnsi="Times New Roman" w:cs="Times New Roman"/>
                <w:sz w:val="20"/>
                <w:szCs w:val="20"/>
              </w:rPr>
              <w:t>8</w:t>
            </w:r>
          </w:p>
        </w:tc>
        <w:tc>
          <w:tcPr>
            <w:tcW w:w="130" w:type="pct"/>
            <w:tcBorders>
              <w:top w:val="nil"/>
              <w:left w:val="nil"/>
              <w:bottom w:val="nil"/>
              <w:right w:val="nil"/>
            </w:tcBorders>
            <w:shd w:val="clear" w:color="auto" w:fill="auto"/>
          </w:tcPr>
          <w:p w14:paraId="5667F71D"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548" w:type="pct"/>
            <w:tcBorders>
              <w:top w:val="nil"/>
              <w:left w:val="nil"/>
              <w:bottom w:val="nil"/>
              <w:right w:val="nil"/>
            </w:tcBorders>
            <w:shd w:val="clear" w:color="auto" w:fill="auto"/>
          </w:tcPr>
          <w:p w14:paraId="6D7FF444"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670" w:type="pct"/>
            <w:gridSpan w:val="2"/>
            <w:tcBorders>
              <w:top w:val="nil"/>
              <w:left w:val="nil"/>
              <w:bottom w:val="nil"/>
              <w:right w:val="nil"/>
            </w:tcBorders>
            <w:shd w:val="clear" w:color="auto" w:fill="auto"/>
          </w:tcPr>
          <w:p w14:paraId="60CAC1A6" w14:textId="77777777" w:rsidR="004577A7" w:rsidRPr="007C57B9" w:rsidRDefault="004577A7" w:rsidP="00EC5AF3">
            <w:pPr>
              <w:spacing w:after="0" w:line="240" w:lineRule="auto"/>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0.5</w:t>
            </w:r>
            <w:r>
              <w:rPr>
                <w:rFonts w:ascii="Times New Roman" w:eastAsia="Times New Roman" w:hAnsi="Times New Roman" w:cs="Times New Roman"/>
                <w:sz w:val="20"/>
                <w:szCs w:val="20"/>
              </w:rPr>
              <w:t>2</w:t>
            </w:r>
          </w:p>
        </w:tc>
        <w:tc>
          <w:tcPr>
            <w:tcW w:w="736" w:type="pct"/>
            <w:tcBorders>
              <w:top w:val="nil"/>
              <w:left w:val="nil"/>
              <w:bottom w:val="nil"/>
              <w:right w:val="nil"/>
            </w:tcBorders>
            <w:shd w:val="clear" w:color="auto" w:fill="auto"/>
          </w:tcPr>
          <w:p w14:paraId="5D73DB57" w14:textId="77777777" w:rsidR="004577A7" w:rsidRPr="007C57B9" w:rsidRDefault="004577A7" w:rsidP="00EC5AF3">
            <w:pPr>
              <w:spacing w:after="0" w:line="240" w:lineRule="auto"/>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0.5</w:t>
            </w:r>
            <w:r>
              <w:rPr>
                <w:rFonts w:ascii="Times New Roman" w:eastAsia="Times New Roman" w:hAnsi="Times New Roman" w:cs="Times New Roman"/>
                <w:sz w:val="20"/>
                <w:szCs w:val="20"/>
              </w:rPr>
              <w:t>0</w:t>
            </w:r>
          </w:p>
        </w:tc>
      </w:tr>
      <w:tr w:rsidR="004577A7" w:rsidRPr="00AB31E6" w14:paraId="32F86344"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tcPr>
          <w:p w14:paraId="18A0F3CE" w14:textId="77777777" w:rsidR="004577A7" w:rsidRPr="007C57B9" w:rsidRDefault="004577A7" w:rsidP="00EC5AF3">
            <w:pPr>
              <w:spacing w:after="0" w:line="240" w:lineRule="auto"/>
              <w:rPr>
                <w:rFonts w:ascii="Times New Roman" w:eastAsia="Times New Roman" w:hAnsi="Times New Roman" w:cs="Times New Roman"/>
                <w:i/>
                <w:iCs/>
                <w:sz w:val="20"/>
                <w:szCs w:val="20"/>
              </w:rPr>
            </w:pPr>
            <w:r w:rsidRPr="007C57B9">
              <w:rPr>
                <w:rFonts w:ascii="Times New Roman" w:eastAsia="Times New Roman" w:hAnsi="Times New Roman" w:cs="Times New Roman"/>
                <w:i/>
                <w:iCs/>
                <w:sz w:val="20"/>
                <w:szCs w:val="20"/>
              </w:rPr>
              <w:t>NONNYSE</w:t>
            </w:r>
          </w:p>
        </w:tc>
        <w:tc>
          <w:tcPr>
            <w:tcW w:w="391" w:type="pct"/>
            <w:gridSpan w:val="2"/>
            <w:tcBorders>
              <w:top w:val="nil"/>
              <w:left w:val="nil"/>
              <w:bottom w:val="nil"/>
              <w:right w:val="nil"/>
            </w:tcBorders>
            <w:shd w:val="clear" w:color="auto" w:fill="auto"/>
          </w:tcPr>
          <w:p w14:paraId="71B5E2AD"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95" w:type="pct"/>
            <w:gridSpan w:val="2"/>
            <w:tcBorders>
              <w:top w:val="nil"/>
              <w:left w:val="nil"/>
              <w:bottom w:val="nil"/>
              <w:right w:val="nil"/>
            </w:tcBorders>
            <w:shd w:val="clear" w:color="auto" w:fill="auto"/>
          </w:tcPr>
          <w:p w14:paraId="69C5F391"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0.85</w:t>
            </w:r>
          </w:p>
        </w:tc>
        <w:tc>
          <w:tcPr>
            <w:tcW w:w="517" w:type="pct"/>
            <w:tcBorders>
              <w:top w:val="nil"/>
              <w:left w:val="nil"/>
              <w:bottom w:val="nil"/>
              <w:right w:val="nil"/>
            </w:tcBorders>
            <w:shd w:val="clear" w:color="auto" w:fill="auto"/>
          </w:tcPr>
          <w:p w14:paraId="6A1DF118"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0.89</w:t>
            </w:r>
          </w:p>
        </w:tc>
        <w:tc>
          <w:tcPr>
            <w:tcW w:w="130" w:type="pct"/>
            <w:tcBorders>
              <w:top w:val="nil"/>
              <w:left w:val="nil"/>
              <w:bottom w:val="nil"/>
              <w:right w:val="nil"/>
            </w:tcBorders>
            <w:shd w:val="clear" w:color="auto" w:fill="auto"/>
          </w:tcPr>
          <w:p w14:paraId="19B70362"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548" w:type="pct"/>
            <w:tcBorders>
              <w:top w:val="nil"/>
              <w:left w:val="nil"/>
              <w:bottom w:val="nil"/>
              <w:right w:val="nil"/>
            </w:tcBorders>
            <w:shd w:val="clear" w:color="auto" w:fill="auto"/>
          </w:tcPr>
          <w:p w14:paraId="1D097C07"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p>
        </w:tc>
        <w:tc>
          <w:tcPr>
            <w:tcW w:w="670" w:type="pct"/>
            <w:gridSpan w:val="2"/>
            <w:tcBorders>
              <w:top w:val="nil"/>
              <w:left w:val="nil"/>
              <w:bottom w:val="nil"/>
              <w:right w:val="nil"/>
            </w:tcBorders>
            <w:shd w:val="clear" w:color="auto" w:fill="auto"/>
          </w:tcPr>
          <w:p w14:paraId="0FE7DF94"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0.6</w:t>
            </w:r>
            <w:r>
              <w:rPr>
                <w:rFonts w:ascii="Times New Roman" w:eastAsia="Times New Roman" w:hAnsi="Times New Roman" w:cs="Times New Roman"/>
                <w:sz w:val="20"/>
                <w:szCs w:val="20"/>
              </w:rPr>
              <w:t>5</w:t>
            </w:r>
            <w:r w:rsidRPr="007C57B9">
              <w:rPr>
                <w:rFonts w:ascii="Times New Roman" w:eastAsia="Times New Roman" w:hAnsi="Times New Roman" w:cs="Times New Roman"/>
                <w:sz w:val="20"/>
                <w:szCs w:val="20"/>
              </w:rPr>
              <w:t>***</w:t>
            </w:r>
          </w:p>
        </w:tc>
        <w:tc>
          <w:tcPr>
            <w:tcW w:w="736" w:type="pct"/>
            <w:tcBorders>
              <w:top w:val="nil"/>
              <w:left w:val="nil"/>
              <w:bottom w:val="nil"/>
              <w:right w:val="nil"/>
            </w:tcBorders>
            <w:shd w:val="clear" w:color="auto" w:fill="auto"/>
          </w:tcPr>
          <w:p w14:paraId="4D78EBBC"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0.</w:t>
            </w:r>
            <w:r>
              <w:rPr>
                <w:rFonts w:ascii="Times New Roman" w:eastAsia="Times New Roman" w:hAnsi="Times New Roman" w:cs="Times New Roman"/>
                <w:sz w:val="20"/>
                <w:szCs w:val="20"/>
              </w:rPr>
              <w:t>59</w:t>
            </w:r>
            <w:r w:rsidRPr="007C57B9">
              <w:rPr>
                <w:rFonts w:ascii="Times New Roman" w:eastAsia="Times New Roman" w:hAnsi="Times New Roman" w:cs="Times New Roman"/>
                <w:sz w:val="20"/>
                <w:szCs w:val="20"/>
              </w:rPr>
              <w:t>***</w:t>
            </w:r>
          </w:p>
        </w:tc>
      </w:tr>
      <w:tr w:rsidR="004577A7" w:rsidRPr="00AB31E6" w14:paraId="0ABE86E2" w14:textId="77777777" w:rsidTr="00EC5AF3">
        <w:trPr>
          <w:gridBefore w:val="1"/>
          <w:wBefore w:w="11" w:type="pct"/>
          <w:trHeight w:val="216"/>
        </w:trPr>
        <w:tc>
          <w:tcPr>
            <w:tcW w:w="1302" w:type="pct"/>
            <w:tcBorders>
              <w:top w:val="nil"/>
              <w:left w:val="nil"/>
              <w:bottom w:val="nil"/>
              <w:right w:val="nil"/>
            </w:tcBorders>
            <w:shd w:val="clear" w:color="auto" w:fill="auto"/>
            <w:noWrap/>
            <w:vAlign w:val="bottom"/>
          </w:tcPr>
          <w:p w14:paraId="7E04E49E" w14:textId="77777777" w:rsidR="004577A7" w:rsidRPr="007C57B9" w:rsidRDefault="004577A7" w:rsidP="00EC5AF3">
            <w:pPr>
              <w:spacing w:after="0" w:line="240" w:lineRule="auto"/>
              <w:rPr>
                <w:rFonts w:ascii="Times New Roman" w:eastAsia="Times New Roman" w:hAnsi="Times New Roman" w:cs="Times New Roman"/>
                <w:i/>
                <w:iCs/>
                <w:sz w:val="20"/>
                <w:szCs w:val="20"/>
              </w:rPr>
            </w:pPr>
            <w:r w:rsidRPr="007C57B9">
              <w:rPr>
                <w:rFonts w:ascii="Times New Roman" w:eastAsia="Times New Roman" w:hAnsi="Times New Roman" w:cs="Times New Roman"/>
                <w:i/>
                <w:iCs/>
                <w:sz w:val="20"/>
                <w:szCs w:val="20"/>
              </w:rPr>
              <w:t>RISK</w:t>
            </w:r>
          </w:p>
        </w:tc>
        <w:tc>
          <w:tcPr>
            <w:tcW w:w="391" w:type="pct"/>
            <w:gridSpan w:val="2"/>
            <w:tcBorders>
              <w:top w:val="nil"/>
              <w:left w:val="nil"/>
              <w:bottom w:val="nil"/>
              <w:right w:val="nil"/>
            </w:tcBorders>
            <w:shd w:val="clear" w:color="auto" w:fill="auto"/>
          </w:tcPr>
          <w:p w14:paraId="1CC37517"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2.67</w:t>
            </w:r>
          </w:p>
        </w:tc>
        <w:tc>
          <w:tcPr>
            <w:tcW w:w="695" w:type="pct"/>
            <w:gridSpan w:val="2"/>
            <w:tcBorders>
              <w:top w:val="nil"/>
              <w:left w:val="nil"/>
              <w:bottom w:val="nil"/>
              <w:right w:val="nil"/>
            </w:tcBorders>
            <w:shd w:val="clear" w:color="auto" w:fill="auto"/>
          </w:tcPr>
          <w:p w14:paraId="116FB838"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2.73</w:t>
            </w:r>
          </w:p>
        </w:tc>
        <w:tc>
          <w:tcPr>
            <w:tcW w:w="517" w:type="pct"/>
            <w:tcBorders>
              <w:top w:val="nil"/>
              <w:left w:val="nil"/>
              <w:bottom w:val="nil"/>
              <w:right w:val="nil"/>
            </w:tcBorders>
            <w:shd w:val="clear" w:color="auto" w:fill="auto"/>
          </w:tcPr>
          <w:p w14:paraId="05FAED0D"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2.68</w:t>
            </w:r>
          </w:p>
        </w:tc>
        <w:tc>
          <w:tcPr>
            <w:tcW w:w="130" w:type="pct"/>
            <w:tcBorders>
              <w:top w:val="nil"/>
              <w:left w:val="nil"/>
              <w:bottom w:val="nil"/>
              <w:right w:val="nil"/>
            </w:tcBorders>
            <w:shd w:val="clear" w:color="auto" w:fill="auto"/>
          </w:tcPr>
          <w:p w14:paraId="0664C1C0" w14:textId="77777777" w:rsidR="004577A7" w:rsidRPr="007C57B9" w:rsidRDefault="004577A7" w:rsidP="00EC5AF3">
            <w:pPr>
              <w:spacing w:after="0" w:line="240" w:lineRule="auto"/>
              <w:rPr>
                <w:rFonts w:ascii="Times New Roman" w:eastAsia="Times New Roman" w:hAnsi="Times New Roman" w:cs="Times New Roman"/>
                <w:sz w:val="20"/>
                <w:szCs w:val="20"/>
              </w:rPr>
            </w:pPr>
          </w:p>
        </w:tc>
        <w:tc>
          <w:tcPr>
            <w:tcW w:w="548" w:type="pct"/>
            <w:tcBorders>
              <w:top w:val="nil"/>
              <w:left w:val="nil"/>
              <w:bottom w:val="nil"/>
              <w:right w:val="nil"/>
            </w:tcBorders>
            <w:shd w:val="clear" w:color="auto" w:fill="auto"/>
          </w:tcPr>
          <w:p w14:paraId="626994CD"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1.56***</w:t>
            </w:r>
          </w:p>
        </w:tc>
        <w:tc>
          <w:tcPr>
            <w:tcW w:w="670" w:type="pct"/>
            <w:gridSpan w:val="2"/>
            <w:tcBorders>
              <w:top w:val="nil"/>
              <w:left w:val="nil"/>
              <w:bottom w:val="nil"/>
              <w:right w:val="nil"/>
            </w:tcBorders>
            <w:shd w:val="clear" w:color="auto" w:fill="auto"/>
          </w:tcPr>
          <w:p w14:paraId="077E6334"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 xml:space="preserve"> 1.54***</w:t>
            </w:r>
          </w:p>
        </w:tc>
        <w:tc>
          <w:tcPr>
            <w:tcW w:w="736" w:type="pct"/>
            <w:tcBorders>
              <w:top w:val="nil"/>
              <w:left w:val="nil"/>
              <w:bottom w:val="nil"/>
              <w:right w:val="nil"/>
            </w:tcBorders>
            <w:shd w:val="clear" w:color="auto" w:fill="auto"/>
          </w:tcPr>
          <w:p w14:paraId="16B0767E" w14:textId="77777777" w:rsidR="004577A7" w:rsidRPr="007C57B9" w:rsidRDefault="004577A7" w:rsidP="00EC5AF3">
            <w:pPr>
              <w:spacing w:after="0" w:line="240" w:lineRule="auto"/>
              <w:jc w:val="center"/>
              <w:rPr>
                <w:rFonts w:ascii="Times New Roman" w:eastAsia="Times New Roman" w:hAnsi="Times New Roman" w:cs="Times New Roman"/>
                <w:sz w:val="20"/>
                <w:szCs w:val="20"/>
              </w:rPr>
            </w:pPr>
            <w:r w:rsidRPr="007C57B9">
              <w:rPr>
                <w:rFonts w:ascii="Times New Roman" w:eastAsia="Times New Roman" w:hAnsi="Times New Roman" w:cs="Times New Roman"/>
                <w:sz w:val="20"/>
                <w:szCs w:val="20"/>
              </w:rPr>
              <w:t>1.47***</w:t>
            </w:r>
          </w:p>
        </w:tc>
      </w:tr>
      <w:tr w:rsidR="004577A7" w:rsidRPr="00AB31E6" w14:paraId="33C990FA" w14:textId="77777777" w:rsidTr="00EC5AF3">
        <w:tblPrEx>
          <w:tblCellMar>
            <w:left w:w="0" w:type="dxa"/>
            <w:right w:w="0" w:type="dxa"/>
          </w:tblCellMar>
        </w:tblPrEx>
        <w:trPr>
          <w:trHeight w:hRule="exact" w:val="333"/>
        </w:trPr>
        <w:tc>
          <w:tcPr>
            <w:tcW w:w="11" w:type="pct"/>
            <w:tcBorders>
              <w:left w:val="nil"/>
              <w:bottom w:val="single" w:sz="12" w:space="0" w:color="auto"/>
              <w:right w:val="nil"/>
            </w:tcBorders>
          </w:tcPr>
          <w:p w14:paraId="4A494E0A"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4989" w:type="pct"/>
            <w:gridSpan w:val="11"/>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bottom"/>
          </w:tcPr>
          <w:p w14:paraId="7943A979" w14:textId="7EC4FFEB"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Panel B: Regression results </w:t>
            </w:r>
            <w:r w:rsidR="00551D5D">
              <w:rPr>
                <w:rFonts w:ascii="Times New Roman" w:hAnsi="Times New Roman" w:cs="Times New Roman"/>
                <w:color w:val="000000"/>
                <w:sz w:val="20"/>
                <w:szCs w:val="20"/>
              </w:rPr>
              <w:t>in the post-IPO years</w:t>
            </w:r>
          </w:p>
        </w:tc>
      </w:tr>
      <w:tr w:rsidR="004577A7" w:rsidRPr="00AB31E6" w14:paraId="2EA41D72" w14:textId="77777777" w:rsidTr="00EC5AF3">
        <w:tblPrEx>
          <w:tblCellMar>
            <w:left w:w="0" w:type="dxa"/>
            <w:right w:w="0" w:type="dxa"/>
          </w:tblCellMar>
        </w:tblPrEx>
        <w:trPr>
          <w:trHeight w:hRule="exact" w:val="333"/>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56CB90C6"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1370" w:type="pct"/>
            <w:gridSpan w:val="4"/>
            <w:tcBorders>
              <w:left w:val="nil"/>
              <w:bottom w:val="single" w:sz="4" w:space="0" w:color="auto"/>
              <w:right w:val="nil"/>
            </w:tcBorders>
          </w:tcPr>
          <w:p w14:paraId="5A7DE07B"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t+1</w:t>
            </w:r>
          </w:p>
        </w:tc>
        <w:tc>
          <w:tcPr>
            <w:tcW w:w="678" w:type="pct"/>
            <w:gridSpan w:val="2"/>
            <w:tcBorders>
              <w:left w:val="nil"/>
              <w:right w:val="nil"/>
            </w:tcBorders>
            <w:shd w:val="clear" w:color="auto" w:fill="auto"/>
            <w:noWrap/>
            <w:tcMar>
              <w:top w:w="15" w:type="dxa"/>
              <w:left w:w="15" w:type="dxa"/>
              <w:bottom w:w="0" w:type="dxa"/>
              <w:right w:w="15" w:type="dxa"/>
            </w:tcMar>
          </w:tcPr>
          <w:p w14:paraId="2A19C5BF" w14:textId="77777777" w:rsidR="004577A7" w:rsidRPr="00AB31E6" w:rsidRDefault="004577A7" w:rsidP="00EC5AF3">
            <w:pPr>
              <w:spacing w:after="0" w:line="240" w:lineRule="auto"/>
              <w:ind w:left="-105" w:firstLine="105"/>
              <w:jc w:val="center"/>
              <w:rPr>
                <w:rFonts w:ascii="Times New Roman" w:hAnsi="Times New Roman" w:cs="Times New Roman"/>
                <w:color w:val="000000"/>
                <w:sz w:val="20"/>
                <w:szCs w:val="20"/>
              </w:rPr>
            </w:pPr>
          </w:p>
        </w:tc>
        <w:tc>
          <w:tcPr>
            <w:tcW w:w="1406" w:type="pct"/>
            <w:gridSpan w:val="3"/>
            <w:tcBorders>
              <w:left w:val="nil"/>
              <w:bottom w:val="single" w:sz="4" w:space="0" w:color="auto"/>
              <w:right w:val="nil"/>
            </w:tcBorders>
            <w:shd w:val="clear" w:color="auto" w:fill="auto"/>
            <w:noWrap/>
            <w:tcMar>
              <w:top w:w="15" w:type="dxa"/>
              <w:left w:w="15" w:type="dxa"/>
              <w:bottom w:w="0" w:type="dxa"/>
              <w:right w:w="15" w:type="dxa"/>
            </w:tcMar>
          </w:tcPr>
          <w:p w14:paraId="39C3FBEA"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t+2</w:t>
            </w:r>
          </w:p>
        </w:tc>
      </w:tr>
      <w:tr w:rsidR="004577A7" w:rsidRPr="00AB31E6" w14:paraId="787C1991" w14:textId="77777777" w:rsidTr="00EC5AF3">
        <w:tblPrEx>
          <w:tblCellMar>
            <w:left w:w="0" w:type="dxa"/>
            <w:right w:w="0" w:type="dxa"/>
          </w:tblCellMar>
        </w:tblPrEx>
        <w:trPr>
          <w:trHeight w:hRule="exact" w:val="288"/>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690A654B"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4EDCE801" w14:textId="77777777" w:rsidR="004577A7" w:rsidRPr="00AB31E6" w:rsidRDefault="004577A7" w:rsidP="00EC5AF3">
            <w:pPr>
              <w:spacing w:after="0" w:line="240" w:lineRule="auto"/>
              <w:jc w:val="center"/>
              <w:rPr>
                <w:rFonts w:ascii="Times New Roman" w:hAnsi="Times New Roman" w:cs="Times New Roman"/>
                <w:i/>
                <w:color w:val="000000"/>
                <w:sz w:val="20"/>
                <w:szCs w:val="20"/>
              </w:rPr>
            </w:pPr>
            <w:r w:rsidRPr="00AB31E6">
              <w:rPr>
                <w:rFonts w:ascii="Times New Roman" w:hAnsi="Times New Roman" w:cs="Times New Roman"/>
                <w:color w:val="000000"/>
                <w:sz w:val="20"/>
                <w:szCs w:val="20"/>
              </w:rPr>
              <w:t xml:space="preserve">Dependent Variable: </w:t>
            </w:r>
            <w:r w:rsidRPr="00AB31E6">
              <w:rPr>
                <w:rFonts w:ascii="Times New Roman" w:hAnsi="Times New Roman" w:cs="Times New Roman"/>
                <w:i/>
                <w:color w:val="000000"/>
                <w:sz w:val="20"/>
                <w:szCs w:val="20"/>
              </w:rPr>
              <w:t>MATERIALWEAKNESS</w:t>
            </w:r>
          </w:p>
          <w:p w14:paraId="0BBD4E93" w14:textId="77777777" w:rsidR="004577A7" w:rsidRPr="00AB31E6" w:rsidRDefault="004577A7" w:rsidP="00EC5AF3">
            <w:pPr>
              <w:spacing w:after="0" w:line="240" w:lineRule="auto"/>
              <w:jc w:val="center"/>
              <w:rPr>
                <w:rFonts w:ascii="Times New Roman" w:eastAsia="Times New Roman" w:hAnsi="Times New Roman" w:cs="Times New Roman"/>
                <w:color w:val="000000"/>
                <w:sz w:val="20"/>
                <w:szCs w:val="20"/>
              </w:rPr>
            </w:pPr>
          </w:p>
        </w:tc>
      </w:tr>
      <w:tr w:rsidR="004577A7" w:rsidRPr="00AB31E6" w14:paraId="1952803D" w14:textId="77777777" w:rsidTr="00EC5AF3">
        <w:tblPrEx>
          <w:tblCellMar>
            <w:left w:w="0" w:type="dxa"/>
            <w:right w:w="0" w:type="dxa"/>
          </w:tblCellMar>
        </w:tblPrEx>
        <w:trPr>
          <w:trHeight w:hRule="exact" w:val="333"/>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hideMark/>
          </w:tcPr>
          <w:p w14:paraId="4BEDCA68"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720" w:type="pct"/>
            <w:gridSpan w:val="2"/>
            <w:tcBorders>
              <w:top w:val="single" w:sz="12" w:space="0" w:color="auto"/>
              <w:left w:val="nil"/>
              <w:bottom w:val="single" w:sz="12" w:space="0" w:color="auto"/>
              <w:right w:val="nil"/>
            </w:tcBorders>
          </w:tcPr>
          <w:p w14:paraId="7C7AE5FF"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hAnsi="Times New Roman" w:cs="Times New Roman"/>
                <w:color w:val="000000"/>
                <w:sz w:val="20"/>
                <w:szCs w:val="20"/>
              </w:rPr>
              <w:t>Estimate</w:t>
            </w:r>
          </w:p>
        </w:tc>
        <w:tc>
          <w:tcPr>
            <w:tcW w:w="650" w:type="pct"/>
            <w:gridSpan w:val="2"/>
            <w:tcBorders>
              <w:top w:val="single" w:sz="12" w:space="0" w:color="auto"/>
              <w:left w:val="nil"/>
              <w:bottom w:val="single" w:sz="12" w:space="0" w:color="auto"/>
              <w:right w:val="nil"/>
            </w:tcBorders>
            <w:shd w:val="clear" w:color="auto" w:fill="auto"/>
            <w:noWrap/>
            <w:tcMar>
              <w:top w:w="15" w:type="dxa"/>
              <w:left w:w="15" w:type="dxa"/>
              <w:bottom w:w="0" w:type="dxa"/>
              <w:right w:w="15" w:type="dxa"/>
            </w:tcMar>
          </w:tcPr>
          <w:p w14:paraId="11D66F43"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eastAsia="Times New Roman" w:hAnsi="Times New Roman" w:cs="Times New Roman"/>
                <w:color w:val="000000"/>
                <w:sz w:val="20"/>
                <w:szCs w:val="20"/>
              </w:rPr>
              <w:t xml:space="preserve">   χ</w:t>
            </w:r>
            <w:r w:rsidRPr="00AB31E6">
              <w:rPr>
                <w:rFonts w:ascii="Times New Roman" w:eastAsia="Times New Roman" w:hAnsi="Times New Roman" w:cs="Times New Roman"/>
                <w:color w:val="000000"/>
                <w:sz w:val="20"/>
                <w:szCs w:val="20"/>
                <w:vertAlign w:val="superscript"/>
              </w:rPr>
              <w:t>2</w:t>
            </w:r>
            <w:r w:rsidRPr="00AB31E6">
              <w:rPr>
                <w:rFonts w:ascii="Times New Roman" w:eastAsia="Times New Roman" w:hAnsi="Times New Roman" w:cs="Times New Roman"/>
                <w:color w:val="000000"/>
                <w:sz w:val="20"/>
                <w:szCs w:val="20"/>
              </w:rPr>
              <w:t>-stat</w:t>
            </w:r>
          </w:p>
        </w:tc>
        <w:tc>
          <w:tcPr>
            <w:tcW w:w="678" w:type="pct"/>
            <w:gridSpan w:val="2"/>
            <w:tcBorders>
              <w:top w:val="single" w:sz="12" w:space="0" w:color="auto"/>
              <w:left w:val="nil"/>
              <w:bottom w:val="single" w:sz="12" w:space="0" w:color="auto"/>
              <w:right w:val="nil"/>
            </w:tcBorders>
            <w:shd w:val="clear" w:color="auto" w:fill="auto"/>
            <w:noWrap/>
            <w:tcMar>
              <w:top w:w="15" w:type="dxa"/>
              <w:left w:w="15" w:type="dxa"/>
              <w:bottom w:w="0" w:type="dxa"/>
              <w:right w:w="15" w:type="dxa"/>
            </w:tcMar>
          </w:tcPr>
          <w:p w14:paraId="6A77081F" w14:textId="77777777" w:rsidR="004577A7" w:rsidRPr="00AB31E6" w:rsidRDefault="004577A7" w:rsidP="00EC5AF3">
            <w:pPr>
              <w:spacing w:after="0" w:line="240" w:lineRule="auto"/>
              <w:ind w:left="-105" w:firstLine="105"/>
              <w:jc w:val="center"/>
              <w:rPr>
                <w:rFonts w:ascii="Times New Roman" w:hAnsi="Times New Roman" w:cs="Times New Roman"/>
                <w:color w:val="000000"/>
                <w:sz w:val="20"/>
                <w:szCs w:val="20"/>
              </w:rPr>
            </w:pPr>
          </w:p>
        </w:tc>
        <w:tc>
          <w:tcPr>
            <w:tcW w:w="548" w:type="pct"/>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737F8299"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 Estimate</w:t>
            </w:r>
          </w:p>
        </w:tc>
        <w:tc>
          <w:tcPr>
            <w:tcW w:w="858" w:type="pct"/>
            <w:gridSpan w:val="2"/>
            <w:tcBorders>
              <w:top w:val="single" w:sz="12" w:space="0" w:color="auto"/>
              <w:left w:val="nil"/>
              <w:bottom w:val="single" w:sz="12" w:space="0" w:color="auto"/>
              <w:right w:val="nil"/>
            </w:tcBorders>
            <w:shd w:val="clear" w:color="auto" w:fill="auto"/>
            <w:noWrap/>
            <w:tcMar>
              <w:top w:w="15" w:type="dxa"/>
              <w:left w:w="15" w:type="dxa"/>
              <w:bottom w:w="0" w:type="dxa"/>
              <w:right w:w="15" w:type="dxa"/>
            </w:tcMar>
          </w:tcPr>
          <w:p w14:paraId="7DC212A7"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eastAsia="Times New Roman" w:hAnsi="Times New Roman" w:cs="Times New Roman"/>
                <w:color w:val="000000"/>
                <w:sz w:val="20"/>
                <w:szCs w:val="20"/>
              </w:rPr>
              <w:t>χ</w:t>
            </w:r>
            <w:r w:rsidRPr="00AB31E6">
              <w:rPr>
                <w:rFonts w:ascii="Times New Roman" w:eastAsia="Times New Roman" w:hAnsi="Times New Roman" w:cs="Times New Roman"/>
                <w:color w:val="000000"/>
                <w:sz w:val="20"/>
                <w:szCs w:val="20"/>
                <w:vertAlign w:val="superscript"/>
              </w:rPr>
              <w:t>2</w:t>
            </w:r>
            <w:r w:rsidRPr="00AB31E6">
              <w:rPr>
                <w:rFonts w:ascii="Times New Roman" w:eastAsia="Times New Roman" w:hAnsi="Times New Roman" w:cs="Times New Roman"/>
                <w:color w:val="000000"/>
                <w:sz w:val="20"/>
                <w:szCs w:val="20"/>
              </w:rPr>
              <w:t>-stat</w:t>
            </w:r>
          </w:p>
        </w:tc>
      </w:tr>
      <w:tr w:rsidR="004577A7" w:rsidRPr="00AB31E6" w14:paraId="75B3FC20" w14:textId="77777777" w:rsidTr="00EC5AF3">
        <w:tblPrEx>
          <w:tblCellMar>
            <w:left w:w="0" w:type="dxa"/>
            <w:right w:w="0" w:type="dxa"/>
          </w:tblCellMar>
        </w:tblPrEx>
        <w:trPr>
          <w:trHeight w:hRule="exact" w:val="297"/>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0D0E6979" w14:textId="77777777" w:rsidR="004577A7" w:rsidRPr="00AB31E6" w:rsidRDefault="004577A7" w:rsidP="00EC5AF3">
            <w:pPr>
              <w:spacing w:after="0" w:line="240" w:lineRule="auto"/>
              <w:rPr>
                <w:rFonts w:ascii="Times New Roman" w:hAnsi="Times New Roman" w:cs="Times New Roman"/>
                <w:i/>
                <w:color w:val="000000"/>
                <w:sz w:val="20"/>
                <w:szCs w:val="20"/>
              </w:rPr>
            </w:pPr>
            <w:r w:rsidRPr="00AB31E6">
              <w:rPr>
                <w:rFonts w:ascii="Times New Roman" w:hAnsi="Times New Roman" w:cs="Times New Roman"/>
                <w:i/>
                <w:color w:val="000000"/>
                <w:sz w:val="20"/>
                <w:szCs w:val="20"/>
              </w:rPr>
              <w:t>SPAC-IPO</w:t>
            </w:r>
          </w:p>
        </w:tc>
        <w:tc>
          <w:tcPr>
            <w:tcW w:w="720" w:type="pct"/>
            <w:gridSpan w:val="2"/>
            <w:tcBorders>
              <w:top w:val="single" w:sz="12" w:space="0" w:color="auto"/>
              <w:left w:val="nil"/>
              <w:bottom w:val="nil"/>
              <w:right w:val="nil"/>
            </w:tcBorders>
            <w:vAlign w:val="bottom"/>
          </w:tcPr>
          <w:p w14:paraId="7CF0FB1B"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1.170</w:t>
            </w:r>
            <w:r w:rsidRPr="00AB31E6">
              <w:rPr>
                <w:rFonts w:ascii="Times New Roman" w:hAnsi="Times New Roman" w:cs="Times New Roman"/>
                <w:color w:val="000000"/>
                <w:sz w:val="20"/>
                <w:szCs w:val="20"/>
              </w:rPr>
              <w:t>***</w:t>
            </w:r>
          </w:p>
        </w:tc>
        <w:tc>
          <w:tcPr>
            <w:tcW w:w="650"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43DE24D5"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7.62</w:t>
            </w:r>
          </w:p>
        </w:tc>
        <w:tc>
          <w:tcPr>
            <w:tcW w:w="67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3C37DA1E" w14:textId="77777777" w:rsidR="004577A7" w:rsidRPr="00AB31E6" w:rsidRDefault="004577A7" w:rsidP="00EC5AF3">
            <w:pPr>
              <w:spacing w:after="0" w:line="240" w:lineRule="auto"/>
              <w:ind w:left="-105" w:firstLine="105"/>
              <w:jc w:val="center"/>
              <w:rPr>
                <w:rFonts w:ascii="Times New Roman" w:hAnsi="Times New Roman" w:cs="Times New Roman"/>
                <w:color w:val="000000"/>
                <w:sz w:val="20"/>
                <w:szCs w:val="20"/>
              </w:rPr>
            </w:pPr>
          </w:p>
        </w:tc>
        <w:tc>
          <w:tcPr>
            <w:tcW w:w="548" w:type="pct"/>
            <w:tcBorders>
              <w:top w:val="single" w:sz="12" w:space="0" w:color="auto"/>
              <w:left w:val="nil"/>
              <w:right w:val="nil"/>
            </w:tcBorders>
            <w:shd w:val="clear" w:color="auto" w:fill="auto"/>
            <w:noWrap/>
            <w:tcMar>
              <w:top w:w="15" w:type="dxa"/>
              <w:left w:w="15" w:type="dxa"/>
              <w:bottom w:w="0" w:type="dxa"/>
              <w:right w:w="15" w:type="dxa"/>
            </w:tcMar>
            <w:vAlign w:val="bottom"/>
          </w:tcPr>
          <w:p w14:paraId="45B78977"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1.380**</w:t>
            </w:r>
          </w:p>
        </w:tc>
        <w:tc>
          <w:tcPr>
            <w:tcW w:w="85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2D216888"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4.43</w:t>
            </w:r>
          </w:p>
        </w:tc>
      </w:tr>
      <w:tr w:rsidR="004577A7" w:rsidRPr="00AB31E6" w14:paraId="32C9F9C9" w14:textId="77777777" w:rsidTr="00EC5AF3">
        <w:tblPrEx>
          <w:tblCellMar>
            <w:left w:w="0" w:type="dxa"/>
            <w:right w:w="0" w:type="dxa"/>
          </w:tblCellMar>
        </w:tblPrEx>
        <w:trPr>
          <w:trHeight w:hRule="exact" w:val="216"/>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14DC45D9"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Controls/ Industry Fixed Effects</w:t>
            </w:r>
          </w:p>
        </w:tc>
        <w:tc>
          <w:tcPr>
            <w:tcW w:w="720" w:type="pct"/>
            <w:gridSpan w:val="2"/>
            <w:tcBorders>
              <w:left w:val="nil"/>
              <w:bottom w:val="nil"/>
              <w:right w:val="nil"/>
            </w:tcBorders>
          </w:tcPr>
          <w:p w14:paraId="617050CD"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Yes/Yes</w:t>
            </w:r>
          </w:p>
        </w:tc>
        <w:tc>
          <w:tcPr>
            <w:tcW w:w="650" w:type="pct"/>
            <w:gridSpan w:val="2"/>
            <w:tcBorders>
              <w:left w:val="nil"/>
              <w:bottom w:val="nil"/>
              <w:right w:val="nil"/>
            </w:tcBorders>
            <w:shd w:val="clear" w:color="auto" w:fill="auto"/>
            <w:noWrap/>
            <w:tcMar>
              <w:top w:w="15" w:type="dxa"/>
              <w:left w:w="15" w:type="dxa"/>
              <w:bottom w:w="0" w:type="dxa"/>
              <w:right w:w="15" w:type="dxa"/>
            </w:tcMar>
            <w:vAlign w:val="bottom"/>
          </w:tcPr>
          <w:p w14:paraId="2CD8A071"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0D8FCBF9" w14:textId="77777777" w:rsidR="004577A7" w:rsidRPr="00AB31E6" w:rsidRDefault="004577A7" w:rsidP="00EC5AF3">
            <w:pPr>
              <w:spacing w:after="0" w:line="240" w:lineRule="auto"/>
              <w:ind w:left="-105" w:firstLine="105"/>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6090B66B"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Yes/Yes</w:t>
            </w: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2AB31218"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2EAE07FC" w14:textId="77777777" w:rsidTr="00EC5AF3">
        <w:tblPrEx>
          <w:tblCellMar>
            <w:left w:w="0" w:type="dxa"/>
            <w:right w:w="0" w:type="dxa"/>
          </w:tblCellMar>
        </w:tblPrEx>
        <w:trPr>
          <w:trHeight w:hRule="exact" w:val="69"/>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09807069"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bottom w:val="nil"/>
              <w:right w:val="nil"/>
            </w:tcBorders>
          </w:tcPr>
          <w:p w14:paraId="1F651E33"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50" w:type="pct"/>
            <w:gridSpan w:val="2"/>
            <w:tcBorders>
              <w:left w:val="nil"/>
              <w:bottom w:val="nil"/>
              <w:right w:val="nil"/>
            </w:tcBorders>
            <w:shd w:val="clear" w:color="auto" w:fill="auto"/>
            <w:noWrap/>
            <w:tcMar>
              <w:top w:w="15" w:type="dxa"/>
              <w:left w:w="15" w:type="dxa"/>
              <w:bottom w:w="0" w:type="dxa"/>
              <w:right w:w="15" w:type="dxa"/>
            </w:tcMar>
            <w:vAlign w:val="bottom"/>
          </w:tcPr>
          <w:p w14:paraId="05444AE5"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27F9E7CB" w14:textId="77777777" w:rsidR="004577A7" w:rsidRPr="00AB31E6" w:rsidRDefault="004577A7" w:rsidP="00EC5AF3">
            <w:pPr>
              <w:spacing w:after="0" w:line="240" w:lineRule="auto"/>
              <w:ind w:left="-105" w:firstLine="105"/>
              <w:jc w:val="center"/>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393E1DDB"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1F0C1C7F"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6FB3C142" w14:textId="77777777" w:rsidTr="00EC5AF3">
        <w:tblPrEx>
          <w:tblCellMar>
            <w:left w:w="0" w:type="dxa"/>
            <w:right w:w="0" w:type="dxa"/>
          </w:tblCellMar>
        </w:tblPrEx>
        <w:trPr>
          <w:trHeight w:hRule="exact" w:val="288"/>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65750BD6" w14:textId="77777777" w:rsidR="004577A7" w:rsidRPr="00AB31E6" w:rsidRDefault="004577A7" w:rsidP="00EC5AF3">
            <w:pPr>
              <w:spacing w:after="0" w:line="240" w:lineRule="auto"/>
              <w:rPr>
                <w:rFonts w:ascii="Times New Roman" w:hAnsi="Times New Roman" w:cs="Times New Roman"/>
                <w:i/>
                <w:sz w:val="20"/>
                <w:szCs w:val="20"/>
              </w:rPr>
            </w:pPr>
          </w:p>
        </w:tc>
        <w:tc>
          <w:tcPr>
            <w:tcW w:w="3454" w:type="pct"/>
            <w:gridSpan w:val="9"/>
            <w:tcBorders>
              <w:left w:val="nil"/>
              <w:bottom w:val="single" w:sz="12" w:space="0" w:color="auto"/>
              <w:right w:val="nil"/>
            </w:tcBorders>
          </w:tcPr>
          <w:p w14:paraId="565400E9"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Dependent Variable: </w:t>
            </w:r>
            <w:r w:rsidRPr="00F3723B">
              <w:rPr>
                <w:rFonts w:ascii="Times New Roman" w:hAnsi="Times New Roman" w:cs="Times New Roman"/>
                <w:i/>
                <w:color w:val="000000"/>
                <w:sz w:val="20"/>
                <w:szCs w:val="20"/>
              </w:rPr>
              <w:t>RESTATE</w:t>
            </w:r>
          </w:p>
        </w:tc>
      </w:tr>
      <w:tr w:rsidR="004577A7" w:rsidRPr="00AB31E6" w14:paraId="2A96592D" w14:textId="77777777" w:rsidTr="00EC5AF3">
        <w:tblPrEx>
          <w:tblCellMar>
            <w:left w:w="0" w:type="dxa"/>
            <w:right w:w="0" w:type="dxa"/>
          </w:tblCellMar>
        </w:tblPrEx>
        <w:trPr>
          <w:trHeight w:hRule="exact" w:val="288"/>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5E0A0047"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i/>
                <w:color w:val="000000"/>
                <w:sz w:val="20"/>
                <w:szCs w:val="20"/>
              </w:rPr>
              <w:t>SPAC-IPO</w:t>
            </w:r>
          </w:p>
        </w:tc>
        <w:tc>
          <w:tcPr>
            <w:tcW w:w="3454" w:type="pct"/>
            <w:gridSpan w:val="9"/>
            <w:tcBorders>
              <w:top w:val="single" w:sz="12" w:space="0" w:color="auto"/>
              <w:left w:val="nil"/>
              <w:bottom w:val="nil"/>
              <w:right w:val="nil"/>
            </w:tcBorders>
          </w:tcPr>
          <w:p w14:paraId="40B99503"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2.692***            15.31                                 2.380***                 7.72</w:t>
            </w:r>
          </w:p>
        </w:tc>
      </w:tr>
      <w:tr w:rsidR="004577A7" w:rsidRPr="00AB31E6" w14:paraId="62968915" w14:textId="77777777" w:rsidTr="00EC5AF3">
        <w:tblPrEx>
          <w:tblCellMar>
            <w:left w:w="0" w:type="dxa"/>
            <w:right w:w="0" w:type="dxa"/>
          </w:tblCellMar>
        </w:tblPrEx>
        <w:trPr>
          <w:trHeight w:hRule="exact" w:val="288"/>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64E7D8F4"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color w:val="000000"/>
                <w:sz w:val="20"/>
                <w:szCs w:val="20"/>
              </w:rPr>
              <w:t>Controls/ Industry Fixed Effects</w:t>
            </w:r>
          </w:p>
        </w:tc>
        <w:tc>
          <w:tcPr>
            <w:tcW w:w="3454" w:type="pct"/>
            <w:gridSpan w:val="9"/>
            <w:tcBorders>
              <w:left w:val="nil"/>
              <w:bottom w:val="nil"/>
              <w:right w:val="nil"/>
            </w:tcBorders>
          </w:tcPr>
          <w:p w14:paraId="2D7AFF07"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Yes/Yes                                                        Yes/Yes</w:t>
            </w:r>
          </w:p>
        </w:tc>
      </w:tr>
      <w:tr w:rsidR="004577A7" w:rsidRPr="00AB31E6" w14:paraId="250739B5" w14:textId="77777777" w:rsidTr="00EC5AF3">
        <w:tblPrEx>
          <w:tblCellMar>
            <w:left w:w="0" w:type="dxa"/>
            <w:right w:w="0" w:type="dxa"/>
          </w:tblCellMar>
        </w:tblPrEx>
        <w:trPr>
          <w:trHeight w:hRule="exact" w:val="72"/>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4415C6CA" w14:textId="77777777" w:rsidR="004577A7" w:rsidRPr="00AB31E6" w:rsidRDefault="004577A7" w:rsidP="00EC5AF3">
            <w:pPr>
              <w:spacing w:after="0" w:line="240" w:lineRule="auto"/>
              <w:rPr>
                <w:rFonts w:ascii="Times New Roman" w:hAnsi="Times New Roman" w:cs="Times New Roman"/>
                <w:i/>
                <w:sz w:val="20"/>
                <w:szCs w:val="20"/>
              </w:rPr>
            </w:pPr>
          </w:p>
        </w:tc>
        <w:tc>
          <w:tcPr>
            <w:tcW w:w="3454" w:type="pct"/>
            <w:gridSpan w:val="9"/>
            <w:tcBorders>
              <w:left w:val="nil"/>
              <w:bottom w:val="nil"/>
              <w:right w:val="nil"/>
            </w:tcBorders>
          </w:tcPr>
          <w:p w14:paraId="12781D42"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r>
      <w:tr w:rsidR="004577A7" w:rsidRPr="00AB31E6" w14:paraId="324043DE" w14:textId="77777777" w:rsidTr="00EC5AF3">
        <w:tblPrEx>
          <w:tblCellMar>
            <w:left w:w="0" w:type="dxa"/>
            <w:right w:w="0" w:type="dxa"/>
          </w:tblCellMar>
        </w:tblPrEx>
        <w:trPr>
          <w:trHeight w:hRule="exact" w:val="288"/>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213D883B" w14:textId="77777777" w:rsidR="004577A7" w:rsidRPr="00AB31E6" w:rsidRDefault="004577A7" w:rsidP="00EC5AF3">
            <w:pPr>
              <w:spacing w:after="0" w:line="240" w:lineRule="auto"/>
              <w:rPr>
                <w:rFonts w:ascii="Times New Roman" w:hAnsi="Times New Roman" w:cs="Times New Roman"/>
                <w:i/>
                <w:sz w:val="20"/>
                <w:szCs w:val="20"/>
              </w:rPr>
            </w:pPr>
          </w:p>
        </w:tc>
        <w:tc>
          <w:tcPr>
            <w:tcW w:w="3454" w:type="pct"/>
            <w:gridSpan w:val="9"/>
            <w:tcBorders>
              <w:left w:val="nil"/>
              <w:bottom w:val="nil"/>
              <w:right w:val="nil"/>
            </w:tcBorders>
          </w:tcPr>
          <w:p w14:paraId="50A0111B" w14:textId="77777777" w:rsidR="004577A7" w:rsidRPr="00AB31E6" w:rsidRDefault="004577A7" w:rsidP="00EC5AF3">
            <w:pPr>
              <w:spacing w:after="0" w:line="240" w:lineRule="auto"/>
              <w:jc w:val="center"/>
              <w:rPr>
                <w:rFonts w:ascii="Times New Roman" w:hAnsi="Times New Roman" w:cs="Times New Roman"/>
                <w:i/>
                <w:color w:val="000000"/>
                <w:sz w:val="20"/>
                <w:szCs w:val="20"/>
              </w:rPr>
            </w:pPr>
            <w:r w:rsidRPr="00AB31E6">
              <w:rPr>
                <w:rFonts w:ascii="Times New Roman" w:hAnsi="Times New Roman" w:cs="Times New Roman"/>
                <w:color w:val="000000"/>
                <w:sz w:val="20"/>
                <w:szCs w:val="20"/>
              </w:rPr>
              <w:t xml:space="preserve">Dependent Variable: </w:t>
            </w:r>
            <w:r w:rsidRPr="00AB31E6">
              <w:rPr>
                <w:rFonts w:ascii="Times New Roman" w:hAnsi="Times New Roman" w:cs="Times New Roman"/>
                <w:i/>
                <w:color w:val="000000"/>
                <w:sz w:val="20"/>
                <w:szCs w:val="20"/>
              </w:rPr>
              <w:t>RESTATE</w:t>
            </w:r>
            <w:r>
              <w:rPr>
                <w:rFonts w:ascii="Times New Roman" w:hAnsi="Times New Roman" w:cs="Times New Roman"/>
                <w:i/>
                <w:color w:val="000000"/>
                <w:sz w:val="20"/>
                <w:szCs w:val="20"/>
              </w:rPr>
              <w:t>_ANNOUNCE</w:t>
            </w:r>
          </w:p>
          <w:p w14:paraId="27BD1233"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p w14:paraId="1B6FFCC1"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40FE34E1" w14:textId="77777777" w:rsidTr="00EC5AF3">
        <w:tblPrEx>
          <w:tblCellMar>
            <w:left w:w="0" w:type="dxa"/>
            <w:right w:w="0" w:type="dxa"/>
          </w:tblCellMar>
        </w:tblPrEx>
        <w:trPr>
          <w:trHeight w:hRule="exact" w:val="342"/>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667867A0"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i/>
                <w:color w:val="000000"/>
                <w:sz w:val="20"/>
                <w:szCs w:val="20"/>
              </w:rPr>
              <w:t>SPAC-IPO</w:t>
            </w:r>
          </w:p>
        </w:tc>
        <w:tc>
          <w:tcPr>
            <w:tcW w:w="720" w:type="pct"/>
            <w:gridSpan w:val="2"/>
            <w:tcBorders>
              <w:top w:val="single" w:sz="12" w:space="0" w:color="auto"/>
              <w:left w:val="nil"/>
              <w:bottom w:val="nil"/>
              <w:right w:val="nil"/>
            </w:tcBorders>
            <w:vAlign w:val="bottom"/>
          </w:tcPr>
          <w:p w14:paraId="342C4602"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1.568***</w:t>
            </w:r>
          </w:p>
        </w:tc>
        <w:tc>
          <w:tcPr>
            <w:tcW w:w="650"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21868F3F"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10.61</w:t>
            </w:r>
          </w:p>
        </w:tc>
        <w:tc>
          <w:tcPr>
            <w:tcW w:w="678"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42323988"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548" w:type="pct"/>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1BD5E17D"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1.542***</w:t>
            </w:r>
          </w:p>
        </w:tc>
        <w:tc>
          <w:tcPr>
            <w:tcW w:w="858"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77382C08"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r>
      <w:tr w:rsidR="004577A7" w:rsidRPr="00AB31E6" w14:paraId="4A4C6085" w14:textId="77777777" w:rsidTr="00EC5AF3">
        <w:tblPrEx>
          <w:tblCellMar>
            <w:left w:w="0" w:type="dxa"/>
            <w:right w:w="0" w:type="dxa"/>
          </w:tblCellMar>
        </w:tblPrEx>
        <w:trPr>
          <w:trHeight w:hRule="exact" w:val="216"/>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733F6CE2"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color w:val="000000"/>
                <w:sz w:val="20"/>
                <w:szCs w:val="20"/>
              </w:rPr>
              <w:t>Controls/ Industry Fixed Effects</w:t>
            </w:r>
          </w:p>
        </w:tc>
        <w:tc>
          <w:tcPr>
            <w:tcW w:w="720" w:type="pct"/>
            <w:gridSpan w:val="2"/>
            <w:tcBorders>
              <w:left w:val="nil"/>
              <w:bottom w:val="nil"/>
              <w:right w:val="nil"/>
            </w:tcBorders>
          </w:tcPr>
          <w:p w14:paraId="63410F70"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Yes/Yes</w:t>
            </w:r>
          </w:p>
        </w:tc>
        <w:tc>
          <w:tcPr>
            <w:tcW w:w="650" w:type="pct"/>
            <w:gridSpan w:val="2"/>
            <w:tcBorders>
              <w:left w:val="nil"/>
              <w:bottom w:val="nil"/>
              <w:right w:val="nil"/>
            </w:tcBorders>
            <w:shd w:val="clear" w:color="auto" w:fill="auto"/>
            <w:noWrap/>
            <w:tcMar>
              <w:top w:w="15" w:type="dxa"/>
              <w:left w:w="15" w:type="dxa"/>
              <w:bottom w:w="0" w:type="dxa"/>
              <w:right w:w="15" w:type="dxa"/>
            </w:tcMar>
            <w:vAlign w:val="bottom"/>
          </w:tcPr>
          <w:p w14:paraId="51FA26E9"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04B38FB7" w14:textId="77777777" w:rsidR="004577A7" w:rsidRPr="00AB31E6" w:rsidRDefault="004577A7" w:rsidP="00EC5AF3">
            <w:pPr>
              <w:spacing w:after="0" w:line="240" w:lineRule="auto"/>
              <w:ind w:left="-105" w:firstLine="105"/>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779D1580"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Yes/Yes</w:t>
            </w: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604ECE47"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382B0DD7" w14:textId="77777777" w:rsidTr="00EC5AF3">
        <w:tblPrEx>
          <w:tblCellMar>
            <w:left w:w="0" w:type="dxa"/>
            <w:right w:w="0" w:type="dxa"/>
          </w:tblCellMar>
        </w:tblPrEx>
        <w:trPr>
          <w:trHeight w:hRule="exact" w:val="69"/>
        </w:trPr>
        <w:tc>
          <w:tcPr>
            <w:tcW w:w="1546" w:type="pct"/>
            <w:gridSpan w:val="3"/>
            <w:tcBorders>
              <w:left w:val="nil"/>
              <w:bottom w:val="nil"/>
              <w:right w:val="nil"/>
            </w:tcBorders>
            <w:shd w:val="clear" w:color="auto" w:fill="auto"/>
            <w:noWrap/>
            <w:tcMar>
              <w:top w:w="15" w:type="dxa"/>
              <w:left w:w="15" w:type="dxa"/>
              <w:bottom w:w="0" w:type="dxa"/>
              <w:right w:w="15" w:type="dxa"/>
            </w:tcMar>
            <w:vAlign w:val="bottom"/>
          </w:tcPr>
          <w:p w14:paraId="6F1FA947"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bottom w:val="nil"/>
              <w:right w:val="nil"/>
            </w:tcBorders>
          </w:tcPr>
          <w:p w14:paraId="2CADF644"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50" w:type="pct"/>
            <w:gridSpan w:val="2"/>
            <w:tcBorders>
              <w:left w:val="nil"/>
              <w:bottom w:val="nil"/>
              <w:right w:val="nil"/>
            </w:tcBorders>
            <w:shd w:val="clear" w:color="auto" w:fill="auto"/>
            <w:noWrap/>
            <w:tcMar>
              <w:top w:w="15" w:type="dxa"/>
              <w:left w:w="15" w:type="dxa"/>
              <w:bottom w:w="0" w:type="dxa"/>
              <w:right w:w="15" w:type="dxa"/>
            </w:tcMar>
            <w:vAlign w:val="bottom"/>
          </w:tcPr>
          <w:p w14:paraId="28CD50B7"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679E574B"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4087B7C8"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31A23DD6"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6113D842"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66BEB570"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3D437CB4"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Dependent Variable: </w:t>
            </w:r>
            <w:r>
              <w:rPr>
                <w:rFonts w:ascii="Times New Roman" w:hAnsi="Times New Roman" w:cs="Times New Roman"/>
                <w:i/>
                <w:color w:val="000000"/>
                <w:sz w:val="20"/>
                <w:szCs w:val="20"/>
              </w:rPr>
              <w:t>NONTIMELY</w:t>
            </w:r>
          </w:p>
        </w:tc>
      </w:tr>
      <w:tr w:rsidR="004577A7" w:rsidRPr="00AB31E6" w14:paraId="3E42E066" w14:textId="77777777" w:rsidTr="00EC5AF3">
        <w:tblPrEx>
          <w:tblCellMar>
            <w:left w:w="0" w:type="dxa"/>
            <w:right w:w="0" w:type="dxa"/>
          </w:tblCellMar>
        </w:tblPrEx>
        <w:trPr>
          <w:trHeight w:hRule="exact" w:val="342"/>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515C5822" w14:textId="77777777" w:rsidR="004577A7" w:rsidRPr="00AB31E6" w:rsidRDefault="004577A7" w:rsidP="00EC5AF3">
            <w:pPr>
              <w:spacing w:after="0" w:line="240" w:lineRule="auto"/>
              <w:rPr>
                <w:rFonts w:ascii="Times New Roman" w:hAnsi="Times New Roman" w:cs="Times New Roman"/>
                <w:i/>
                <w:color w:val="000000"/>
                <w:sz w:val="20"/>
                <w:szCs w:val="20"/>
              </w:rPr>
            </w:pPr>
            <w:r w:rsidRPr="00AB31E6">
              <w:rPr>
                <w:rFonts w:ascii="Times New Roman" w:hAnsi="Times New Roman" w:cs="Times New Roman"/>
                <w:i/>
                <w:color w:val="000000"/>
                <w:sz w:val="20"/>
                <w:szCs w:val="20"/>
              </w:rPr>
              <w:t>SPAC-IPO</w:t>
            </w:r>
          </w:p>
        </w:tc>
        <w:tc>
          <w:tcPr>
            <w:tcW w:w="720" w:type="pct"/>
            <w:gridSpan w:val="2"/>
            <w:tcBorders>
              <w:top w:val="single" w:sz="12" w:space="0" w:color="auto"/>
              <w:left w:val="nil"/>
              <w:right w:val="nil"/>
            </w:tcBorders>
            <w:vAlign w:val="bottom"/>
          </w:tcPr>
          <w:p w14:paraId="5EADE95D"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3.040</w:t>
            </w:r>
            <w:r w:rsidRPr="00AB31E6">
              <w:rPr>
                <w:rFonts w:ascii="Times New Roman" w:hAnsi="Times New Roman" w:cs="Times New Roman"/>
                <w:color w:val="000000"/>
                <w:sz w:val="20"/>
                <w:szCs w:val="20"/>
              </w:rPr>
              <w:t>***</w:t>
            </w:r>
          </w:p>
        </w:tc>
        <w:tc>
          <w:tcPr>
            <w:tcW w:w="650"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50DE8CE5"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8.38</w:t>
            </w:r>
          </w:p>
        </w:tc>
        <w:tc>
          <w:tcPr>
            <w:tcW w:w="67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04D00D8E"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548" w:type="pct"/>
            <w:tcBorders>
              <w:top w:val="single" w:sz="12" w:space="0" w:color="auto"/>
              <w:left w:val="nil"/>
              <w:right w:val="nil"/>
            </w:tcBorders>
            <w:shd w:val="clear" w:color="auto" w:fill="auto"/>
            <w:noWrap/>
            <w:tcMar>
              <w:top w:w="15" w:type="dxa"/>
              <w:left w:w="15" w:type="dxa"/>
              <w:bottom w:w="0" w:type="dxa"/>
              <w:right w:w="15" w:type="dxa"/>
            </w:tcMar>
            <w:vAlign w:val="bottom"/>
          </w:tcPr>
          <w:p w14:paraId="3CA4A454"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1.174</w:t>
            </w:r>
          </w:p>
        </w:tc>
        <w:tc>
          <w:tcPr>
            <w:tcW w:w="85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1340F6A5"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0.89</w:t>
            </w:r>
          </w:p>
        </w:tc>
      </w:tr>
      <w:tr w:rsidR="004577A7" w:rsidRPr="00AB31E6" w14:paraId="1C2B0236" w14:textId="77777777" w:rsidTr="00EC5AF3">
        <w:tblPrEx>
          <w:tblCellMar>
            <w:left w:w="0" w:type="dxa"/>
            <w:right w:w="0" w:type="dxa"/>
          </w:tblCellMar>
        </w:tblPrEx>
        <w:trPr>
          <w:trHeight w:hRule="exact" w:val="216"/>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26A77555"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color w:val="000000"/>
                <w:sz w:val="20"/>
                <w:szCs w:val="20"/>
              </w:rPr>
              <w:t>Controls/ Industry Fixed Effects</w:t>
            </w:r>
          </w:p>
        </w:tc>
        <w:tc>
          <w:tcPr>
            <w:tcW w:w="720" w:type="pct"/>
            <w:gridSpan w:val="2"/>
            <w:tcBorders>
              <w:left w:val="nil"/>
              <w:right w:val="nil"/>
            </w:tcBorders>
          </w:tcPr>
          <w:p w14:paraId="014D1446"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Yes/Yes</w:t>
            </w: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050F8578"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3F7FFD60" w14:textId="77777777" w:rsidR="004577A7" w:rsidRPr="00AB31E6" w:rsidRDefault="004577A7" w:rsidP="00EC5AF3">
            <w:pPr>
              <w:spacing w:after="0" w:line="240" w:lineRule="auto"/>
              <w:ind w:left="-105" w:firstLine="105"/>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2C28145D"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Yes/Yes</w:t>
            </w: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18A20F20"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07E31DF1" w14:textId="77777777" w:rsidTr="00EC5AF3">
        <w:tblPrEx>
          <w:tblCellMar>
            <w:left w:w="0" w:type="dxa"/>
            <w:right w:w="0" w:type="dxa"/>
          </w:tblCellMar>
        </w:tblPrEx>
        <w:trPr>
          <w:trHeight w:hRule="exact" w:val="69"/>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900A550"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right w:val="nil"/>
            </w:tcBorders>
          </w:tcPr>
          <w:p w14:paraId="68D2C3C7"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78ADA1B3"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38214C42"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7077601B"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2EAEEDBC"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07042C0B"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2F005575"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3ADB381B"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Dependent Variable: </w:t>
            </w:r>
            <w:r>
              <w:rPr>
                <w:rFonts w:ascii="Times New Roman" w:hAnsi="Times New Roman" w:cs="Times New Roman"/>
                <w:i/>
                <w:color w:val="000000"/>
                <w:sz w:val="20"/>
                <w:szCs w:val="20"/>
              </w:rPr>
              <w:t>NONBIG4</w:t>
            </w:r>
          </w:p>
        </w:tc>
      </w:tr>
      <w:tr w:rsidR="004577A7" w:rsidRPr="00AB31E6" w14:paraId="4138094C" w14:textId="77777777" w:rsidTr="00EC5AF3">
        <w:tblPrEx>
          <w:tblCellMar>
            <w:left w:w="0" w:type="dxa"/>
            <w:right w:w="0" w:type="dxa"/>
          </w:tblCellMar>
        </w:tblPrEx>
        <w:trPr>
          <w:trHeight w:hRule="exact" w:val="333"/>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461A595E" w14:textId="77777777" w:rsidR="004577A7" w:rsidRPr="00AB31E6" w:rsidRDefault="004577A7" w:rsidP="00EC5AF3">
            <w:pPr>
              <w:spacing w:after="0" w:line="240" w:lineRule="auto"/>
              <w:rPr>
                <w:rFonts w:ascii="Times New Roman" w:hAnsi="Times New Roman" w:cs="Times New Roman"/>
                <w:i/>
                <w:color w:val="000000"/>
                <w:sz w:val="20"/>
                <w:szCs w:val="20"/>
              </w:rPr>
            </w:pPr>
            <w:r w:rsidRPr="00AB31E6">
              <w:rPr>
                <w:rFonts w:ascii="Times New Roman" w:hAnsi="Times New Roman" w:cs="Times New Roman"/>
                <w:i/>
                <w:color w:val="000000"/>
                <w:sz w:val="20"/>
                <w:szCs w:val="20"/>
              </w:rPr>
              <w:t>SPAC-IPO</w:t>
            </w:r>
          </w:p>
        </w:tc>
        <w:tc>
          <w:tcPr>
            <w:tcW w:w="720" w:type="pct"/>
            <w:gridSpan w:val="2"/>
            <w:tcBorders>
              <w:top w:val="single" w:sz="12" w:space="0" w:color="auto"/>
              <w:left w:val="nil"/>
              <w:right w:val="nil"/>
            </w:tcBorders>
            <w:vAlign w:val="bottom"/>
          </w:tcPr>
          <w:p w14:paraId="7BE34DE7" w14:textId="77777777" w:rsidR="004577A7" w:rsidRPr="00056B92" w:rsidRDefault="004577A7" w:rsidP="00EC5A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056B92">
              <w:rPr>
                <w:rFonts w:ascii="Times New Roman" w:hAnsi="Times New Roman" w:cs="Times New Roman"/>
                <w:sz w:val="20"/>
                <w:szCs w:val="20"/>
              </w:rPr>
              <w:t>2.4</w:t>
            </w:r>
            <w:r>
              <w:rPr>
                <w:rFonts w:ascii="Times New Roman" w:hAnsi="Times New Roman" w:cs="Times New Roman"/>
                <w:sz w:val="20"/>
                <w:szCs w:val="20"/>
              </w:rPr>
              <w:t>5</w:t>
            </w:r>
            <w:r w:rsidRPr="00056B92">
              <w:rPr>
                <w:rFonts w:ascii="Times New Roman" w:hAnsi="Times New Roman" w:cs="Times New Roman"/>
                <w:sz w:val="20"/>
                <w:szCs w:val="20"/>
              </w:rPr>
              <w:t>1***</w:t>
            </w:r>
          </w:p>
        </w:tc>
        <w:tc>
          <w:tcPr>
            <w:tcW w:w="650"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5A308031" w14:textId="77777777" w:rsidR="004577A7" w:rsidRPr="00056B92" w:rsidRDefault="004577A7" w:rsidP="00EC5AF3">
            <w:pPr>
              <w:spacing w:after="0" w:line="240" w:lineRule="auto"/>
              <w:jc w:val="center"/>
              <w:rPr>
                <w:rFonts w:ascii="Times New Roman" w:hAnsi="Times New Roman" w:cs="Times New Roman"/>
                <w:sz w:val="20"/>
                <w:szCs w:val="20"/>
              </w:rPr>
            </w:pPr>
            <w:r w:rsidRPr="00056B92">
              <w:rPr>
                <w:rFonts w:ascii="Times New Roman" w:hAnsi="Times New Roman" w:cs="Times New Roman"/>
                <w:sz w:val="20"/>
                <w:szCs w:val="20"/>
              </w:rPr>
              <w:t xml:space="preserve"> </w:t>
            </w:r>
            <w:r>
              <w:rPr>
                <w:rFonts w:ascii="Times New Roman" w:hAnsi="Times New Roman" w:cs="Times New Roman"/>
                <w:sz w:val="20"/>
                <w:szCs w:val="20"/>
              </w:rPr>
              <w:t>22.01</w:t>
            </w:r>
          </w:p>
        </w:tc>
        <w:tc>
          <w:tcPr>
            <w:tcW w:w="67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11B2B996" w14:textId="77777777" w:rsidR="004577A7" w:rsidRPr="00056B92" w:rsidRDefault="004577A7" w:rsidP="00EC5AF3">
            <w:pPr>
              <w:spacing w:after="0" w:line="240" w:lineRule="auto"/>
              <w:jc w:val="center"/>
              <w:rPr>
                <w:rFonts w:ascii="Times New Roman" w:hAnsi="Times New Roman" w:cs="Times New Roman"/>
                <w:sz w:val="20"/>
                <w:szCs w:val="20"/>
              </w:rPr>
            </w:pPr>
          </w:p>
        </w:tc>
        <w:tc>
          <w:tcPr>
            <w:tcW w:w="548" w:type="pct"/>
            <w:tcBorders>
              <w:top w:val="single" w:sz="12" w:space="0" w:color="auto"/>
              <w:left w:val="nil"/>
              <w:right w:val="nil"/>
            </w:tcBorders>
            <w:shd w:val="clear" w:color="auto" w:fill="auto"/>
            <w:noWrap/>
            <w:tcMar>
              <w:top w:w="15" w:type="dxa"/>
              <w:left w:w="15" w:type="dxa"/>
              <w:bottom w:w="0" w:type="dxa"/>
              <w:right w:w="15" w:type="dxa"/>
            </w:tcMar>
            <w:vAlign w:val="bottom"/>
          </w:tcPr>
          <w:p w14:paraId="1086648B"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2.4</w:t>
            </w:r>
            <w:r>
              <w:rPr>
                <w:rFonts w:ascii="Times New Roman" w:hAnsi="Times New Roman" w:cs="Times New Roman"/>
                <w:sz w:val="20"/>
                <w:szCs w:val="20"/>
              </w:rPr>
              <w:t>74</w:t>
            </w:r>
            <w:r w:rsidRPr="00056B92">
              <w:rPr>
                <w:rFonts w:ascii="Times New Roman" w:hAnsi="Times New Roman" w:cs="Times New Roman"/>
                <w:sz w:val="20"/>
                <w:szCs w:val="20"/>
              </w:rPr>
              <w:t>***</w:t>
            </w:r>
          </w:p>
        </w:tc>
        <w:tc>
          <w:tcPr>
            <w:tcW w:w="85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0ECBF30E"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 xml:space="preserve">          11.</w:t>
            </w:r>
            <w:r>
              <w:rPr>
                <w:rFonts w:ascii="Times New Roman" w:hAnsi="Times New Roman" w:cs="Times New Roman"/>
                <w:sz w:val="20"/>
                <w:szCs w:val="20"/>
              </w:rPr>
              <w:t>32</w:t>
            </w:r>
          </w:p>
        </w:tc>
      </w:tr>
      <w:tr w:rsidR="004577A7" w:rsidRPr="00AB31E6" w14:paraId="2E2FADC1" w14:textId="77777777" w:rsidTr="00EC5AF3">
        <w:tblPrEx>
          <w:tblCellMar>
            <w:left w:w="0" w:type="dxa"/>
            <w:right w:w="0" w:type="dxa"/>
          </w:tblCellMar>
        </w:tblPrEx>
        <w:trPr>
          <w:trHeight w:hRule="exact" w:val="216"/>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1DC97EB4"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color w:val="000000"/>
                <w:sz w:val="20"/>
                <w:szCs w:val="20"/>
              </w:rPr>
              <w:t>Controls/ Industry Fixed Effects</w:t>
            </w:r>
          </w:p>
        </w:tc>
        <w:tc>
          <w:tcPr>
            <w:tcW w:w="720" w:type="pct"/>
            <w:gridSpan w:val="2"/>
            <w:tcBorders>
              <w:left w:val="nil"/>
              <w:right w:val="nil"/>
            </w:tcBorders>
          </w:tcPr>
          <w:p w14:paraId="560E8DEA"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B92">
              <w:rPr>
                <w:rFonts w:ascii="Times New Roman" w:hAnsi="Times New Roman" w:cs="Times New Roman"/>
                <w:sz w:val="20"/>
                <w:szCs w:val="20"/>
              </w:rPr>
              <w:t>Yes/Yes</w:t>
            </w: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076731A3" w14:textId="77777777" w:rsidR="004577A7" w:rsidRPr="00056B92" w:rsidRDefault="004577A7" w:rsidP="00EC5AF3">
            <w:pPr>
              <w:spacing w:after="0" w:line="240" w:lineRule="auto"/>
              <w:jc w:val="center"/>
              <w:rPr>
                <w:rFonts w:ascii="Times New Roman" w:hAnsi="Times New Roman" w:cs="Times New Roman"/>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1CE7F5B6" w14:textId="77777777" w:rsidR="004577A7" w:rsidRPr="00056B92" w:rsidRDefault="004577A7" w:rsidP="00EC5AF3">
            <w:pPr>
              <w:spacing w:after="0" w:line="240" w:lineRule="auto"/>
              <w:ind w:left="-105" w:firstLine="105"/>
              <w:rPr>
                <w:rFonts w:ascii="Times New Roman" w:hAnsi="Times New Roman" w:cs="Times New Roman"/>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09CA0323"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Yes/Yes</w:t>
            </w: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25E71C26" w14:textId="77777777" w:rsidR="004577A7" w:rsidRPr="00056B92" w:rsidRDefault="004577A7" w:rsidP="00EC5AF3">
            <w:pPr>
              <w:spacing w:after="0" w:line="240" w:lineRule="auto"/>
              <w:rPr>
                <w:rFonts w:ascii="Times New Roman" w:hAnsi="Times New Roman" w:cs="Times New Roman"/>
                <w:sz w:val="20"/>
                <w:szCs w:val="20"/>
              </w:rPr>
            </w:pPr>
          </w:p>
        </w:tc>
      </w:tr>
      <w:tr w:rsidR="004577A7" w:rsidRPr="00AB31E6" w14:paraId="6F91D69C" w14:textId="77777777" w:rsidTr="00EC5AF3">
        <w:tblPrEx>
          <w:tblCellMar>
            <w:left w:w="0" w:type="dxa"/>
            <w:right w:w="0" w:type="dxa"/>
          </w:tblCellMar>
        </w:tblPrEx>
        <w:trPr>
          <w:trHeight w:hRule="exact" w:val="69"/>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762997AE"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right w:val="nil"/>
            </w:tcBorders>
          </w:tcPr>
          <w:p w14:paraId="34ACF4DC" w14:textId="77777777" w:rsidR="004577A7" w:rsidRPr="00056B92" w:rsidRDefault="004577A7" w:rsidP="00EC5AF3">
            <w:pPr>
              <w:spacing w:after="0" w:line="240" w:lineRule="auto"/>
              <w:jc w:val="center"/>
              <w:rPr>
                <w:rFonts w:ascii="Times New Roman" w:hAnsi="Times New Roman" w:cs="Times New Roman"/>
                <w:sz w:val="20"/>
                <w:szCs w:val="20"/>
              </w:rPr>
            </w:pP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6A3A5F21" w14:textId="77777777" w:rsidR="004577A7" w:rsidRPr="00056B92" w:rsidRDefault="004577A7" w:rsidP="00EC5AF3">
            <w:pPr>
              <w:spacing w:after="0" w:line="240" w:lineRule="auto"/>
              <w:jc w:val="center"/>
              <w:rPr>
                <w:rFonts w:ascii="Times New Roman" w:hAnsi="Times New Roman" w:cs="Times New Roman"/>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5C607291" w14:textId="77777777" w:rsidR="004577A7" w:rsidRPr="00056B92" w:rsidRDefault="004577A7" w:rsidP="00EC5AF3">
            <w:pPr>
              <w:spacing w:after="0" w:line="240" w:lineRule="auto"/>
              <w:jc w:val="center"/>
              <w:rPr>
                <w:rFonts w:ascii="Times New Roman" w:hAnsi="Times New Roman" w:cs="Times New Roman"/>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7B180EFF" w14:textId="77777777" w:rsidR="004577A7" w:rsidRPr="00056B92" w:rsidRDefault="004577A7" w:rsidP="00EC5AF3">
            <w:pPr>
              <w:spacing w:after="0" w:line="240" w:lineRule="auto"/>
              <w:rPr>
                <w:rFonts w:ascii="Times New Roman" w:hAnsi="Times New Roman" w:cs="Times New Roman"/>
                <w:sz w:val="20"/>
                <w:szCs w:val="20"/>
              </w:rPr>
            </w:pP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6504432C" w14:textId="77777777" w:rsidR="004577A7" w:rsidRPr="00056B92" w:rsidRDefault="004577A7" w:rsidP="00EC5AF3">
            <w:pPr>
              <w:spacing w:after="0" w:line="240" w:lineRule="auto"/>
              <w:rPr>
                <w:rFonts w:ascii="Times New Roman" w:hAnsi="Times New Roman" w:cs="Times New Roman"/>
                <w:sz w:val="20"/>
                <w:szCs w:val="20"/>
              </w:rPr>
            </w:pPr>
          </w:p>
        </w:tc>
      </w:tr>
      <w:tr w:rsidR="004577A7" w:rsidRPr="00AB31E6" w14:paraId="31B364C6" w14:textId="77777777" w:rsidTr="00EC5AF3">
        <w:tblPrEx>
          <w:tblCellMar>
            <w:left w:w="0" w:type="dxa"/>
            <w:right w:w="0" w:type="dxa"/>
          </w:tblCellMar>
        </w:tblPrEx>
        <w:trPr>
          <w:trHeight w:hRule="exact" w:val="72"/>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48E30087"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right w:val="nil"/>
            </w:tcBorders>
          </w:tcPr>
          <w:p w14:paraId="47981D93" w14:textId="77777777" w:rsidR="004577A7" w:rsidRPr="00056B92" w:rsidRDefault="004577A7" w:rsidP="00EC5AF3">
            <w:pPr>
              <w:spacing w:after="0" w:line="240" w:lineRule="auto"/>
              <w:jc w:val="center"/>
              <w:rPr>
                <w:rFonts w:ascii="Times New Roman" w:hAnsi="Times New Roman" w:cs="Times New Roman"/>
                <w:sz w:val="20"/>
                <w:szCs w:val="20"/>
              </w:rPr>
            </w:pPr>
          </w:p>
        </w:tc>
      </w:tr>
      <w:tr w:rsidR="004577A7" w:rsidRPr="00AB31E6" w14:paraId="0205E003"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4A2DC7A3"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59508B89" w14:textId="77777777" w:rsidR="004577A7" w:rsidRPr="00056B92" w:rsidRDefault="004577A7" w:rsidP="00EC5AF3">
            <w:pPr>
              <w:spacing w:after="0" w:line="240" w:lineRule="auto"/>
              <w:jc w:val="center"/>
              <w:rPr>
                <w:rFonts w:ascii="Times New Roman" w:hAnsi="Times New Roman" w:cs="Times New Roman"/>
                <w:sz w:val="20"/>
                <w:szCs w:val="20"/>
              </w:rPr>
            </w:pPr>
            <w:r w:rsidRPr="00056B92">
              <w:rPr>
                <w:rFonts w:ascii="Times New Roman" w:hAnsi="Times New Roman" w:cs="Times New Roman"/>
                <w:sz w:val="20"/>
                <w:szCs w:val="20"/>
              </w:rPr>
              <w:t xml:space="preserve">Dependent Variable: </w:t>
            </w:r>
            <w:r w:rsidRPr="00056B92">
              <w:rPr>
                <w:rFonts w:ascii="Times New Roman" w:hAnsi="Times New Roman" w:cs="Times New Roman"/>
                <w:i/>
                <w:sz w:val="20"/>
                <w:szCs w:val="20"/>
              </w:rPr>
              <w:t>HIGHACCRUALS</w:t>
            </w:r>
          </w:p>
        </w:tc>
      </w:tr>
      <w:tr w:rsidR="004577A7" w:rsidRPr="00AB31E6" w14:paraId="4DF61407"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66F9361" w14:textId="77777777" w:rsidR="004577A7" w:rsidRPr="00AB31E6" w:rsidRDefault="004577A7" w:rsidP="00EC5AF3">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SPAC-IPO</w:t>
            </w:r>
          </w:p>
        </w:tc>
        <w:tc>
          <w:tcPr>
            <w:tcW w:w="3454" w:type="pct"/>
            <w:gridSpan w:val="9"/>
            <w:tcBorders>
              <w:top w:val="single" w:sz="12" w:space="0" w:color="auto"/>
              <w:left w:val="nil"/>
              <w:right w:val="nil"/>
            </w:tcBorders>
          </w:tcPr>
          <w:p w14:paraId="7175C43C" w14:textId="77777777" w:rsidR="004577A7" w:rsidRPr="00056B92" w:rsidRDefault="004577A7" w:rsidP="00EC5AF3">
            <w:pPr>
              <w:tabs>
                <w:tab w:val="left" w:pos="35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56B92">
              <w:rPr>
                <w:rFonts w:ascii="Times New Roman" w:hAnsi="Times New Roman" w:cs="Times New Roman"/>
                <w:sz w:val="20"/>
                <w:szCs w:val="20"/>
              </w:rPr>
              <w:t>0.</w:t>
            </w:r>
            <w:r>
              <w:rPr>
                <w:rFonts w:ascii="Times New Roman" w:hAnsi="Times New Roman" w:cs="Times New Roman"/>
                <w:sz w:val="20"/>
                <w:szCs w:val="20"/>
              </w:rPr>
              <w:t>395</w:t>
            </w: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1.08</w:t>
            </w: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B92">
              <w:rPr>
                <w:rFonts w:ascii="Times New Roman" w:hAnsi="Times New Roman" w:cs="Times New Roman"/>
                <w:sz w:val="20"/>
                <w:szCs w:val="20"/>
              </w:rPr>
              <w:t>0</w:t>
            </w:r>
            <w:r>
              <w:rPr>
                <w:rFonts w:ascii="Times New Roman" w:hAnsi="Times New Roman" w:cs="Times New Roman"/>
                <w:sz w:val="20"/>
                <w:szCs w:val="20"/>
              </w:rPr>
              <w:t>.207</w:t>
            </w:r>
            <w:r w:rsidRPr="00056B92">
              <w:rPr>
                <w:rFonts w:ascii="Times New Roman" w:hAnsi="Times New Roman" w:cs="Times New Roman"/>
                <w:sz w:val="20"/>
                <w:szCs w:val="20"/>
              </w:rPr>
              <w:t xml:space="preserve">                       0.</w:t>
            </w:r>
            <w:r>
              <w:rPr>
                <w:rFonts w:ascii="Times New Roman" w:hAnsi="Times New Roman" w:cs="Times New Roman"/>
                <w:sz w:val="20"/>
                <w:szCs w:val="20"/>
              </w:rPr>
              <w:t>15</w:t>
            </w:r>
          </w:p>
        </w:tc>
      </w:tr>
      <w:tr w:rsidR="004577A7" w:rsidRPr="00AB31E6" w14:paraId="30154E89"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746B2F79" w14:textId="77777777" w:rsidR="004577A7" w:rsidRPr="00AB31E6" w:rsidRDefault="004577A7" w:rsidP="00EC5AF3">
            <w:pPr>
              <w:spacing w:after="0" w:line="240" w:lineRule="auto"/>
              <w:rPr>
                <w:rFonts w:ascii="Times New Roman" w:hAnsi="Times New Roman" w:cs="Times New Roman"/>
                <w:i/>
                <w:color w:val="000000"/>
                <w:sz w:val="20"/>
                <w:szCs w:val="20"/>
              </w:rPr>
            </w:pPr>
            <w:r w:rsidRPr="00AB31E6">
              <w:rPr>
                <w:rFonts w:ascii="Times New Roman" w:hAnsi="Times New Roman" w:cs="Times New Roman"/>
                <w:color w:val="000000"/>
                <w:sz w:val="20"/>
                <w:szCs w:val="20"/>
              </w:rPr>
              <w:t>Controls/ Industry Fixed Effects</w:t>
            </w:r>
          </w:p>
        </w:tc>
        <w:tc>
          <w:tcPr>
            <w:tcW w:w="3454" w:type="pct"/>
            <w:gridSpan w:val="9"/>
            <w:tcBorders>
              <w:left w:val="nil"/>
              <w:right w:val="nil"/>
            </w:tcBorders>
          </w:tcPr>
          <w:p w14:paraId="4F093A7B"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B92">
              <w:rPr>
                <w:rFonts w:ascii="Times New Roman" w:hAnsi="Times New Roman" w:cs="Times New Roman"/>
                <w:sz w:val="20"/>
                <w:szCs w:val="20"/>
              </w:rPr>
              <w:t>Yes/Yes                                                       Yes/Yes</w:t>
            </w:r>
          </w:p>
        </w:tc>
      </w:tr>
      <w:tr w:rsidR="004577A7" w:rsidRPr="00AB31E6" w14:paraId="4A108FC6" w14:textId="77777777" w:rsidTr="00EC5AF3">
        <w:tblPrEx>
          <w:tblCellMar>
            <w:left w:w="0" w:type="dxa"/>
            <w:right w:w="0" w:type="dxa"/>
          </w:tblCellMar>
        </w:tblPrEx>
        <w:trPr>
          <w:trHeight w:hRule="exact" w:val="72"/>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C72AD0B"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right w:val="nil"/>
            </w:tcBorders>
          </w:tcPr>
          <w:p w14:paraId="16655F95" w14:textId="77777777" w:rsidR="004577A7" w:rsidRPr="00056B92" w:rsidRDefault="004577A7" w:rsidP="00EC5AF3">
            <w:pPr>
              <w:spacing w:after="0" w:line="240" w:lineRule="auto"/>
              <w:jc w:val="center"/>
              <w:rPr>
                <w:rFonts w:ascii="Times New Roman" w:hAnsi="Times New Roman" w:cs="Times New Roman"/>
                <w:sz w:val="20"/>
                <w:szCs w:val="20"/>
              </w:rPr>
            </w:pPr>
          </w:p>
        </w:tc>
      </w:tr>
      <w:tr w:rsidR="004577A7" w:rsidRPr="00AB31E6" w14:paraId="1A1BA6C5"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7868850E"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5CC55A07" w14:textId="77777777" w:rsidR="004577A7" w:rsidRPr="00056B92" w:rsidRDefault="004577A7" w:rsidP="00EC5AF3">
            <w:pPr>
              <w:spacing w:after="0" w:line="240" w:lineRule="auto"/>
              <w:jc w:val="center"/>
              <w:rPr>
                <w:rFonts w:ascii="Times New Roman" w:hAnsi="Times New Roman" w:cs="Times New Roman"/>
                <w:sz w:val="20"/>
                <w:szCs w:val="20"/>
              </w:rPr>
            </w:pPr>
            <w:r w:rsidRPr="00056B92">
              <w:rPr>
                <w:rFonts w:ascii="Times New Roman" w:hAnsi="Times New Roman" w:cs="Times New Roman"/>
                <w:sz w:val="20"/>
                <w:szCs w:val="20"/>
              </w:rPr>
              <w:t xml:space="preserve">Dependent Variable: </w:t>
            </w:r>
            <w:r w:rsidRPr="00056B92">
              <w:rPr>
                <w:rFonts w:ascii="Times New Roman" w:hAnsi="Times New Roman" w:cs="Times New Roman"/>
                <w:i/>
                <w:sz w:val="20"/>
                <w:szCs w:val="20"/>
              </w:rPr>
              <w:t>NONNYSE</w:t>
            </w:r>
          </w:p>
        </w:tc>
      </w:tr>
      <w:tr w:rsidR="004577A7" w:rsidRPr="00AB31E6" w14:paraId="11C5EC73"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1D9A072" w14:textId="77777777" w:rsidR="004577A7" w:rsidRPr="00AB31E6" w:rsidRDefault="004577A7" w:rsidP="00EC5AF3">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SPAC-IPO</w:t>
            </w:r>
          </w:p>
        </w:tc>
        <w:tc>
          <w:tcPr>
            <w:tcW w:w="3454" w:type="pct"/>
            <w:gridSpan w:val="9"/>
            <w:tcBorders>
              <w:top w:val="single" w:sz="12" w:space="0" w:color="auto"/>
              <w:left w:val="nil"/>
              <w:right w:val="nil"/>
            </w:tcBorders>
          </w:tcPr>
          <w:p w14:paraId="04ECF6D5"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B92">
              <w:rPr>
                <w:rFonts w:ascii="Times New Roman" w:hAnsi="Times New Roman" w:cs="Times New Roman"/>
                <w:sz w:val="20"/>
                <w:szCs w:val="20"/>
              </w:rPr>
              <w:t>1.</w:t>
            </w:r>
            <w:r>
              <w:rPr>
                <w:rFonts w:ascii="Times New Roman" w:hAnsi="Times New Roman" w:cs="Times New Roman"/>
                <w:sz w:val="20"/>
                <w:szCs w:val="20"/>
              </w:rPr>
              <w:t>825</w:t>
            </w:r>
            <w:r w:rsidRPr="00056B92">
              <w:rPr>
                <w:rFonts w:ascii="Times New Roman" w:hAnsi="Times New Roman" w:cs="Times New Roman"/>
                <w:sz w:val="20"/>
                <w:szCs w:val="20"/>
              </w:rPr>
              <w:t xml:space="preserve">***            </w:t>
            </w:r>
            <w:r>
              <w:rPr>
                <w:rFonts w:ascii="Times New Roman" w:hAnsi="Times New Roman" w:cs="Times New Roman"/>
                <w:sz w:val="20"/>
                <w:szCs w:val="20"/>
              </w:rPr>
              <w:t>18.58</w:t>
            </w:r>
            <w:r w:rsidRPr="00056B92">
              <w:rPr>
                <w:rFonts w:ascii="Times New Roman" w:hAnsi="Times New Roman" w:cs="Times New Roman"/>
                <w:sz w:val="20"/>
                <w:szCs w:val="20"/>
              </w:rPr>
              <w:t xml:space="preserve">                                 2.</w:t>
            </w:r>
            <w:r>
              <w:rPr>
                <w:rFonts w:ascii="Times New Roman" w:hAnsi="Times New Roman" w:cs="Times New Roman"/>
                <w:sz w:val="20"/>
                <w:szCs w:val="20"/>
              </w:rPr>
              <w:t>553</w:t>
            </w:r>
            <w:r w:rsidRPr="00056B92">
              <w:rPr>
                <w:rFonts w:ascii="Times New Roman" w:hAnsi="Times New Roman" w:cs="Times New Roman"/>
                <w:sz w:val="20"/>
                <w:szCs w:val="20"/>
              </w:rPr>
              <w:t xml:space="preserve">***               </w:t>
            </w:r>
            <w:r>
              <w:rPr>
                <w:rFonts w:ascii="Times New Roman" w:hAnsi="Times New Roman" w:cs="Times New Roman"/>
                <w:sz w:val="20"/>
                <w:szCs w:val="20"/>
              </w:rPr>
              <w:t>16.41</w:t>
            </w:r>
          </w:p>
        </w:tc>
      </w:tr>
      <w:tr w:rsidR="004577A7" w:rsidRPr="00AB31E6" w14:paraId="36CEA79F"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710CAB8D" w14:textId="77777777" w:rsidR="004577A7" w:rsidRPr="00AB31E6" w:rsidRDefault="004577A7" w:rsidP="00EC5AF3">
            <w:pPr>
              <w:spacing w:after="0" w:line="240" w:lineRule="auto"/>
              <w:rPr>
                <w:rFonts w:ascii="Times New Roman" w:hAnsi="Times New Roman" w:cs="Times New Roman"/>
                <w:i/>
                <w:color w:val="000000"/>
                <w:sz w:val="20"/>
                <w:szCs w:val="20"/>
              </w:rPr>
            </w:pPr>
            <w:r w:rsidRPr="00AB31E6">
              <w:rPr>
                <w:rFonts w:ascii="Times New Roman" w:hAnsi="Times New Roman" w:cs="Times New Roman"/>
                <w:color w:val="000000"/>
                <w:sz w:val="20"/>
                <w:szCs w:val="20"/>
              </w:rPr>
              <w:t>Controls/ Industry Fixed Effects</w:t>
            </w:r>
          </w:p>
        </w:tc>
        <w:tc>
          <w:tcPr>
            <w:tcW w:w="3454" w:type="pct"/>
            <w:gridSpan w:val="9"/>
            <w:tcBorders>
              <w:left w:val="nil"/>
              <w:right w:val="nil"/>
            </w:tcBorders>
          </w:tcPr>
          <w:p w14:paraId="0E1E2DC5" w14:textId="77777777" w:rsidR="004577A7" w:rsidRPr="00056B92" w:rsidRDefault="004577A7" w:rsidP="00EC5AF3">
            <w:pPr>
              <w:spacing w:after="0" w:line="240" w:lineRule="auto"/>
              <w:rPr>
                <w:rFonts w:ascii="Times New Roman" w:hAnsi="Times New Roman" w:cs="Times New Roman"/>
                <w:sz w:val="20"/>
                <w:szCs w:val="20"/>
              </w:rPr>
            </w:pPr>
            <w:r w:rsidRPr="00056B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B92">
              <w:rPr>
                <w:rFonts w:ascii="Times New Roman" w:hAnsi="Times New Roman" w:cs="Times New Roman"/>
                <w:sz w:val="20"/>
                <w:szCs w:val="20"/>
              </w:rPr>
              <w:t>Yes/Yes                                                       Yes/Yes</w:t>
            </w:r>
          </w:p>
        </w:tc>
      </w:tr>
      <w:tr w:rsidR="004577A7" w:rsidRPr="00AB31E6" w14:paraId="6339E836" w14:textId="77777777" w:rsidTr="00EC5AF3">
        <w:tblPrEx>
          <w:tblCellMar>
            <w:left w:w="0" w:type="dxa"/>
            <w:right w:w="0" w:type="dxa"/>
          </w:tblCellMar>
        </w:tblPrEx>
        <w:trPr>
          <w:trHeight w:hRule="exact" w:val="72"/>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1015C6C"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right w:val="nil"/>
            </w:tcBorders>
          </w:tcPr>
          <w:p w14:paraId="1C437706"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r>
      <w:tr w:rsidR="004577A7" w:rsidRPr="00AB31E6" w14:paraId="77B767CD" w14:textId="77777777" w:rsidTr="00EC5AF3">
        <w:tblPrEx>
          <w:tblCellMar>
            <w:left w:w="0" w:type="dxa"/>
            <w:right w:w="0" w:type="dxa"/>
          </w:tblCellMar>
        </w:tblPrEx>
        <w:trPr>
          <w:trHeight w:hRule="exact" w:val="288"/>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3F8E40F3" w14:textId="77777777" w:rsidR="004577A7" w:rsidRPr="00AB31E6" w:rsidRDefault="004577A7" w:rsidP="00EC5AF3">
            <w:pPr>
              <w:spacing w:after="0" w:line="240" w:lineRule="auto"/>
              <w:rPr>
                <w:rFonts w:ascii="Times New Roman" w:hAnsi="Times New Roman" w:cs="Times New Roman"/>
                <w:i/>
                <w:color w:val="000000"/>
                <w:sz w:val="20"/>
                <w:szCs w:val="20"/>
              </w:rPr>
            </w:pPr>
          </w:p>
        </w:tc>
        <w:tc>
          <w:tcPr>
            <w:tcW w:w="3454" w:type="pct"/>
            <w:gridSpan w:val="9"/>
            <w:tcBorders>
              <w:left w:val="nil"/>
              <w:bottom w:val="single" w:sz="12" w:space="0" w:color="auto"/>
              <w:right w:val="nil"/>
            </w:tcBorders>
          </w:tcPr>
          <w:p w14:paraId="4F5E823E"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Dependent Variable: </w:t>
            </w:r>
            <w:r>
              <w:rPr>
                <w:rFonts w:ascii="Times New Roman" w:hAnsi="Times New Roman" w:cs="Times New Roman"/>
                <w:i/>
                <w:color w:val="000000"/>
                <w:sz w:val="20"/>
                <w:szCs w:val="20"/>
              </w:rPr>
              <w:t>RISK</w:t>
            </w:r>
          </w:p>
        </w:tc>
      </w:tr>
      <w:tr w:rsidR="004577A7" w:rsidRPr="00AB31E6" w14:paraId="4750BA58" w14:textId="77777777" w:rsidTr="00EC5AF3">
        <w:tblPrEx>
          <w:tblCellMar>
            <w:left w:w="0" w:type="dxa"/>
            <w:right w:w="0" w:type="dxa"/>
          </w:tblCellMar>
        </w:tblPrEx>
        <w:trPr>
          <w:trHeight w:hRule="exact" w:val="342"/>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52161729" w14:textId="77777777" w:rsidR="004577A7" w:rsidRPr="00AB31E6" w:rsidRDefault="004577A7" w:rsidP="00EC5AF3">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SPAC-IPO</w:t>
            </w:r>
          </w:p>
        </w:tc>
        <w:tc>
          <w:tcPr>
            <w:tcW w:w="720" w:type="pct"/>
            <w:gridSpan w:val="2"/>
            <w:tcBorders>
              <w:top w:val="single" w:sz="12" w:space="0" w:color="auto"/>
              <w:left w:val="nil"/>
              <w:right w:val="nil"/>
            </w:tcBorders>
            <w:vAlign w:val="bottom"/>
          </w:tcPr>
          <w:p w14:paraId="34836B1E"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0.952***</w:t>
            </w:r>
          </w:p>
        </w:tc>
        <w:tc>
          <w:tcPr>
            <w:tcW w:w="650"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30B134F7"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67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1949C41F"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548" w:type="pct"/>
            <w:tcBorders>
              <w:top w:val="single" w:sz="12" w:space="0" w:color="auto"/>
              <w:left w:val="nil"/>
              <w:right w:val="nil"/>
            </w:tcBorders>
            <w:shd w:val="clear" w:color="auto" w:fill="auto"/>
            <w:noWrap/>
            <w:tcMar>
              <w:top w:w="15" w:type="dxa"/>
              <w:left w:w="15" w:type="dxa"/>
              <w:bottom w:w="0" w:type="dxa"/>
              <w:right w:w="15" w:type="dxa"/>
            </w:tcMar>
            <w:vAlign w:val="bottom"/>
          </w:tcPr>
          <w:p w14:paraId="3DF58B50" w14:textId="77777777" w:rsidR="004577A7" w:rsidRPr="00AB31E6" w:rsidRDefault="004577A7" w:rsidP="00EC5A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1.032***</w:t>
            </w:r>
          </w:p>
        </w:tc>
        <w:tc>
          <w:tcPr>
            <w:tcW w:w="858" w:type="pct"/>
            <w:gridSpan w:val="2"/>
            <w:tcBorders>
              <w:top w:val="single" w:sz="12" w:space="0" w:color="auto"/>
              <w:left w:val="nil"/>
              <w:right w:val="nil"/>
            </w:tcBorders>
            <w:shd w:val="clear" w:color="auto" w:fill="auto"/>
            <w:noWrap/>
            <w:tcMar>
              <w:top w:w="15" w:type="dxa"/>
              <w:left w:w="15" w:type="dxa"/>
              <w:bottom w:w="0" w:type="dxa"/>
              <w:right w:w="15" w:type="dxa"/>
            </w:tcMar>
            <w:vAlign w:val="bottom"/>
          </w:tcPr>
          <w:p w14:paraId="0FEE62CB" w14:textId="77777777" w:rsidR="004577A7" w:rsidRPr="00AB31E6" w:rsidRDefault="004577A7" w:rsidP="00EC5A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4.88</w:t>
            </w:r>
          </w:p>
        </w:tc>
      </w:tr>
      <w:tr w:rsidR="004577A7" w:rsidRPr="00AB31E6" w14:paraId="402317EE" w14:textId="77777777" w:rsidTr="00EC5AF3">
        <w:tblPrEx>
          <w:tblCellMar>
            <w:left w:w="0" w:type="dxa"/>
            <w:right w:w="0" w:type="dxa"/>
          </w:tblCellMar>
        </w:tblPrEx>
        <w:trPr>
          <w:trHeight w:hRule="exact" w:val="216"/>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7F09AF6F" w14:textId="77777777" w:rsidR="004577A7" w:rsidRPr="00AB31E6" w:rsidRDefault="004577A7" w:rsidP="00EC5AF3">
            <w:pPr>
              <w:spacing w:after="0" w:line="240" w:lineRule="auto"/>
              <w:rPr>
                <w:rFonts w:ascii="Times New Roman" w:hAnsi="Times New Roman" w:cs="Times New Roman"/>
                <w:i/>
                <w:sz w:val="20"/>
                <w:szCs w:val="20"/>
              </w:rPr>
            </w:pPr>
            <w:r w:rsidRPr="00AB31E6">
              <w:rPr>
                <w:rFonts w:ascii="Times New Roman" w:hAnsi="Times New Roman" w:cs="Times New Roman"/>
                <w:color w:val="000000"/>
                <w:sz w:val="20"/>
                <w:szCs w:val="20"/>
              </w:rPr>
              <w:t>Controls/ Industry Fixed Effects</w:t>
            </w:r>
          </w:p>
        </w:tc>
        <w:tc>
          <w:tcPr>
            <w:tcW w:w="720" w:type="pct"/>
            <w:gridSpan w:val="2"/>
            <w:tcBorders>
              <w:left w:val="nil"/>
              <w:right w:val="nil"/>
            </w:tcBorders>
          </w:tcPr>
          <w:p w14:paraId="319C43FD"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 xml:space="preserve">     Yes/</w:t>
            </w:r>
            <w:r>
              <w:rPr>
                <w:rFonts w:ascii="Times New Roman" w:hAnsi="Times New Roman" w:cs="Times New Roman"/>
                <w:color w:val="000000"/>
                <w:sz w:val="20"/>
                <w:szCs w:val="20"/>
              </w:rPr>
              <w:t>Yes</w:t>
            </w: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52E914C1"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52CE13C4" w14:textId="77777777" w:rsidR="004577A7" w:rsidRPr="00AB31E6" w:rsidRDefault="004577A7" w:rsidP="00EC5AF3">
            <w:pPr>
              <w:spacing w:after="0" w:line="240" w:lineRule="auto"/>
              <w:ind w:left="-105" w:firstLine="105"/>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46D9365F" w14:textId="77777777" w:rsidR="004577A7" w:rsidRPr="00AB31E6" w:rsidRDefault="004577A7" w:rsidP="00EC5AF3">
            <w:pPr>
              <w:spacing w:after="0" w:line="240" w:lineRule="auto"/>
              <w:rPr>
                <w:rFonts w:ascii="Times New Roman" w:hAnsi="Times New Roman" w:cs="Times New Roman"/>
                <w:color w:val="000000"/>
                <w:sz w:val="20"/>
                <w:szCs w:val="20"/>
              </w:rPr>
            </w:pPr>
            <w:r w:rsidRPr="00AB31E6">
              <w:rPr>
                <w:rFonts w:ascii="Times New Roman" w:hAnsi="Times New Roman" w:cs="Times New Roman"/>
                <w:color w:val="000000"/>
                <w:sz w:val="20"/>
                <w:szCs w:val="20"/>
              </w:rPr>
              <w:t>Yes/Yes</w:t>
            </w: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1607B122"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4ABE87B8" w14:textId="77777777" w:rsidTr="00EC5AF3">
        <w:tblPrEx>
          <w:tblCellMar>
            <w:left w:w="0" w:type="dxa"/>
            <w:right w:w="0" w:type="dxa"/>
          </w:tblCellMar>
        </w:tblPrEx>
        <w:trPr>
          <w:trHeight w:hRule="exact" w:val="69"/>
        </w:trPr>
        <w:tc>
          <w:tcPr>
            <w:tcW w:w="1546" w:type="pct"/>
            <w:gridSpan w:val="3"/>
            <w:tcBorders>
              <w:left w:val="nil"/>
              <w:right w:val="nil"/>
            </w:tcBorders>
            <w:shd w:val="clear" w:color="auto" w:fill="auto"/>
            <w:noWrap/>
            <w:tcMar>
              <w:top w:w="15" w:type="dxa"/>
              <w:left w:w="15" w:type="dxa"/>
              <w:bottom w:w="0" w:type="dxa"/>
              <w:right w:w="15" w:type="dxa"/>
            </w:tcMar>
            <w:vAlign w:val="bottom"/>
          </w:tcPr>
          <w:p w14:paraId="1D59D03E"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right w:val="nil"/>
            </w:tcBorders>
          </w:tcPr>
          <w:p w14:paraId="199698A4"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650" w:type="pct"/>
            <w:gridSpan w:val="2"/>
            <w:tcBorders>
              <w:left w:val="nil"/>
              <w:right w:val="nil"/>
            </w:tcBorders>
            <w:shd w:val="clear" w:color="auto" w:fill="auto"/>
            <w:noWrap/>
            <w:tcMar>
              <w:top w:w="15" w:type="dxa"/>
              <w:left w:w="15" w:type="dxa"/>
              <w:bottom w:w="0" w:type="dxa"/>
              <w:right w:w="15" w:type="dxa"/>
            </w:tcMar>
            <w:vAlign w:val="bottom"/>
          </w:tcPr>
          <w:p w14:paraId="416A954F"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right w:val="nil"/>
            </w:tcBorders>
            <w:shd w:val="clear" w:color="auto" w:fill="auto"/>
            <w:noWrap/>
            <w:tcMar>
              <w:top w:w="15" w:type="dxa"/>
              <w:left w:w="15" w:type="dxa"/>
              <w:bottom w:w="0" w:type="dxa"/>
              <w:right w:w="15" w:type="dxa"/>
            </w:tcMar>
            <w:vAlign w:val="bottom"/>
          </w:tcPr>
          <w:p w14:paraId="30EEC759"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548" w:type="pct"/>
            <w:tcBorders>
              <w:left w:val="nil"/>
              <w:right w:val="nil"/>
            </w:tcBorders>
            <w:shd w:val="clear" w:color="auto" w:fill="auto"/>
            <w:noWrap/>
            <w:tcMar>
              <w:top w:w="15" w:type="dxa"/>
              <w:left w:w="15" w:type="dxa"/>
              <w:bottom w:w="0" w:type="dxa"/>
              <w:right w:w="15" w:type="dxa"/>
            </w:tcMar>
            <w:vAlign w:val="bottom"/>
          </w:tcPr>
          <w:p w14:paraId="53627E64"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858" w:type="pct"/>
            <w:gridSpan w:val="2"/>
            <w:tcBorders>
              <w:left w:val="nil"/>
              <w:right w:val="nil"/>
            </w:tcBorders>
            <w:shd w:val="clear" w:color="auto" w:fill="auto"/>
            <w:noWrap/>
            <w:tcMar>
              <w:top w:w="15" w:type="dxa"/>
              <w:left w:w="15" w:type="dxa"/>
              <w:bottom w:w="0" w:type="dxa"/>
              <w:right w:w="15" w:type="dxa"/>
            </w:tcMar>
            <w:vAlign w:val="bottom"/>
          </w:tcPr>
          <w:p w14:paraId="0497B319" w14:textId="77777777" w:rsidR="004577A7" w:rsidRPr="00AB31E6" w:rsidRDefault="004577A7" w:rsidP="00EC5AF3">
            <w:pPr>
              <w:spacing w:after="0" w:line="240" w:lineRule="auto"/>
              <w:rPr>
                <w:rFonts w:ascii="Times New Roman" w:hAnsi="Times New Roman" w:cs="Times New Roman"/>
                <w:color w:val="000000"/>
                <w:sz w:val="20"/>
                <w:szCs w:val="20"/>
              </w:rPr>
            </w:pPr>
          </w:p>
        </w:tc>
      </w:tr>
      <w:tr w:rsidR="004577A7" w:rsidRPr="00AB31E6" w14:paraId="5C25F19A" w14:textId="77777777" w:rsidTr="00EC5AF3">
        <w:tblPrEx>
          <w:tblCellMar>
            <w:left w:w="0" w:type="dxa"/>
            <w:right w:w="0" w:type="dxa"/>
          </w:tblCellMar>
        </w:tblPrEx>
        <w:trPr>
          <w:trHeight w:hRule="exact" w:val="95"/>
        </w:trPr>
        <w:tc>
          <w:tcPr>
            <w:tcW w:w="1546" w:type="pct"/>
            <w:gridSpan w:val="3"/>
            <w:tcBorders>
              <w:left w:val="nil"/>
              <w:bottom w:val="single" w:sz="12" w:space="0" w:color="auto"/>
              <w:right w:val="nil"/>
            </w:tcBorders>
            <w:shd w:val="clear" w:color="auto" w:fill="auto"/>
            <w:noWrap/>
            <w:tcMar>
              <w:top w:w="15" w:type="dxa"/>
              <w:left w:w="15" w:type="dxa"/>
              <w:bottom w:w="0" w:type="dxa"/>
              <w:right w:w="15" w:type="dxa"/>
            </w:tcMar>
            <w:vAlign w:val="bottom"/>
          </w:tcPr>
          <w:p w14:paraId="0A697C2F"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720" w:type="pct"/>
            <w:gridSpan w:val="2"/>
            <w:tcBorders>
              <w:left w:val="nil"/>
              <w:bottom w:val="single" w:sz="12" w:space="0" w:color="auto"/>
              <w:right w:val="nil"/>
            </w:tcBorders>
          </w:tcPr>
          <w:p w14:paraId="0BCDBE7D"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650" w:type="pct"/>
            <w:gridSpan w:val="2"/>
            <w:tcBorders>
              <w:left w:val="nil"/>
              <w:bottom w:val="single" w:sz="12" w:space="0" w:color="auto"/>
              <w:right w:val="nil"/>
            </w:tcBorders>
            <w:shd w:val="clear" w:color="auto" w:fill="auto"/>
            <w:noWrap/>
            <w:tcMar>
              <w:top w:w="15" w:type="dxa"/>
              <w:left w:w="15" w:type="dxa"/>
              <w:bottom w:w="0" w:type="dxa"/>
              <w:right w:w="15" w:type="dxa"/>
            </w:tcMar>
            <w:vAlign w:val="bottom"/>
          </w:tcPr>
          <w:p w14:paraId="6F1189B7" w14:textId="77777777" w:rsidR="004577A7" w:rsidRPr="00AB31E6" w:rsidRDefault="004577A7" w:rsidP="00EC5AF3">
            <w:pPr>
              <w:spacing w:after="0" w:line="240" w:lineRule="auto"/>
              <w:jc w:val="center"/>
              <w:rPr>
                <w:rFonts w:ascii="Times New Roman" w:hAnsi="Times New Roman" w:cs="Times New Roman"/>
                <w:color w:val="000000"/>
                <w:sz w:val="20"/>
                <w:szCs w:val="20"/>
              </w:rPr>
            </w:pPr>
          </w:p>
        </w:tc>
        <w:tc>
          <w:tcPr>
            <w:tcW w:w="678" w:type="pct"/>
            <w:gridSpan w:val="2"/>
            <w:tcBorders>
              <w:left w:val="nil"/>
              <w:bottom w:val="single" w:sz="12" w:space="0" w:color="auto"/>
              <w:right w:val="nil"/>
            </w:tcBorders>
            <w:shd w:val="clear" w:color="auto" w:fill="auto"/>
            <w:noWrap/>
            <w:tcMar>
              <w:top w:w="15" w:type="dxa"/>
              <w:left w:w="15" w:type="dxa"/>
              <w:bottom w:w="0" w:type="dxa"/>
              <w:right w:w="15" w:type="dxa"/>
            </w:tcMar>
            <w:vAlign w:val="bottom"/>
          </w:tcPr>
          <w:p w14:paraId="0EDD1630"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548" w:type="pct"/>
            <w:tcBorders>
              <w:left w:val="nil"/>
              <w:bottom w:val="single" w:sz="12" w:space="0" w:color="auto"/>
              <w:right w:val="nil"/>
            </w:tcBorders>
            <w:shd w:val="clear" w:color="auto" w:fill="auto"/>
            <w:noWrap/>
            <w:tcMar>
              <w:top w:w="15" w:type="dxa"/>
              <w:left w:w="15" w:type="dxa"/>
              <w:bottom w:w="0" w:type="dxa"/>
              <w:right w:w="15" w:type="dxa"/>
            </w:tcMar>
            <w:vAlign w:val="bottom"/>
          </w:tcPr>
          <w:p w14:paraId="52A8E7B5" w14:textId="77777777" w:rsidR="004577A7" w:rsidRPr="00AB31E6" w:rsidRDefault="004577A7" w:rsidP="00EC5AF3">
            <w:pPr>
              <w:spacing w:after="0" w:line="240" w:lineRule="auto"/>
              <w:rPr>
                <w:rFonts w:ascii="Times New Roman" w:hAnsi="Times New Roman" w:cs="Times New Roman"/>
                <w:color w:val="000000"/>
                <w:sz w:val="20"/>
                <w:szCs w:val="20"/>
              </w:rPr>
            </w:pPr>
          </w:p>
        </w:tc>
        <w:tc>
          <w:tcPr>
            <w:tcW w:w="858" w:type="pct"/>
            <w:gridSpan w:val="2"/>
            <w:tcBorders>
              <w:left w:val="nil"/>
              <w:bottom w:val="single" w:sz="12" w:space="0" w:color="auto"/>
              <w:right w:val="nil"/>
            </w:tcBorders>
            <w:shd w:val="clear" w:color="auto" w:fill="auto"/>
            <w:noWrap/>
            <w:tcMar>
              <w:top w:w="15" w:type="dxa"/>
              <w:left w:w="15" w:type="dxa"/>
              <w:bottom w:w="0" w:type="dxa"/>
              <w:right w:w="15" w:type="dxa"/>
            </w:tcMar>
            <w:vAlign w:val="bottom"/>
          </w:tcPr>
          <w:p w14:paraId="34CDF467" w14:textId="77777777" w:rsidR="004577A7" w:rsidRPr="00AB31E6" w:rsidRDefault="004577A7" w:rsidP="00EC5AF3">
            <w:pPr>
              <w:spacing w:after="0" w:line="240" w:lineRule="auto"/>
              <w:rPr>
                <w:rFonts w:ascii="Times New Roman" w:hAnsi="Times New Roman" w:cs="Times New Roman"/>
                <w:color w:val="000000"/>
                <w:sz w:val="20"/>
                <w:szCs w:val="20"/>
              </w:rPr>
            </w:pPr>
          </w:p>
        </w:tc>
      </w:tr>
    </w:tbl>
    <w:p w14:paraId="36B28726" w14:textId="1AF4F301" w:rsidR="004577A7" w:rsidRDefault="004577A7" w:rsidP="004577A7">
      <w:pPr>
        <w:ind w:right="180"/>
        <w:jc w:val="both"/>
        <w:rPr>
          <w:rFonts w:ascii="Times New Roman" w:eastAsia="Times New Roman" w:hAnsi="Times New Roman" w:cs="Times New Roman"/>
          <w:color w:val="000000"/>
          <w:sz w:val="20"/>
          <w:szCs w:val="20"/>
        </w:rPr>
      </w:pPr>
      <w:r w:rsidRPr="00A85756">
        <w:rPr>
          <w:rFonts w:ascii="Times New Roman" w:eastAsia="Times New Roman" w:hAnsi="Times New Roman" w:cs="Times New Roman"/>
          <w:color w:val="000000"/>
          <w:sz w:val="20"/>
          <w:szCs w:val="20"/>
        </w:rPr>
        <w:t xml:space="preserve">The table presents </w:t>
      </w:r>
      <w:r>
        <w:rPr>
          <w:rFonts w:ascii="Times New Roman" w:eastAsia="Times New Roman" w:hAnsi="Times New Roman" w:cs="Times New Roman"/>
          <w:color w:val="000000"/>
          <w:sz w:val="20"/>
          <w:szCs w:val="20"/>
        </w:rPr>
        <w:t xml:space="preserve">the mean values of the individual risk metrics, and an aggregate risk measure, for </w:t>
      </w:r>
      <w:r w:rsidRPr="00A85756">
        <w:rPr>
          <w:rFonts w:ascii="Times New Roman" w:eastAsia="Times New Roman" w:hAnsi="Times New Roman" w:cs="Times New Roman"/>
          <w:color w:val="000000"/>
          <w:sz w:val="20"/>
          <w:szCs w:val="20"/>
        </w:rPr>
        <w:t>SPAC- and non-SPAC-IPO</w:t>
      </w:r>
      <w:r>
        <w:rPr>
          <w:rFonts w:ascii="Times New Roman" w:eastAsia="Times New Roman" w:hAnsi="Times New Roman" w:cs="Times New Roman"/>
          <w:color w:val="000000"/>
          <w:sz w:val="20"/>
          <w:szCs w:val="20"/>
        </w:rPr>
        <w:t xml:space="preserve">s. </w:t>
      </w:r>
      <w:r w:rsidRPr="00A85756">
        <w:rPr>
          <w:rFonts w:ascii="Times New Roman" w:eastAsia="Times New Roman" w:hAnsi="Times New Roman" w:cs="Times New Roman"/>
          <w:color w:val="000000"/>
          <w:sz w:val="20"/>
          <w:szCs w:val="20"/>
        </w:rPr>
        <w:t>Panel A presents the mean</w:t>
      </w:r>
      <w:r>
        <w:rPr>
          <w:rFonts w:ascii="Times New Roman" w:eastAsia="Times New Roman" w:hAnsi="Times New Roman" w:cs="Times New Roman"/>
          <w:color w:val="000000"/>
          <w:sz w:val="20"/>
          <w:szCs w:val="20"/>
        </w:rPr>
        <w:t xml:space="preserve"> values of</w:t>
      </w:r>
      <w:r w:rsidRPr="00A85756">
        <w:rPr>
          <w:rFonts w:ascii="Times New Roman" w:eastAsia="Times New Roman" w:hAnsi="Times New Roman" w:cs="Times New Roman"/>
          <w:color w:val="000000"/>
          <w:sz w:val="20"/>
          <w:szCs w:val="20"/>
        </w:rPr>
        <w:t xml:space="preserve"> </w:t>
      </w:r>
      <w:r w:rsidRPr="00A85756">
        <w:rPr>
          <w:rFonts w:ascii="Times New Roman" w:eastAsia="Times New Roman" w:hAnsi="Times New Roman" w:cs="Times New Roman"/>
          <w:i/>
          <w:iCs/>
          <w:color w:val="000000"/>
          <w:sz w:val="20"/>
          <w:szCs w:val="20"/>
        </w:rPr>
        <w:t>MATERIALWEAKNESS</w:t>
      </w:r>
      <w:r>
        <w:rPr>
          <w:rFonts w:ascii="Times New Roman" w:eastAsia="Times New Roman" w:hAnsi="Times New Roman" w:cs="Times New Roman"/>
          <w:iCs/>
          <w:color w:val="000000"/>
          <w:sz w:val="20"/>
          <w:szCs w:val="20"/>
        </w:rPr>
        <w:t xml:space="preserve">, </w:t>
      </w:r>
      <w:r>
        <w:rPr>
          <w:rFonts w:ascii="Times New Roman" w:eastAsia="Times New Roman" w:hAnsi="Times New Roman" w:cs="Times New Roman"/>
          <w:i/>
          <w:iCs/>
          <w:color w:val="000000"/>
          <w:sz w:val="20"/>
          <w:szCs w:val="20"/>
        </w:rPr>
        <w:t>RESTATE, R</w:t>
      </w:r>
      <w:r w:rsidRPr="00A85756">
        <w:rPr>
          <w:rFonts w:ascii="Times New Roman" w:eastAsia="Times New Roman" w:hAnsi="Times New Roman" w:cs="Times New Roman"/>
          <w:i/>
          <w:iCs/>
          <w:color w:val="000000"/>
          <w:sz w:val="20"/>
          <w:szCs w:val="20"/>
        </w:rPr>
        <w:t>ESTATE</w:t>
      </w:r>
      <w:r>
        <w:rPr>
          <w:rFonts w:ascii="Times New Roman" w:eastAsia="Times New Roman" w:hAnsi="Times New Roman" w:cs="Times New Roman"/>
          <w:i/>
          <w:iCs/>
          <w:color w:val="000000"/>
          <w:sz w:val="20"/>
          <w:szCs w:val="20"/>
        </w:rPr>
        <w:t>_ANNOUNCE</w:t>
      </w:r>
      <w:r>
        <w:rPr>
          <w:rFonts w:ascii="Times New Roman" w:eastAsia="Times New Roman" w:hAnsi="Times New Roman" w:cs="Times New Roman"/>
          <w:iCs/>
          <w:color w:val="000000"/>
          <w:sz w:val="20"/>
          <w:szCs w:val="20"/>
        </w:rPr>
        <w:t xml:space="preserve">, </w:t>
      </w:r>
      <w:r w:rsidRPr="00A85756">
        <w:rPr>
          <w:rFonts w:ascii="Times New Roman" w:eastAsia="Times New Roman" w:hAnsi="Times New Roman" w:cs="Times New Roman"/>
          <w:i/>
          <w:iCs/>
          <w:color w:val="000000"/>
          <w:sz w:val="20"/>
          <w:szCs w:val="20"/>
        </w:rPr>
        <w:t>NONTIMELY</w:t>
      </w:r>
      <w:r>
        <w:rPr>
          <w:rFonts w:ascii="Times New Roman" w:eastAsia="Times New Roman" w:hAnsi="Times New Roman" w:cs="Times New Roman"/>
          <w:iCs/>
          <w:color w:val="000000"/>
          <w:sz w:val="20"/>
          <w:szCs w:val="20"/>
        </w:rPr>
        <w:t xml:space="preserve">, </w:t>
      </w:r>
      <w:r w:rsidRPr="00AF0DCE">
        <w:rPr>
          <w:rFonts w:ascii="Times New Roman" w:eastAsia="Times New Roman" w:hAnsi="Times New Roman" w:cs="Times New Roman"/>
          <w:i/>
          <w:iCs/>
          <w:color w:val="000000"/>
          <w:sz w:val="20"/>
          <w:szCs w:val="20"/>
        </w:rPr>
        <w:t>NON</w:t>
      </w:r>
      <w:r w:rsidRPr="00A85756">
        <w:rPr>
          <w:rFonts w:ascii="Times New Roman" w:eastAsia="Times New Roman" w:hAnsi="Times New Roman" w:cs="Times New Roman"/>
          <w:i/>
          <w:iCs/>
          <w:color w:val="000000"/>
          <w:sz w:val="20"/>
          <w:szCs w:val="20"/>
        </w:rPr>
        <w:t>BIG4</w:t>
      </w:r>
      <w:r>
        <w:rPr>
          <w:rFonts w:ascii="Times New Roman" w:eastAsia="Times New Roman" w:hAnsi="Times New Roman" w:cs="Times New Roman"/>
          <w:iCs/>
          <w:color w:val="000000"/>
          <w:sz w:val="20"/>
          <w:szCs w:val="20"/>
        </w:rPr>
        <w:t xml:space="preserve">, </w:t>
      </w:r>
      <w:r w:rsidRPr="00CB2BDB">
        <w:rPr>
          <w:rFonts w:ascii="Times New Roman" w:eastAsia="Times New Roman" w:hAnsi="Times New Roman" w:cs="Times New Roman"/>
          <w:i/>
          <w:iCs/>
          <w:color w:val="000000"/>
          <w:sz w:val="20"/>
          <w:szCs w:val="20"/>
        </w:rPr>
        <w:t>HIGHACCRUALS</w:t>
      </w:r>
      <w:r>
        <w:rPr>
          <w:rFonts w:ascii="Times New Roman" w:eastAsia="Times New Roman" w:hAnsi="Times New Roman" w:cs="Times New Roman"/>
          <w:iCs/>
          <w:color w:val="000000"/>
          <w:sz w:val="20"/>
          <w:szCs w:val="20"/>
        </w:rPr>
        <w:t xml:space="preserve">, and </w:t>
      </w:r>
      <w:r w:rsidRPr="00AF0DCE">
        <w:rPr>
          <w:rFonts w:ascii="Times New Roman" w:eastAsia="Times New Roman" w:hAnsi="Times New Roman" w:cs="Times New Roman"/>
          <w:i/>
          <w:iCs/>
          <w:color w:val="000000"/>
          <w:sz w:val="20"/>
          <w:szCs w:val="20"/>
        </w:rPr>
        <w:t>NON</w:t>
      </w:r>
      <w:r w:rsidRPr="00CB2BDB">
        <w:rPr>
          <w:rFonts w:ascii="Times New Roman" w:eastAsia="Times New Roman" w:hAnsi="Times New Roman" w:cs="Times New Roman"/>
          <w:i/>
          <w:iCs/>
          <w:color w:val="000000"/>
          <w:sz w:val="20"/>
          <w:szCs w:val="20"/>
        </w:rPr>
        <w:t>NYSE</w:t>
      </w:r>
      <w:r w:rsidRPr="00A85756">
        <w:rPr>
          <w:rFonts w:ascii="Times New Roman" w:eastAsia="Times New Roman" w:hAnsi="Times New Roman" w:cs="Times New Roman"/>
          <w:color w:val="000000"/>
          <w:sz w:val="20"/>
          <w:szCs w:val="20"/>
        </w:rPr>
        <w:t xml:space="preserve"> for SPAC- and non-SPAC-</w:t>
      </w:r>
      <w:r w:rsidRPr="00A85756">
        <w:rPr>
          <w:rFonts w:ascii="Times New Roman" w:eastAsia="Times New Roman" w:hAnsi="Times New Roman" w:cs="Times New Roman"/>
          <w:color w:val="000000"/>
          <w:sz w:val="20"/>
          <w:szCs w:val="20"/>
        </w:rPr>
        <w:lastRenderedPageBreak/>
        <w:t xml:space="preserve">IPO firms </w:t>
      </w:r>
      <w:r>
        <w:rPr>
          <w:rFonts w:ascii="Times New Roman" w:eastAsia="Times New Roman" w:hAnsi="Times New Roman" w:cs="Times New Roman"/>
          <w:color w:val="000000"/>
          <w:sz w:val="20"/>
          <w:szCs w:val="20"/>
        </w:rPr>
        <w:t>for Y</w:t>
      </w:r>
      <w:r w:rsidRPr="00A85756">
        <w:rPr>
          <w:rFonts w:ascii="Times New Roman" w:eastAsia="Times New Roman" w:hAnsi="Times New Roman" w:cs="Times New Roman"/>
          <w:color w:val="000000"/>
          <w:sz w:val="20"/>
          <w:szCs w:val="20"/>
        </w:rPr>
        <w:t>ears t+1 and t+</w:t>
      </w:r>
      <w:r>
        <w:rPr>
          <w:rFonts w:ascii="Times New Roman" w:eastAsia="Times New Roman" w:hAnsi="Times New Roman" w:cs="Times New Roman"/>
          <w:color w:val="000000"/>
          <w:sz w:val="20"/>
          <w:szCs w:val="20"/>
        </w:rPr>
        <w:t>2</w:t>
      </w:r>
      <w:r w:rsidRPr="00A85756">
        <w:rPr>
          <w:rFonts w:ascii="Times New Roman" w:eastAsia="Times New Roman" w:hAnsi="Times New Roman" w:cs="Times New Roman"/>
          <w:color w:val="000000"/>
          <w:sz w:val="20"/>
          <w:szCs w:val="20"/>
        </w:rPr>
        <w:t xml:space="preserve">. </w:t>
      </w:r>
      <w:r w:rsidRPr="00CB2BDB">
        <w:rPr>
          <w:rFonts w:ascii="Times New Roman" w:eastAsia="Times New Roman" w:hAnsi="Times New Roman" w:cs="Times New Roman"/>
          <w:i/>
          <w:color w:val="000000"/>
          <w:sz w:val="20"/>
          <w:szCs w:val="20"/>
        </w:rPr>
        <w:t>RISK</w:t>
      </w:r>
      <w:r>
        <w:rPr>
          <w:rFonts w:ascii="Times New Roman" w:eastAsia="Times New Roman" w:hAnsi="Times New Roman" w:cs="Times New Roman"/>
          <w:color w:val="000000"/>
          <w:sz w:val="20"/>
          <w:szCs w:val="20"/>
        </w:rPr>
        <w:t xml:space="preserve"> is the sum of </w:t>
      </w:r>
      <w:r w:rsidRPr="00A85756">
        <w:rPr>
          <w:rFonts w:ascii="Times New Roman" w:eastAsia="Times New Roman" w:hAnsi="Times New Roman" w:cs="Times New Roman"/>
          <w:i/>
          <w:iCs/>
          <w:color w:val="000000"/>
          <w:sz w:val="20"/>
          <w:szCs w:val="20"/>
        </w:rPr>
        <w:t>MATERIALWEAKNESS</w:t>
      </w:r>
      <w:r>
        <w:rPr>
          <w:rFonts w:ascii="Times New Roman" w:eastAsia="Times New Roman" w:hAnsi="Times New Roman" w:cs="Times New Roman"/>
          <w:iCs/>
          <w:color w:val="000000"/>
          <w:sz w:val="20"/>
          <w:szCs w:val="20"/>
        </w:rPr>
        <w:t xml:space="preserve">, </w:t>
      </w:r>
      <w:r w:rsidRPr="00A85756">
        <w:rPr>
          <w:rFonts w:ascii="Times New Roman" w:eastAsia="Times New Roman" w:hAnsi="Times New Roman" w:cs="Times New Roman"/>
          <w:i/>
          <w:iCs/>
          <w:color w:val="000000"/>
          <w:sz w:val="20"/>
          <w:szCs w:val="20"/>
        </w:rPr>
        <w:t>RESTATE</w:t>
      </w:r>
      <w:r>
        <w:rPr>
          <w:rFonts w:ascii="Times New Roman" w:eastAsia="Times New Roman" w:hAnsi="Times New Roman" w:cs="Times New Roman"/>
          <w:i/>
          <w:iCs/>
          <w:color w:val="000000"/>
          <w:sz w:val="20"/>
          <w:szCs w:val="20"/>
        </w:rPr>
        <w:t>_ANNOUNCE</w:t>
      </w:r>
      <w:r>
        <w:rPr>
          <w:rFonts w:ascii="Times New Roman" w:eastAsia="Times New Roman" w:hAnsi="Times New Roman" w:cs="Times New Roman"/>
          <w:iCs/>
          <w:color w:val="000000"/>
          <w:sz w:val="20"/>
          <w:szCs w:val="20"/>
        </w:rPr>
        <w:t xml:space="preserve">, </w:t>
      </w:r>
      <w:r w:rsidRPr="00A85756">
        <w:rPr>
          <w:rFonts w:ascii="Times New Roman" w:eastAsia="Times New Roman" w:hAnsi="Times New Roman" w:cs="Times New Roman"/>
          <w:i/>
          <w:iCs/>
          <w:color w:val="000000"/>
          <w:sz w:val="20"/>
          <w:szCs w:val="20"/>
        </w:rPr>
        <w:t>NONTIMELY</w:t>
      </w:r>
      <w:r>
        <w:rPr>
          <w:rFonts w:ascii="Times New Roman" w:eastAsia="Times New Roman" w:hAnsi="Times New Roman" w:cs="Times New Roman"/>
          <w:iCs/>
          <w:color w:val="000000"/>
          <w:sz w:val="20"/>
          <w:szCs w:val="20"/>
        </w:rPr>
        <w:t xml:space="preserve">, </w:t>
      </w:r>
      <w:r w:rsidRPr="00AF0DCE">
        <w:rPr>
          <w:rFonts w:ascii="Times New Roman" w:eastAsia="Times New Roman" w:hAnsi="Times New Roman" w:cs="Times New Roman"/>
          <w:i/>
          <w:iCs/>
          <w:color w:val="000000"/>
          <w:sz w:val="20"/>
          <w:szCs w:val="20"/>
        </w:rPr>
        <w:t>NON</w:t>
      </w:r>
      <w:r w:rsidRPr="00A85756">
        <w:rPr>
          <w:rFonts w:ascii="Times New Roman" w:eastAsia="Times New Roman" w:hAnsi="Times New Roman" w:cs="Times New Roman"/>
          <w:i/>
          <w:iCs/>
          <w:color w:val="000000"/>
          <w:sz w:val="20"/>
          <w:szCs w:val="20"/>
        </w:rPr>
        <w:t>BIG4</w:t>
      </w:r>
      <w:r>
        <w:rPr>
          <w:rFonts w:ascii="Times New Roman" w:eastAsia="Times New Roman" w:hAnsi="Times New Roman" w:cs="Times New Roman"/>
          <w:iCs/>
          <w:color w:val="000000"/>
          <w:sz w:val="20"/>
          <w:szCs w:val="20"/>
        </w:rPr>
        <w:t xml:space="preserve">, </w:t>
      </w:r>
      <w:r w:rsidRPr="00CB2BDB">
        <w:rPr>
          <w:rFonts w:ascii="Times New Roman" w:eastAsia="Times New Roman" w:hAnsi="Times New Roman" w:cs="Times New Roman"/>
          <w:i/>
          <w:iCs/>
          <w:color w:val="000000"/>
          <w:sz w:val="20"/>
          <w:szCs w:val="20"/>
        </w:rPr>
        <w:t>HIGHACCRUALS</w:t>
      </w:r>
      <w:r>
        <w:rPr>
          <w:rFonts w:ascii="Times New Roman" w:eastAsia="Times New Roman" w:hAnsi="Times New Roman" w:cs="Times New Roman"/>
          <w:iCs/>
          <w:color w:val="000000"/>
          <w:sz w:val="20"/>
          <w:szCs w:val="20"/>
        </w:rPr>
        <w:t xml:space="preserve">, and </w:t>
      </w:r>
      <w:r w:rsidRPr="00AF0DCE">
        <w:rPr>
          <w:rFonts w:ascii="Times New Roman" w:eastAsia="Times New Roman" w:hAnsi="Times New Roman" w:cs="Times New Roman"/>
          <w:i/>
          <w:iCs/>
          <w:color w:val="000000"/>
          <w:sz w:val="20"/>
          <w:szCs w:val="20"/>
        </w:rPr>
        <w:t>NON</w:t>
      </w:r>
      <w:r w:rsidRPr="00CB2BDB">
        <w:rPr>
          <w:rFonts w:ascii="Times New Roman" w:eastAsia="Times New Roman" w:hAnsi="Times New Roman" w:cs="Times New Roman"/>
          <w:i/>
          <w:iCs/>
          <w:color w:val="000000"/>
          <w:sz w:val="20"/>
          <w:szCs w:val="20"/>
        </w:rPr>
        <w:t>NYSE</w:t>
      </w:r>
      <w:r>
        <w:rPr>
          <w:rFonts w:ascii="Times New Roman" w:eastAsia="Times New Roman" w:hAnsi="Times New Roman" w:cs="Times New Roman"/>
          <w:iCs/>
          <w:color w:val="000000"/>
          <w:sz w:val="20"/>
          <w:szCs w:val="20"/>
        </w:rPr>
        <w:t xml:space="preserve">. The statistical significance of the differences in the risk metrics between SPAC- and non-SPAC-IPOs are denoted adjacent to the non-SPAC-IPO numbers. </w:t>
      </w:r>
      <w:r>
        <w:rPr>
          <w:rFonts w:ascii="Times New Roman" w:eastAsia="Times New Roman" w:hAnsi="Times New Roman" w:cs="Times New Roman"/>
          <w:color w:val="000000"/>
          <w:sz w:val="20"/>
          <w:szCs w:val="20"/>
        </w:rPr>
        <w:t xml:space="preserve">Panel B presents logistic regression results for the Years t+1 and t+2 with the exception of </w:t>
      </w:r>
      <w:r>
        <w:rPr>
          <w:rFonts w:ascii="Times New Roman" w:eastAsia="Times New Roman" w:hAnsi="Times New Roman" w:cs="Times New Roman"/>
          <w:i/>
          <w:color w:val="000000"/>
          <w:sz w:val="20"/>
          <w:szCs w:val="20"/>
        </w:rPr>
        <w:t>RISK</w:t>
      </w:r>
      <w:r>
        <w:rPr>
          <w:rFonts w:ascii="Times New Roman" w:eastAsia="Times New Roman" w:hAnsi="Times New Roman" w:cs="Times New Roman"/>
          <w:color w:val="000000"/>
          <w:sz w:val="20"/>
          <w:szCs w:val="20"/>
        </w:rPr>
        <w:t xml:space="preserve"> which is estimated using ordinary least squares regressions. </w:t>
      </w:r>
      <w:r w:rsidRPr="00623B81">
        <w:rPr>
          <w:rFonts w:ascii="Times New Roman" w:eastAsia="Times New Roman" w:hAnsi="Times New Roman" w:cs="Times New Roman"/>
          <w:color w:val="000000"/>
          <w:sz w:val="20"/>
          <w:szCs w:val="20"/>
        </w:rPr>
        <w:t>All continuous variables are winsorized at the 1st and 99th percentiles. See Appendix A for variable definitions. *, **, and *** represent statistical significance at the 10%, 5%, and 1% levels, respectively, for</w:t>
      </w:r>
      <w:r>
        <w:rPr>
          <w:rFonts w:ascii="Times New Roman" w:eastAsia="Times New Roman" w:hAnsi="Times New Roman" w:cs="Times New Roman"/>
          <w:color w:val="000000"/>
          <w:sz w:val="20"/>
          <w:szCs w:val="20"/>
        </w:rPr>
        <w:t xml:space="preserve"> a two-tailed test.</w:t>
      </w:r>
    </w:p>
    <w:p w14:paraId="54AD574E" w14:textId="77777777" w:rsidR="003F7B0F" w:rsidRDefault="003F7B0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0D5B11C0" w14:textId="4470E37D" w:rsidR="00605F18" w:rsidRDefault="003F7B0F" w:rsidP="00BC6405">
      <w:pPr>
        <w:tabs>
          <w:tab w:val="left" w:pos="1315"/>
        </w:tabs>
        <w:spacing w:after="0" w:line="240" w:lineRule="auto"/>
        <w:jc w:val="both"/>
        <w:rPr>
          <w:rFonts w:ascii="Times New Roman" w:hAnsi="Times New Roman" w:cs="Times New Roman"/>
          <w:b/>
        </w:rPr>
      </w:pPr>
      <w:r w:rsidRPr="00973A7A">
        <w:rPr>
          <w:rFonts w:ascii="Times New Roman" w:hAnsi="Times New Roman" w:cs="Times New Roman"/>
          <w:b/>
        </w:rPr>
        <w:lastRenderedPageBreak/>
        <w:t xml:space="preserve">Table </w:t>
      </w:r>
      <w:r>
        <w:rPr>
          <w:rFonts w:ascii="Times New Roman" w:hAnsi="Times New Roman" w:cs="Times New Roman"/>
          <w:b/>
        </w:rPr>
        <w:t>1</w:t>
      </w:r>
      <w:r w:rsidR="00B64F05">
        <w:rPr>
          <w:rFonts w:ascii="Times New Roman" w:hAnsi="Times New Roman" w:cs="Times New Roman"/>
          <w:b/>
        </w:rPr>
        <w:t>1</w:t>
      </w:r>
      <w:r w:rsidRPr="00973A7A">
        <w:rPr>
          <w:rFonts w:ascii="Times New Roman" w:hAnsi="Times New Roman" w:cs="Times New Roman"/>
          <w:b/>
        </w:rPr>
        <w:t xml:space="preserve"> </w:t>
      </w:r>
    </w:p>
    <w:p w14:paraId="4BF519E1" w14:textId="73AC9AE4" w:rsidR="003F7B0F" w:rsidRDefault="003F7B0F" w:rsidP="00BC6405">
      <w:pPr>
        <w:tabs>
          <w:tab w:val="left" w:pos="1315"/>
        </w:tabs>
        <w:spacing w:after="0" w:line="240" w:lineRule="auto"/>
        <w:jc w:val="both"/>
        <w:rPr>
          <w:rFonts w:ascii="Times New Roman" w:hAnsi="Times New Roman" w:cs="Times New Roman"/>
        </w:rPr>
      </w:pPr>
      <w:r>
        <w:rPr>
          <w:rFonts w:ascii="Times New Roman" w:hAnsi="Times New Roman" w:cs="Times New Roman"/>
        </w:rPr>
        <w:t xml:space="preserve">Long-term </w:t>
      </w:r>
      <w:r w:rsidR="00767FD0">
        <w:rPr>
          <w:rFonts w:ascii="Times New Roman" w:hAnsi="Times New Roman" w:cs="Times New Roman"/>
        </w:rPr>
        <w:t xml:space="preserve">Stock Performance </w:t>
      </w:r>
      <w:r>
        <w:rPr>
          <w:rFonts w:ascii="Times New Roman" w:hAnsi="Times New Roman" w:cs="Times New Roman"/>
        </w:rPr>
        <w:t>of SPAC-IPOs</w:t>
      </w:r>
      <w:r w:rsidR="00605F18">
        <w:rPr>
          <w:rFonts w:ascii="Times New Roman" w:hAnsi="Times New Roman" w:cs="Times New Roman"/>
        </w:rPr>
        <w:t>.</w:t>
      </w:r>
      <w:r>
        <w:rPr>
          <w:rFonts w:ascii="Times New Roman" w:hAnsi="Times New Roman" w:cs="Times New Roman"/>
        </w:rPr>
        <w:t xml:space="preserve"> </w:t>
      </w:r>
    </w:p>
    <w:p w14:paraId="14EEABAD" w14:textId="77777777" w:rsidR="003F7B0F" w:rsidRPr="00A7398D" w:rsidRDefault="003F7B0F" w:rsidP="003F7B0F">
      <w:pPr>
        <w:spacing w:after="0" w:line="240" w:lineRule="auto"/>
        <w:jc w:val="center"/>
        <w:rPr>
          <w:rFonts w:ascii="Times New Roman" w:hAnsi="Times New Roman" w:cs="Times New Roman"/>
        </w:rPr>
      </w:pPr>
    </w:p>
    <w:tbl>
      <w:tblPr>
        <w:tblW w:w="5000" w:type="pct"/>
        <w:tblLook w:val="04A0" w:firstRow="1" w:lastRow="0" w:firstColumn="1" w:lastColumn="0" w:noHBand="0" w:noVBand="1"/>
      </w:tblPr>
      <w:tblGrid>
        <w:gridCol w:w="1466"/>
        <w:gridCol w:w="1295"/>
        <w:gridCol w:w="1346"/>
        <w:gridCol w:w="1329"/>
        <w:gridCol w:w="1346"/>
        <w:gridCol w:w="1329"/>
        <w:gridCol w:w="1249"/>
      </w:tblGrid>
      <w:tr w:rsidR="003F7B0F" w:rsidRPr="00D77D01" w14:paraId="6D50BBA4" w14:textId="77777777" w:rsidTr="00D4058E">
        <w:trPr>
          <w:trHeight w:val="315"/>
        </w:trPr>
        <w:tc>
          <w:tcPr>
            <w:tcW w:w="5000" w:type="pct"/>
            <w:gridSpan w:val="7"/>
            <w:tcBorders>
              <w:top w:val="single" w:sz="12" w:space="0" w:color="auto"/>
              <w:left w:val="nil"/>
              <w:bottom w:val="single" w:sz="4" w:space="0" w:color="auto"/>
              <w:right w:val="nil"/>
            </w:tcBorders>
            <w:shd w:val="clear" w:color="auto" w:fill="auto"/>
            <w:noWrap/>
            <w:vAlign w:val="bottom"/>
            <w:hideMark/>
          </w:tcPr>
          <w:p w14:paraId="233CC4A5" w14:textId="77777777" w:rsidR="003F7B0F" w:rsidRPr="00D77D01" w:rsidRDefault="003F7B0F" w:rsidP="009C601C">
            <w:pPr>
              <w:spacing w:after="0" w:line="240" w:lineRule="auto"/>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 xml:space="preserve">Panel A: </w:t>
            </w:r>
            <w:r>
              <w:rPr>
                <w:rFonts w:ascii="Times New Roman" w:eastAsia="Times New Roman" w:hAnsi="Times New Roman" w:cs="Times New Roman"/>
                <w:bCs/>
                <w:color w:val="000000"/>
              </w:rPr>
              <w:t>B</w:t>
            </w:r>
            <w:r w:rsidRPr="00D77D01">
              <w:rPr>
                <w:rFonts w:ascii="Times New Roman" w:eastAsia="Times New Roman" w:hAnsi="Times New Roman" w:cs="Times New Roman"/>
                <w:bCs/>
                <w:color w:val="000000"/>
              </w:rPr>
              <w:t>uy-and-hold return after deal closing date</w:t>
            </w:r>
          </w:p>
        </w:tc>
      </w:tr>
      <w:tr w:rsidR="003F7B0F" w:rsidRPr="00D77D01" w14:paraId="31E47BAD" w14:textId="77777777" w:rsidTr="00D4058E">
        <w:trPr>
          <w:trHeight w:val="315"/>
        </w:trPr>
        <w:tc>
          <w:tcPr>
            <w:tcW w:w="783" w:type="pct"/>
            <w:tcBorders>
              <w:top w:val="single" w:sz="12" w:space="0" w:color="auto"/>
              <w:left w:val="nil"/>
              <w:right w:val="nil"/>
            </w:tcBorders>
            <w:shd w:val="clear" w:color="auto" w:fill="auto"/>
            <w:noWrap/>
            <w:vAlign w:val="bottom"/>
            <w:hideMark/>
          </w:tcPr>
          <w:p w14:paraId="4D3B6A47" w14:textId="77777777" w:rsidR="003F7B0F" w:rsidRPr="00D77D01" w:rsidRDefault="003F7B0F" w:rsidP="009C601C">
            <w:pPr>
              <w:spacing w:after="0" w:line="240" w:lineRule="auto"/>
              <w:rPr>
                <w:rFonts w:ascii="Times New Roman" w:eastAsia="Times New Roman" w:hAnsi="Times New Roman" w:cs="Times New Roman"/>
                <w:color w:val="000000"/>
              </w:rPr>
            </w:pPr>
            <w:r w:rsidRPr="00D77D01">
              <w:rPr>
                <w:rFonts w:ascii="Times New Roman" w:eastAsia="Times New Roman" w:hAnsi="Times New Roman" w:cs="Times New Roman"/>
                <w:color w:val="000000"/>
              </w:rPr>
              <w:t> </w:t>
            </w:r>
          </w:p>
        </w:tc>
        <w:tc>
          <w:tcPr>
            <w:tcW w:w="692" w:type="pct"/>
            <w:vMerge w:val="restart"/>
            <w:tcBorders>
              <w:top w:val="single" w:sz="12" w:space="0" w:color="auto"/>
              <w:left w:val="nil"/>
              <w:right w:val="nil"/>
            </w:tcBorders>
            <w:shd w:val="clear" w:color="auto" w:fill="auto"/>
            <w:noWrap/>
            <w:vAlign w:val="bottom"/>
            <w:hideMark/>
          </w:tcPr>
          <w:p w14:paraId="7B690E9D"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RAW</w:t>
            </w:r>
          </w:p>
        </w:tc>
        <w:tc>
          <w:tcPr>
            <w:tcW w:w="719" w:type="pct"/>
            <w:vMerge w:val="restart"/>
            <w:tcBorders>
              <w:top w:val="single" w:sz="12" w:space="0" w:color="auto"/>
              <w:left w:val="nil"/>
              <w:right w:val="nil"/>
            </w:tcBorders>
            <w:shd w:val="clear" w:color="auto" w:fill="auto"/>
            <w:noWrap/>
            <w:vAlign w:val="bottom"/>
            <w:hideMark/>
          </w:tcPr>
          <w:p w14:paraId="0862A1A9"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CRSP-VW</w:t>
            </w:r>
          </w:p>
        </w:tc>
        <w:tc>
          <w:tcPr>
            <w:tcW w:w="710" w:type="pct"/>
            <w:vMerge w:val="restart"/>
            <w:tcBorders>
              <w:top w:val="single" w:sz="12" w:space="0" w:color="auto"/>
              <w:left w:val="nil"/>
              <w:right w:val="nil"/>
            </w:tcBorders>
            <w:shd w:val="clear" w:color="auto" w:fill="auto"/>
            <w:noWrap/>
            <w:vAlign w:val="bottom"/>
            <w:hideMark/>
          </w:tcPr>
          <w:p w14:paraId="4AE0975A"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CRSP-EW</w:t>
            </w:r>
          </w:p>
        </w:tc>
        <w:tc>
          <w:tcPr>
            <w:tcW w:w="1429" w:type="pct"/>
            <w:gridSpan w:val="2"/>
            <w:tcBorders>
              <w:top w:val="single" w:sz="12" w:space="0" w:color="auto"/>
              <w:left w:val="nil"/>
              <w:right w:val="nil"/>
            </w:tcBorders>
            <w:shd w:val="clear" w:color="auto" w:fill="auto"/>
            <w:noWrap/>
            <w:vAlign w:val="bottom"/>
            <w:hideMark/>
          </w:tcPr>
          <w:p w14:paraId="251B3210" w14:textId="77777777" w:rsidR="003F7B0F" w:rsidRPr="00D4058E" w:rsidRDefault="003F7B0F" w:rsidP="009C601C">
            <w:pPr>
              <w:spacing w:after="0" w:line="240" w:lineRule="auto"/>
              <w:jc w:val="center"/>
              <w:rPr>
                <w:rFonts w:ascii="Times New Roman" w:eastAsia="Times New Roman" w:hAnsi="Times New Roman" w:cs="Times New Roman"/>
                <w:color w:val="000000"/>
              </w:rPr>
            </w:pPr>
            <w:r w:rsidRPr="00D4058E">
              <w:rPr>
                <w:rFonts w:ascii="Times New Roman" w:eastAsia="Times New Roman" w:hAnsi="Times New Roman" w:cs="Times New Roman"/>
                <w:color w:val="000000"/>
              </w:rPr>
              <w:t>Differences</w:t>
            </w:r>
          </w:p>
        </w:tc>
        <w:tc>
          <w:tcPr>
            <w:tcW w:w="667" w:type="pct"/>
            <w:tcBorders>
              <w:top w:val="single" w:sz="12" w:space="0" w:color="auto"/>
              <w:left w:val="nil"/>
              <w:right w:val="nil"/>
            </w:tcBorders>
            <w:shd w:val="clear" w:color="auto" w:fill="auto"/>
            <w:noWrap/>
            <w:vAlign w:val="bottom"/>
            <w:hideMark/>
          </w:tcPr>
          <w:p w14:paraId="1F5C458A"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 </w:t>
            </w:r>
          </w:p>
        </w:tc>
      </w:tr>
      <w:tr w:rsidR="003F7B0F" w:rsidRPr="00D77D01" w14:paraId="4F8F1612" w14:textId="77777777" w:rsidTr="00D4058E">
        <w:trPr>
          <w:trHeight w:val="315"/>
        </w:trPr>
        <w:tc>
          <w:tcPr>
            <w:tcW w:w="783" w:type="pct"/>
            <w:tcBorders>
              <w:top w:val="nil"/>
              <w:left w:val="nil"/>
              <w:bottom w:val="single" w:sz="12" w:space="0" w:color="auto"/>
              <w:right w:val="nil"/>
            </w:tcBorders>
            <w:shd w:val="clear" w:color="auto" w:fill="auto"/>
            <w:noWrap/>
            <w:vAlign w:val="bottom"/>
            <w:hideMark/>
          </w:tcPr>
          <w:p w14:paraId="25696CB2"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692" w:type="pct"/>
            <w:vMerge/>
            <w:tcBorders>
              <w:top w:val="nil"/>
              <w:left w:val="nil"/>
              <w:bottom w:val="single" w:sz="12" w:space="0" w:color="auto"/>
              <w:right w:val="nil"/>
            </w:tcBorders>
            <w:vAlign w:val="center"/>
            <w:hideMark/>
          </w:tcPr>
          <w:p w14:paraId="587BC221"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719" w:type="pct"/>
            <w:vMerge/>
            <w:tcBorders>
              <w:top w:val="nil"/>
              <w:left w:val="nil"/>
              <w:bottom w:val="single" w:sz="12" w:space="0" w:color="auto"/>
              <w:right w:val="nil"/>
            </w:tcBorders>
            <w:vAlign w:val="center"/>
            <w:hideMark/>
          </w:tcPr>
          <w:p w14:paraId="1ED3412F"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710" w:type="pct"/>
            <w:vMerge/>
            <w:tcBorders>
              <w:top w:val="nil"/>
              <w:left w:val="nil"/>
              <w:bottom w:val="single" w:sz="12" w:space="0" w:color="auto"/>
              <w:right w:val="nil"/>
            </w:tcBorders>
            <w:vAlign w:val="center"/>
            <w:hideMark/>
          </w:tcPr>
          <w:p w14:paraId="29786FB5"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719" w:type="pct"/>
            <w:tcBorders>
              <w:top w:val="single" w:sz="4" w:space="0" w:color="auto"/>
              <w:left w:val="nil"/>
              <w:bottom w:val="single" w:sz="12" w:space="0" w:color="auto"/>
              <w:right w:val="nil"/>
            </w:tcBorders>
            <w:shd w:val="clear" w:color="auto" w:fill="auto"/>
            <w:noWrap/>
            <w:vAlign w:val="bottom"/>
            <w:hideMark/>
          </w:tcPr>
          <w:p w14:paraId="0C623F1C"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CRSP-VW</w:t>
            </w:r>
          </w:p>
        </w:tc>
        <w:tc>
          <w:tcPr>
            <w:tcW w:w="710" w:type="pct"/>
            <w:tcBorders>
              <w:top w:val="single" w:sz="4" w:space="0" w:color="auto"/>
              <w:left w:val="nil"/>
              <w:bottom w:val="single" w:sz="12" w:space="0" w:color="auto"/>
              <w:right w:val="nil"/>
            </w:tcBorders>
            <w:shd w:val="clear" w:color="auto" w:fill="auto"/>
            <w:noWrap/>
            <w:vAlign w:val="bottom"/>
            <w:hideMark/>
          </w:tcPr>
          <w:p w14:paraId="301BCC2C"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CRSP-EW</w:t>
            </w:r>
          </w:p>
        </w:tc>
        <w:tc>
          <w:tcPr>
            <w:tcW w:w="667" w:type="pct"/>
            <w:tcBorders>
              <w:top w:val="nil"/>
              <w:left w:val="nil"/>
              <w:bottom w:val="single" w:sz="12" w:space="0" w:color="auto"/>
              <w:right w:val="nil"/>
            </w:tcBorders>
            <w:shd w:val="clear" w:color="auto" w:fill="auto"/>
            <w:noWrap/>
            <w:vAlign w:val="bottom"/>
            <w:hideMark/>
          </w:tcPr>
          <w:p w14:paraId="357473E6"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r>
      <w:tr w:rsidR="003F7B0F" w:rsidRPr="00D77D01" w14:paraId="767B8048" w14:textId="77777777" w:rsidTr="00BC6405">
        <w:trPr>
          <w:trHeight w:hRule="exact" w:val="144"/>
        </w:trPr>
        <w:tc>
          <w:tcPr>
            <w:tcW w:w="783" w:type="pct"/>
            <w:tcBorders>
              <w:top w:val="single" w:sz="12" w:space="0" w:color="auto"/>
              <w:left w:val="nil"/>
              <w:bottom w:val="nil"/>
              <w:right w:val="nil"/>
            </w:tcBorders>
            <w:shd w:val="clear" w:color="auto" w:fill="auto"/>
            <w:noWrap/>
            <w:vAlign w:val="bottom"/>
          </w:tcPr>
          <w:p w14:paraId="3F4E905F"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692" w:type="pct"/>
            <w:tcBorders>
              <w:top w:val="single" w:sz="12" w:space="0" w:color="auto"/>
              <w:left w:val="nil"/>
              <w:bottom w:val="nil"/>
              <w:right w:val="nil"/>
            </w:tcBorders>
            <w:shd w:val="clear" w:color="auto" w:fill="auto"/>
            <w:noWrap/>
            <w:vAlign w:val="bottom"/>
          </w:tcPr>
          <w:p w14:paraId="44057290"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top w:val="single" w:sz="12" w:space="0" w:color="auto"/>
              <w:left w:val="nil"/>
              <w:bottom w:val="nil"/>
              <w:right w:val="nil"/>
            </w:tcBorders>
            <w:shd w:val="clear" w:color="auto" w:fill="auto"/>
            <w:noWrap/>
            <w:vAlign w:val="bottom"/>
          </w:tcPr>
          <w:p w14:paraId="2008E74A"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top w:val="single" w:sz="12" w:space="0" w:color="auto"/>
              <w:left w:val="nil"/>
              <w:bottom w:val="nil"/>
              <w:right w:val="nil"/>
            </w:tcBorders>
            <w:shd w:val="clear" w:color="auto" w:fill="auto"/>
            <w:noWrap/>
            <w:vAlign w:val="bottom"/>
          </w:tcPr>
          <w:p w14:paraId="109DC7B8"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top w:val="single" w:sz="12" w:space="0" w:color="auto"/>
              <w:left w:val="nil"/>
              <w:bottom w:val="nil"/>
              <w:right w:val="nil"/>
            </w:tcBorders>
            <w:shd w:val="clear" w:color="auto" w:fill="auto"/>
            <w:noWrap/>
            <w:vAlign w:val="bottom"/>
          </w:tcPr>
          <w:p w14:paraId="10039C6A"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top w:val="single" w:sz="12" w:space="0" w:color="auto"/>
              <w:left w:val="nil"/>
              <w:bottom w:val="nil"/>
              <w:right w:val="nil"/>
            </w:tcBorders>
            <w:shd w:val="clear" w:color="auto" w:fill="auto"/>
            <w:noWrap/>
            <w:vAlign w:val="bottom"/>
          </w:tcPr>
          <w:p w14:paraId="75943551"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667" w:type="pct"/>
            <w:tcBorders>
              <w:top w:val="single" w:sz="12" w:space="0" w:color="auto"/>
              <w:left w:val="nil"/>
              <w:bottom w:val="nil"/>
              <w:right w:val="nil"/>
            </w:tcBorders>
            <w:shd w:val="clear" w:color="auto" w:fill="auto"/>
            <w:noWrap/>
            <w:vAlign w:val="bottom"/>
          </w:tcPr>
          <w:p w14:paraId="51CE6813"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r>
      <w:tr w:rsidR="003F7B0F" w:rsidRPr="00D77D01" w14:paraId="10D85FC2" w14:textId="77777777" w:rsidTr="009C601C">
        <w:trPr>
          <w:trHeight w:val="315"/>
        </w:trPr>
        <w:tc>
          <w:tcPr>
            <w:tcW w:w="783" w:type="pct"/>
            <w:tcBorders>
              <w:left w:val="nil"/>
              <w:bottom w:val="nil"/>
              <w:right w:val="nil"/>
            </w:tcBorders>
            <w:shd w:val="clear" w:color="auto" w:fill="auto"/>
            <w:noWrap/>
            <w:vAlign w:val="bottom"/>
            <w:hideMark/>
          </w:tcPr>
          <w:p w14:paraId="7AF5531F" w14:textId="77777777" w:rsidR="003F7B0F" w:rsidRPr="00D77D01" w:rsidRDefault="003F7B0F" w:rsidP="009C601C">
            <w:pPr>
              <w:spacing w:after="0" w:line="240" w:lineRule="auto"/>
              <w:rPr>
                <w:rFonts w:ascii="Times New Roman" w:eastAsia="Times New Roman" w:hAnsi="Times New Roman" w:cs="Times New Roman"/>
                <w:color w:val="000000"/>
              </w:rPr>
            </w:pPr>
            <w:r w:rsidRPr="00D77D01">
              <w:rPr>
                <w:rFonts w:ascii="Times New Roman" w:eastAsia="Times New Roman" w:hAnsi="Times New Roman" w:cs="Times New Roman"/>
                <w:color w:val="000000"/>
              </w:rPr>
              <w:t>1-</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 xml:space="preserve">ear </w:t>
            </w:r>
          </w:p>
        </w:tc>
        <w:tc>
          <w:tcPr>
            <w:tcW w:w="692" w:type="pct"/>
            <w:tcBorders>
              <w:left w:val="nil"/>
              <w:bottom w:val="nil"/>
              <w:right w:val="nil"/>
            </w:tcBorders>
            <w:shd w:val="clear" w:color="auto" w:fill="auto"/>
            <w:noWrap/>
            <w:vAlign w:val="bottom"/>
            <w:hideMark/>
          </w:tcPr>
          <w:p w14:paraId="3082CDF7"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-13.502%</w:t>
            </w:r>
          </w:p>
        </w:tc>
        <w:tc>
          <w:tcPr>
            <w:tcW w:w="719" w:type="pct"/>
            <w:tcBorders>
              <w:left w:val="nil"/>
              <w:bottom w:val="nil"/>
              <w:right w:val="nil"/>
            </w:tcBorders>
            <w:shd w:val="clear" w:color="auto" w:fill="auto"/>
            <w:noWrap/>
            <w:vAlign w:val="bottom"/>
            <w:hideMark/>
          </w:tcPr>
          <w:p w14:paraId="25244065"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19.208%</w:t>
            </w:r>
          </w:p>
        </w:tc>
        <w:tc>
          <w:tcPr>
            <w:tcW w:w="710" w:type="pct"/>
            <w:tcBorders>
              <w:left w:val="nil"/>
              <w:bottom w:val="nil"/>
              <w:right w:val="nil"/>
            </w:tcBorders>
            <w:shd w:val="clear" w:color="auto" w:fill="auto"/>
            <w:noWrap/>
            <w:vAlign w:val="bottom"/>
            <w:hideMark/>
          </w:tcPr>
          <w:p w14:paraId="7AC716FD"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23.917%</w:t>
            </w:r>
          </w:p>
        </w:tc>
        <w:tc>
          <w:tcPr>
            <w:tcW w:w="719" w:type="pct"/>
            <w:tcBorders>
              <w:left w:val="nil"/>
              <w:bottom w:val="nil"/>
              <w:right w:val="nil"/>
            </w:tcBorders>
            <w:shd w:val="clear" w:color="auto" w:fill="auto"/>
            <w:noWrap/>
            <w:vAlign w:val="bottom"/>
            <w:hideMark/>
          </w:tcPr>
          <w:p w14:paraId="42C9DFD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-32.709%</w:t>
            </w:r>
          </w:p>
        </w:tc>
        <w:tc>
          <w:tcPr>
            <w:tcW w:w="710" w:type="pct"/>
            <w:tcBorders>
              <w:left w:val="nil"/>
              <w:bottom w:val="nil"/>
              <w:right w:val="nil"/>
            </w:tcBorders>
            <w:shd w:val="clear" w:color="auto" w:fill="auto"/>
            <w:noWrap/>
            <w:vAlign w:val="bottom"/>
            <w:hideMark/>
          </w:tcPr>
          <w:p w14:paraId="559E4082"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-37.419%</w:t>
            </w:r>
          </w:p>
        </w:tc>
        <w:tc>
          <w:tcPr>
            <w:tcW w:w="667" w:type="pct"/>
            <w:tcBorders>
              <w:left w:val="nil"/>
              <w:bottom w:val="nil"/>
              <w:right w:val="nil"/>
            </w:tcBorders>
            <w:shd w:val="clear" w:color="auto" w:fill="auto"/>
            <w:noWrap/>
            <w:vAlign w:val="bottom"/>
            <w:hideMark/>
          </w:tcPr>
          <w:p w14:paraId="331D948B"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 </w:t>
            </w:r>
          </w:p>
        </w:tc>
      </w:tr>
      <w:tr w:rsidR="003F7B0F" w:rsidRPr="00D77D01" w14:paraId="368A9EA6" w14:textId="77777777" w:rsidTr="009C601C">
        <w:trPr>
          <w:trHeight w:val="315"/>
        </w:trPr>
        <w:tc>
          <w:tcPr>
            <w:tcW w:w="783" w:type="pct"/>
            <w:tcBorders>
              <w:top w:val="nil"/>
              <w:left w:val="nil"/>
              <w:right w:val="nil"/>
            </w:tcBorders>
            <w:shd w:val="clear" w:color="auto" w:fill="auto"/>
            <w:noWrap/>
            <w:vAlign w:val="bottom"/>
            <w:hideMark/>
          </w:tcPr>
          <w:p w14:paraId="57DE3EFC" w14:textId="77777777" w:rsidR="003F7B0F" w:rsidRPr="00D77D01" w:rsidRDefault="003F7B0F" w:rsidP="009C601C">
            <w:pPr>
              <w:spacing w:after="0" w:line="240" w:lineRule="auto"/>
              <w:rPr>
                <w:rFonts w:ascii="Times New Roman" w:eastAsia="Times New Roman" w:hAnsi="Times New Roman" w:cs="Times New Roman"/>
                <w:color w:val="000000"/>
              </w:rPr>
            </w:pPr>
            <w:r w:rsidRPr="00D77D01">
              <w:rPr>
                <w:rFonts w:ascii="Times New Roman" w:eastAsia="Times New Roman" w:hAnsi="Times New Roman" w:cs="Times New Roman"/>
                <w:color w:val="000000"/>
              </w:rPr>
              <w:t>2-</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 xml:space="preserve">ear </w:t>
            </w:r>
          </w:p>
        </w:tc>
        <w:tc>
          <w:tcPr>
            <w:tcW w:w="692" w:type="pct"/>
            <w:tcBorders>
              <w:top w:val="nil"/>
              <w:left w:val="nil"/>
              <w:right w:val="nil"/>
            </w:tcBorders>
            <w:shd w:val="clear" w:color="auto" w:fill="auto"/>
            <w:noWrap/>
            <w:vAlign w:val="bottom"/>
            <w:hideMark/>
          </w:tcPr>
          <w:p w14:paraId="04233B84"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-13.870%</w:t>
            </w:r>
          </w:p>
        </w:tc>
        <w:tc>
          <w:tcPr>
            <w:tcW w:w="719" w:type="pct"/>
            <w:tcBorders>
              <w:top w:val="nil"/>
              <w:left w:val="nil"/>
              <w:right w:val="nil"/>
            </w:tcBorders>
            <w:shd w:val="clear" w:color="auto" w:fill="auto"/>
            <w:noWrap/>
            <w:vAlign w:val="bottom"/>
            <w:hideMark/>
          </w:tcPr>
          <w:p w14:paraId="56AEF4FE"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30.750%</w:t>
            </w:r>
          </w:p>
        </w:tc>
        <w:tc>
          <w:tcPr>
            <w:tcW w:w="710" w:type="pct"/>
            <w:tcBorders>
              <w:top w:val="nil"/>
              <w:left w:val="nil"/>
              <w:right w:val="nil"/>
            </w:tcBorders>
            <w:shd w:val="clear" w:color="auto" w:fill="auto"/>
            <w:noWrap/>
            <w:vAlign w:val="bottom"/>
            <w:hideMark/>
          </w:tcPr>
          <w:p w14:paraId="10F99D67"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32.403%</w:t>
            </w:r>
          </w:p>
        </w:tc>
        <w:tc>
          <w:tcPr>
            <w:tcW w:w="719" w:type="pct"/>
            <w:tcBorders>
              <w:top w:val="nil"/>
              <w:left w:val="nil"/>
              <w:right w:val="nil"/>
            </w:tcBorders>
            <w:shd w:val="clear" w:color="auto" w:fill="auto"/>
            <w:noWrap/>
            <w:vAlign w:val="bottom"/>
            <w:hideMark/>
          </w:tcPr>
          <w:p w14:paraId="531825D3"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-44.620%</w:t>
            </w:r>
          </w:p>
        </w:tc>
        <w:tc>
          <w:tcPr>
            <w:tcW w:w="710" w:type="pct"/>
            <w:tcBorders>
              <w:top w:val="nil"/>
              <w:left w:val="nil"/>
              <w:right w:val="nil"/>
            </w:tcBorders>
            <w:shd w:val="clear" w:color="auto" w:fill="auto"/>
            <w:noWrap/>
            <w:vAlign w:val="bottom"/>
            <w:hideMark/>
          </w:tcPr>
          <w:p w14:paraId="606FEC56"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-46.274%</w:t>
            </w:r>
          </w:p>
        </w:tc>
        <w:tc>
          <w:tcPr>
            <w:tcW w:w="667" w:type="pct"/>
            <w:tcBorders>
              <w:top w:val="nil"/>
              <w:left w:val="nil"/>
              <w:right w:val="nil"/>
            </w:tcBorders>
            <w:shd w:val="clear" w:color="auto" w:fill="auto"/>
            <w:noWrap/>
            <w:vAlign w:val="bottom"/>
            <w:hideMark/>
          </w:tcPr>
          <w:p w14:paraId="40CA9388"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r>
      <w:tr w:rsidR="003F7B0F" w:rsidRPr="00D77D01" w14:paraId="7615EABA" w14:textId="77777777" w:rsidTr="009C601C">
        <w:trPr>
          <w:trHeight w:val="315"/>
        </w:trPr>
        <w:tc>
          <w:tcPr>
            <w:tcW w:w="783" w:type="pct"/>
            <w:tcBorders>
              <w:top w:val="nil"/>
              <w:left w:val="nil"/>
              <w:right w:val="nil"/>
            </w:tcBorders>
            <w:shd w:val="clear" w:color="auto" w:fill="auto"/>
            <w:noWrap/>
            <w:vAlign w:val="bottom"/>
            <w:hideMark/>
          </w:tcPr>
          <w:p w14:paraId="7EF522C3" w14:textId="77777777" w:rsidR="003F7B0F" w:rsidRPr="00D77D01" w:rsidRDefault="003F7B0F" w:rsidP="009C601C">
            <w:pPr>
              <w:spacing w:after="0" w:line="240" w:lineRule="auto"/>
              <w:rPr>
                <w:rFonts w:ascii="Times New Roman" w:eastAsia="Times New Roman" w:hAnsi="Times New Roman" w:cs="Times New Roman"/>
                <w:color w:val="000000"/>
              </w:rPr>
            </w:pPr>
            <w:r w:rsidRPr="00D77D01">
              <w:rPr>
                <w:rFonts w:ascii="Times New Roman" w:eastAsia="Times New Roman" w:hAnsi="Times New Roman" w:cs="Times New Roman"/>
                <w:color w:val="000000"/>
              </w:rPr>
              <w:t>3-</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 xml:space="preserve">ear </w:t>
            </w:r>
          </w:p>
        </w:tc>
        <w:tc>
          <w:tcPr>
            <w:tcW w:w="692" w:type="pct"/>
            <w:tcBorders>
              <w:top w:val="nil"/>
              <w:left w:val="nil"/>
              <w:right w:val="nil"/>
            </w:tcBorders>
            <w:shd w:val="clear" w:color="auto" w:fill="auto"/>
            <w:noWrap/>
            <w:vAlign w:val="bottom"/>
            <w:hideMark/>
          </w:tcPr>
          <w:p w14:paraId="1D439897"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-24.313%</w:t>
            </w:r>
          </w:p>
        </w:tc>
        <w:tc>
          <w:tcPr>
            <w:tcW w:w="719" w:type="pct"/>
            <w:tcBorders>
              <w:top w:val="nil"/>
              <w:left w:val="nil"/>
              <w:right w:val="nil"/>
            </w:tcBorders>
            <w:shd w:val="clear" w:color="auto" w:fill="auto"/>
            <w:noWrap/>
            <w:vAlign w:val="bottom"/>
            <w:hideMark/>
          </w:tcPr>
          <w:p w14:paraId="4541952C"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39.506%</w:t>
            </w:r>
          </w:p>
        </w:tc>
        <w:tc>
          <w:tcPr>
            <w:tcW w:w="710" w:type="pct"/>
            <w:tcBorders>
              <w:top w:val="nil"/>
              <w:left w:val="nil"/>
              <w:right w:val="nil"/>
            </w:tcBorders>
            <w:shd w:val="clear" w:color="auto" w:fill="auto"/>
            <w:noWrap/>
            <w:vAlign w:val="bottom"/>
            <w:hideMark/>
          </w:tcPr>
          <w:p w14:paraId="00049B4B"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39.314%</w:t>
            </w:r>
          </w:p>
        </w:tc>
        <w:tc>
          <w:tcPr>
            <w:tcW w:w="719" w:type="pct"/>
            <w:tcBorders>
              <w:top w:val="nil"/>
              <w:left w:val="nil"/>
              <w:right w:val="nil"/>
            </w:tcBorders>
            <w:shd w:val="clear" w:color="auto" w:fill="auto"/>
            <w:noWrap/>
            <w:vAlign w:val="bottom"/>
            <w:hideMark/>
          </w:tcPr>
          <w:p w14:paraId="4BC64BB6"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-63.819%</w:t>
            </w:r>
          </w:p>
        </w:tc>
        <w:tc>
          <w:tcPr>
            <w:tcW w:w="710" w:type="pct"/>
            <w:tcBorders>
              <w:top w:val="nil"/>
              <w:left w:val="nil"/>
              <w:right w:val="nil"/>
            </w:tcBorders>
            <w:shd w:val="clear" w:color="auto" w:fill="auto"/>
            <w:noWrap/>
            <w:vAlign w:val="bottom"/>
            <w:hideMark/>
          </w:tcPr>
          <w:p w14:paraId="11535931"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-63.627%</w:t>
            </w:r>
          </w:p>
        </w:tc>
        <w:tc>
          <w:tcPr>
            <w:tcW w:w="667" w:type="pct"/>
            <w:tcBorders>
              <w:top w:val="nil"/>
              <w:left w:val="nil"/>
              <w:right w:val="nil"/>
            </w:tcBorders>
            <w:shd w:val="clear" w:color="auto" w:fill="auto"/>
            <w:noWrap/>
            <w:vAlign w:val="bottom"/>
            <w:hideMark/>
          </w:tcPr>
          <w:p w14:paraId="4591667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 </w:t>
            </w:r>
          </w:p>
        </w:tc>
      </w:tr>
      <w:tr w:rsidR="003F7B0F" w:rsidRPr="00D77D01" w14:paraId="3ED4CACE" w14:textId="77777777" w:rsidTr="00BC6405">
        <w:trPr>
          <w:trHeight w:hRule="exact" w:val="144"/>
        </w:trPr>
        <w:tc>
          <w:tcPr>
            <w:tcW w:w="783" w:type="pct"/>
            <w:tcBorders>
              <w:left w:val="nil"/>
              <w:bottom w:val="single" w:sz="12" w:space="0" w:color="auto"/>
              <w:right w:val="nil"/>
            </w:tcBorders>
            <w:shd w:val="clear" w:color="auto" w:fill="auto"/>
            <w:noWrap/>
            <w:vAlign w:val="bottom"/>
          </w:tcPr>
          <w:p w14:paraId="41DAE48C"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692" w:type="pct"/>
            <w:tcBorders>
              <w:left w:val="nil"/>
              <w:bottom w:val="single" w:sz="12" w:space="0" w:color="auto"/>
              <w:right w:val="nil"/>
            </w:tcBorders>
            <w:shd w:val="clear" w:color="auto" w:fill="auto"/>
            <w:noWrap/>
            <w:vAlign w:val="bottom"/>
          </w:tcPr>
          <w:p w14:paraId="057E95D2"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left w:val="nil"/>
              <w:bottom w:val="single" w:sz="12" w:space="0" w:color="auto"/>
              <w:right w:val="nil"/>
            </w:tcBorders>
            <w:shd w:val="clear" w:color="auto" w:fill="auto"/>
            <w:noWrap/>
            <w:vAlign w:val="bottom"/>
          </w:tcPr>
          <w:p w14:paraId="64464D4A"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left w:val="nil"/>
              <w:bottom w:val="single" w:sz="12" w:space="0" w:color="auto"/>
              <w:right w:val="nil"/>
            </w:tcBorders>
            <w:shd w:val="clear" w:color="auto" w:fill="auto"/>
            <w:noWrap/>
            <w:vAlign w:val="bottom"/>
          </w:tcPr>
          <w:p w14:paraId="780FEBF7"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left w:val="nil"/>
              <w:bottom w:val="single" w:sz="12" w:space="0" w:color="auto"/>
              <w:right w:val="nil"/>
            </w:tcBorders>
            <w:shd w:val="clear" w:color="auto" w:fill="auto"/>
            <w:noWrap/>
            <w:vAlign w:val="bottom"/>
          </w:tcPr>
          <w:p w14:paraId="15DC6C01"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left w:val="nil"/>
              <w:bottom w:val="single" w:sz="12" w:space="0" w:color="auto"/>
              <w:right w:val="nil"/>
            </w:tcBorders>
            <w:shd w:val="clear" w:color="auto" w:fill="auto"/>
            <w:noWrap/>
            <w:vAlign w:val="bottom"/>
          </w:tcPr>
          <w:p w14:paraId="44280CD9"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667" w:type="pct"/>
            <w:tcBorders>
              <w:left w:val="nil"/>
              <w:bottom w:val="single" w:sz="12" w:space="0" w:color="auto"/>
              <w:right w:val="nil"/>
            </w:tcBorders>
            <w:shd w:val="clear" w:color="auto" w:fill="auto"/>
            <w:noWrap/>
            <w:vAlign w:val="bottom"/>
          </w:tcPr>
          <w:p w14:paraId="4F81BA4C"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r>
      <w:tr w:rsidR="003F7B0F" w:rsidRPr="00D77D01" w14:paraId="18D2AFF3" w14:textId="77777777" w:rsidTr="00D4058E">
        <w:trPr>
          <w:trHeight w:val="315"/>
        </w:trPr>
        <w:tc>
          <w:tcPr>
            <w:tcW w:w="5000" w:type="pct"/>
            <w:gridSpan w:val="7"/>
            <w:tcBorders>
              <w:top w:val="nil"/>
              <w:left w:val="nil"/>
              <w:bottom w:val="single" w:sz="4" w:space="0" w:color="auto"/>
              <w:right w:val="nil"/>
            </w:tcBorders>
            <w:shd w:val="clear" w:color="auto" w:fill="auto"/>
            <w:noWrap/>
            <w:vAlign w:val="bottom"/>
            <w:hideMark/>
          </w:tcPr>
          <w:p w14:paraId="04750879" w14:textId="77777777" w:rsidR="003F7B0F" w:rsidRPr="00D77D01" w:rsidRDefault="003F7B0F" w:rsidP="009C601C">
            <w:pPr>
              <w:spacing w:after="0" w:line="240" w:lineRule="auto"/>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 xml:space="preserve">Panel B: Fama-French </w:t>
            </w:r>
            <w:r>
              <w:rPr>
                <w:rFonts w:ascii="Times New Roman" w:eastAsia="Times New Roman" w:hAnsi="Times New Roman" w:cs="Times New Roman"/>
                <w:bCs/>
                <w:color w:val="000000"/>
              </w:rPr>
              <w:t>t</w:t>
            </w:r>
            <w:r w:rsidRPr="00D77D01">
              <w:rPr>
                <w:rFonts w:ascii="Times New Roman" w:eastAsia="Times New Roman" w:hAnsi="Times New Roman" w:cs="Times New Roman"/>
                <w:bCs/>
                <w:color w:val="000000"/>
              </w:rPr>
              <w:t xml:space="preserve">hree </w:t>
            </w:r>
            <w:r>
              <w:rPr>
                <w:rFonts w:ascii="Times New Roman" w:eastAsia="Times New Roman" w:hAnsi="Times New Roman" w:cs="Times New Roman"/>
                <w:bCs/>
                <w:color w:val="000000"/>
              </w:rPr>
              <w:t>f</w:t>
            </w:r>
            <w:r w:rsidRPr="00D77D01">
              <w:rPr>
                <w:rFonts w:ascii="Times New Roman" w:eastAsia="Times New Roman" w:hAnsi="Times New Roman" w:cs="Times New Roman"/>
                <w:bCs/>
                <w:color w:val="000000"/>
              </w:rPr>
              <w:t xml:space="preserve">actor </w:t>
            </w:r>
            <w:r>
              <w:rPr>
                <w:rFonts w:ascii="Times New Roman" w:eastAsia="Times New Roman" w:hAnsi="Times New Roman" w:cs="Times New Roman"/>
                <w:bCs/>
                <w:color w:val="000000"/>
              </w:rPr>
              <w:t>m</w:t>
            </w:r>
            <w:r w:rsidRPr="00D77D01">
              <w:rPr>
                <w:rFonts w:ascii="Times New Roman" w:eastAsia="Times New Roman" w:hAnsi="Times New Roman" w:cs="Times New Roman"/>
                <w:bCs/>
                <w:color w:val="000000"/>
              </w:rPr>
              <w:t>odel</w:t>
            </w:r>
          </w:p>
        </w:tc>
      </w:tr>
      <w:tr w:rsidR="003F7B0F" w:rsidRPr="00D77D01" w14:paraId="241DCDAF" w14:textId="77777777" w:rsidTr="00D4058E">
        <w:trPr>
          <w:trHeight w:val="260"/>
        </w:trPr>
        <w:tc>
          <w:tcPr>
            <w:tcW w:w="783" w:type="pct"/>
            <w:tcBorders>
              <w:top w:val="single" w:sz="12" w:space="0" w:color="auto"/>
              <w:left w:val="nil"/>
              <w:bottom w:val="nil"/>
              <w:right w:val="nil"/>
            </w:tcBorders>
            <w:shd w:val="clear" w:color="auto" w:fill="auto"/>
            <w:noWrap/>
            <w:vAlign w:val="bottom"/>
            <w:hideMark/>
          </w:tcPr>
          <w:p w14:paraId="65B4B446"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1411" w:type="pct"/>
            <w:gridSpan w:val="2"/>
            <w:tcBorders>
              <w:top w:val="single" w:sz="12" w:space="0" w:color="auto"/>
              <w:left w:val="nil"/>
              <w:bottom w:val="single" w:sz="4" w:space="0" w:color="auto"/>
              <w:right w:val="nil"/>
            </w:tcBorders>
            <w:shd w:val="clear" w:color="auto" w:fill="auto"/>
            <w:noWrap/>
            <w:vAlign w:val="bottom"/>
            <w:hideMark/>
          </w:tcPr>
          <w:p w14:paraId="6074C7B5"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ear</w:t>
            </w:r>
          </w:p>
        </w:tc>
        <w:tc>
          <w:tcPr>
            <w:tcW w:w="1429" w:type="pct"/>
            <w:gridSpan w:val="2"/>
            <w:tcBorders>
              <w:top w:val="single" w:sz="12" w:space="0" w:color="auto"/>
              <w:left w:val="nil"/>
              <w:bottom w:val="single" w:sz="4" w:space="0" w:color="auto"/>
              <w:right w:val="nil"/>
            </w:tcBorders>
            <w:shd w:val="clear" w:color="auto" w:fill="auto"/>
            <w:noWrap/>
            <w:vAlign w:val="bottom"/>
            <w:hideMark/>
          </w:tcPr>
          <w:p w14:paraId="7B1E4244"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ear</w:t>
            </w:r>
          </w:p>
        </w:tc>
        <w:tc>
          <w:tcPr>
            <w:tcW w:w="1377" w:type="pct"/>
            <w:gridSpan w:val="2"/>
            <w:tcBorders>
              <w:top w:val="single" w:sz="12" w:space="0" w:color="auto"/>
              <w:left w:val="nil"/>
              <w:bottom w:val="single" w:sz="4" w:space="0" w:color="auto"/>
              <w:right w:val="nil"/>
            </w:tcBorders>
            <w:shd w:val="clear" w:color="auto" w:fill="auto"/>
            <w:noWrap/>
            <w:vAlign w:val="bottom"/>
            <w:hideMark/>
          </w:tcPr>
          <w:p w14:paraId="52E130E6"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w:t>
            </w:r>
            <w:r>
              <w:rPr>
                <w:rFonts w:ascii="Times New Roman" w:eastAsia="Times New Roman" w:hAnsi="Times New Roman" w:cs="Times New Roman"/>
                <w:color w:val="000000"/>
              </w:rPr>
              <w:t>Y</w:t>
            </w:r>
            <w:r w:rsidRPr="00D77D01">
              <w:rPr>
                <w:rFonts w:ascii="Times New Roman" w:eastAsia="Times New Roman" w:hAnsi="Times New Roman" w:cs="Times New Roman"/>
                <w:color w:val="000000"/>
              </w:rPr>
              <w:t>ear</w:t>
            </w:r>
          </w:p>
        </w:tc>
      </w:tr>
      <w:tr w:rsidR="003F7B0F" w:rsidRPr="00D77D01" w14:paraId="528ED3C9" w14:textId="77777777" w:rsidTr="00D4058E">
        <w:trPr>
          <w:trHeight w:val="315"/>
        </w:trPr>
        <w:tc>
          <w:tcPr>
            <w:tcW w:w="783" w:type="pct"/>
            <w:tcBorders>
              <w:top w:val="nil"/>
              <w:left w:val="nil"/>
              <w:bottom w:val="single" w:sz="12" w:space="0" w:color="auto"/>
              <w:right w:val="nil"/>
            </w:tcBorders>
            <w:shd w:val="clear" w:color="auto" w:fill="auto"/>
            <w:noWrap/>
            <w:vAlign w:val="bottom"/>
          </w:tcPr>
          <w:p w14:paraId="26687C28" w14:textId="77777777" w:rsidR="003F7B0F" w:rsidRPr="00D77D01" w:rsidRDefault="003F7B0F" w:rsidP="009C601C">
            <w:pPr>
              <w:spacing w:after="0" w:line="240" w:lineRule="auto"/>
              <w:rPr>
                <w:rFonts w:ascii="Times New Roman" w:eastAsia="Times New Roman" w:hAnsi="Times New Roman" w:cs="Times New Roman"/>
                <w:color w:val="000000"/>
              </w:rPr>
            </w:pPr>
          </w:p>
        </w:tc>
        <w:tc>
          <w:tcPr>
            <w:tcW w:w="692" w:type="pct"/>
            <w:tcBorders>
              <w:top w:val="single" w:sz="4" w:space="0" w:color="auto"/>
              <w:left w:val="nil"/>
              <w:bottom w:val="single" w:sz="12" w:space="0" w:color="auto"/>
              <w:right w:val="nil"/>
            </w:tcBorders>
            <w:shd w:val="clear" w:color="auto" w:fill="auto"/>
            <w:noWrap/>
            <w:vAlign w:val="bottom"/>
          </w:tcPr>
          <w:p w14:paraId="116FCC3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E</w:t>
            </w:r>
            <w:r>
              <w:rPr>
                <w:rFonts w:ascii="Times New Roman" w:eastAsia="Times New Roman" w:hAnsi="Times New Roman" w:cs="Times New Roman"/>
                <w:color w:val="000000"/>
              </w:rPr>
              <w:t>W</w:t>
            </w:r>
          </w:p>
        </w:tc>
        <w:tc>
          <w:tcPr>
            <w:tcW w:w="719" w:type="pct"/>
            <w:tcBorders>
              <w:top w:val="single" w:sz="4" w:space="0" w:color="auto"/>
              <w:left w:val="nil"/>
              <w:bottom w:val="single" w:sz="12" w:space="0" w:color="auto"/>
              <w:right w:val="nil"/>
            </w:tcBorders>
            <w:shd w:val="clear" w:color="auto" w:fill="auto"/>
            <w:noWrap/>
            <w:vAlign w:val="bottom"/>
          </w:tcPr>
          <w:p w14:paraId="08FB4BD5"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V</w:t>
            </w:r>
            <w:r>
              <w:rPr>
                <w:rFonts w:ascii="Times New Roman" w:eastAsia="Times New Roman" w:hAnsi="Times New Roman" w:cs="Times New Roman"/>
                <w:color w:val="000000"/>
              </w:rPr>
              <w:t>W</w:t>
            </w:r>
          </w:p>
        </w:tc>
        <w:tc>
          <w:tcPr>
            <w:tcW w:w="710" w:type="pct"/>
            <w:tcBorders>
              <w:top w:val="single" w:sz="4" w:space="0" w:color="auto"/>
              <w:left w:val="nil"/>
              <w:bottom w:val="single" w:sz="12" w:space="0" w:color="auto"/>
              <w:right w:val="nil"/>
            </w:tcBorders>
            <w:shd w:val="clear" w:color="auto" w:fill="auto"/>
            <w:noWrap/>
            <w:vAlign w:val="bottom"/>
          </w:tcPr>
          <w:p w14:paraId="2B98CDAC"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E</w:t>
            </w:r>
            <w:r>
              <w:rPr>
                <w:rFonts w:ascii="Times New Roman" w:eastAsia="Times New Roman" w:hAnsi="Times New Roman" w:cs="Times New Roman"/>
                <w:color w:val="000000"/>
              </w:rPr>
              <w:t>W</w:t>
            </w:r>
          </w:p>
        </w:tc>
        <w:tc>
          <w:tcPr>
            <w:tcW w:w="719" w:type="pct"/>
            <w:tcBorders>
              <w:top w:val="single" w:sz="4" w:space="0" w:color="auto"/>
              <w:left w:val="nil"/>
              <w:bottom w:val="single" w:sz="12" w:space="0" w:color="auto"/>
              <w:right w:val="nil"/>
            </w:tcBorders>
            <w:shd w:val="clear" w:color="auto" w:fill="auto"/>
            <w:noWrap/>
            <w:vAlign w:val="bottom"/>
          </w:tcPr>
          <w:p w14:paraId="2017082B"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V</w:t>
            </w:r>
            <w:r>
              <w:rPr>
                <w:rFonts w:ascii="Times New Roman" w:eastAsia="Times New Roman" w:hAnsi="Times New Roman" w:cs="Times New Roman"/>
                <w:color w:val="000000"/>
              </w:rPr>
              <w:t>W</w:t>
            </w:r>
          </w:p>
        </w:tc>
        <w:tc>
          <w:tcPr>
            <w:tcW w:w="710" w:type="pct"/>
            <w:tcBorders>
              <w:top w:val="single" w:sz="4" w:space="0" w:color="auto"/>
              <w:left w:val="nil"/>
              <w:bottom w:val="single" w:sz="12" w:space="0" w:color="auto"/>
              <w:right w:val="nil"/>
            </w:tcBorders>
            <w:shd w:val="clear" w:color="auto" w:fill="auto"/>
            <w:noWrap/>
            <w:vAlign w:val="bottom"/>
          </w:tcPr>
          <w:p w14:paraId="2EA11471"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E</w:t>
            </w:r>
            <w:r>
              <w:rPr>
                <w:rFonts w:ascii="Times New Roman" w:eastAsia="Times New Roman" w:hAnsi="Times New Roman" w:cs="Times New Roman"/>
                <w:color w:val="000000"/>
              </w:rPr>
              <w:t>W</w:t>
            </w:r>
          </w:p>
        </w:tc>
        <w:tc>
          <w:tcPr>
            <w:tcW w:w="667" w:type="pct"/>
            <w:tcBorders>
              <w:top w:val="single" w:sz="4" w:space="0" w:color="auto"/>
              <w:left w:val="nil"/>
              <w:bottom w:val="single" w:sz="12" w:space="0" w:color="auto"/>
              <w:right w:val="nil"/>
            </w:tcBorders>
            <w:shd w:val="clear" w:color="auto" w:fill="auto"/>
            <w:noWrap/>
            <w:vAlign w:val="bottom"/>
          </w:tcPr>
          <w:p w14:paraId="7499FD14"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V</w:t>
            </w:r>
            <w:r>
              <w:rPr>
                <w:rFonts w:ascii="Times New Roman" w:eastAsia="Times New Roman" w:hAnsi="Times New Roman" w:cs="Times New Roman"/>
                <w:color w:val="000000"/>
              </w:rPr>
              <w:t>W</w:t>
            </w:r>
          </w:p>
        </w:tc>
      </w:tr>
      <w:tr w:rsidR="003F7B0F" w:rsidRPr="00D77D01" w14:paraId="3CF68E82" w14:textId="77777777" w:rsidTr="00BC6405">
        <w:trPr>
          <w:trHeight w:hRule="exact" w:val="144"/>
        </w:trPr>
        <w:tc>
          <w:tcPr>
            <w:tcW w:w="783" w:type="pct"/>
            <w:tcBorders>
              <w:top w:val="single" w:sz="12" w:space="0" w:color="auto"/>
              <w:left w:val="nil"/>
              <w:right w:val="nil"/>
            </w:tcBorders>
            <w:shd w:val="clear" w:color="auto" w:fill="auto"/>
            <w:noWrap/>
            <w:vAlign w:val="bottom"/>
          </w:tcPr>
          <w:p w14:paraId="4C5FB909" w14:textId="77777777" w:rsidR="003F7B0F" w:rsidRPr="0088044F" w:rsidRDefault="003F7B0F" w:rsidP="009C601C">
            <w:pPr>
              <w:spacing w:after="0" w:line="240" w:lineRule="auto"/>
              <w:rPr>
                <w:rFonts w:ascii="Times New Roman" w:eastAsia="Times New Roman" w:hAnsi="Times New Roman" w:cs="Times New Roman"/>
                <w:i/>
                <w:color w:val="000000"/>
              </w:rPr>
            </w:pPr>
          </w:p>
        </w:tc>
        <w:tc>
          <w:tcPr>
            <w:tcW w:w="692" w:type="pct"/>
            <w:tcBorders>
              <w:top w:val="single" w:sz="12" w:space="0" w:color="auto"/>
              <w:left w:val="nil"/>
              <w:right w:val="nil"/>
            </w:tcBorders>
            <w:shd w:val="clear" w:color="auto" w:fill="auto"/>
            <w:noWrap/>
            <w:vAlign w:val="center"/>
          </w:tcPr>
          <w:p w14:paraId="0F4A6125"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719" w:type="pct"/>
            <w:tcBorders>
              <w:top w:val="single" w:sz="12" w:space="0" w:color="auto"/>
              <w:left w:val="nil"/>
              <w:right w:val="nil"/>
            </w:tcBorders>
            <w:shd w:val="clear" w:color="auto" w:fill="auto"/>
            <w:noWrap/>
            <w:vAlign w:val="center"/>
          </w:tcPr>
          <w:p w14:paraId="337D77DF"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710" w:type="pct"/>
            <w:tcBorders>
              <w:top w:val="single" w:sz="12" w:space="0" w:color="auto"/>
              <w:left w:val="nil"/>
              <w:right w:val="nil"/>
            </w:tcBorders>
            <w:shd w:val="clear" w:color="auto" w:fill="auto"/>
            <w:noWrap/>
            <w:vAlign w:val="center"/>
          </w:tcPr>
          <w:p w14:paraId="6F6C7F06"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719" w:type="pct"/>
            <w:tcBorders>
              <w:top w:val="single" w:sz="12" w:space="0" w:color="auto"/>
              <w:left w:val="nil"/>
              <w:right w:val="nil"/>
            </w:tcBorders>
            <w:shd w:val="clear" w:color="auto" w:fill="auto"/>
            <w:noWrap/>
            <w:vAlign w:val="center"/>
          </w:tcPr>
          <w:p w14:paraId="3052014B"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710" w:type="pct"/>
            <w:tcBorders>
              <w:top w:val="single" w:sz="12" w:space="0" w:color="auto"/>
              <w:left w:val="nil"/>
              <w:right w:val="nil"/>
            </w:tcBorders>
            <w:shd w:val="clear" w:color="auto" w:fill="auto"/>
            <w:noWrap/>
            <w:vAlign w:val="center"/>
          </w:tcPr>
          <w:p w14:paraId="55085451"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667" w:type="pct"/>
            <w:tcBorders>
              <w:top w:val="single" w:sz="12" w:space="0" w:color="auto"/>
              <w:left w:val="nil"/>
              <w:right w:val="nil"/>
            </w:tcBorders>
            <w:shd w:val="clear" w:color="auto" w:fill="auto"/>
            <w:noWrap/>
            <w:vAlign w:val="center"/>
          </w:tcPr>
          <w:p w14:paraId="3B977880"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r>
      <w:tr w:rsidR="003F7B0F" w:rsidRPr="00D77D01" w14:paraId="7D505F41" w14:textId="77777777" w:rsidTr="009C601C">
        <w:trPr>
          <w:trHeight w:val="315"/>
        </w:trPr>
        <w:tc>
          <w:tcPr>
            <w:tcW w:w="783" w:type="pct"/>
            <w:tcBorders>
              <w:left w:val="nil"/>
              <w:bottom w:val="nil"/>
              <w:right w:val="nil"/>
            </w:tcBorders>
            <w:shd w:val="clear" w:color="auto" w:fill="auto"/>
            <w:noWrap/>
            <w:vAlign w:val="bottom"/>
            <w:hideMark/>
          </w:tcPr>
          <w:p w14:paraId="59C5DA0E" w14:textId="77777777" w:rsidR="003F7B0F" w:rsidRPr="0088044F" w:rsidRDefault="003F7B0F" w:rsidP="009C601C">
            <w:pPr>
              <w:spacing w:after="0" w:line="240" w:lineRule="auto"/>
              <w:rPr>
                <w:rFonts w:ascii="Times New Roman" w:eastAsia="Times New Roman" w:hAnsi="Times New Roman" w:cs="Times New Roman"/>
                <w:i/>
                <w:color w:val="000000"/>
              </w:rPr>
            </w:pPr>
            <w:r w:rsidRPr="0088044F">
              <w:rPr>
                <w:rFonts w:ascii="Times New Roman" w:eastAsia="Times New Roman" w:hAnsi="Times New Roman" w:cs="Times New Roman"/>
                <w:i/>
                <w:color w:val="000000"/>
              </w:rPr>
              <w:t>ALPHA</w:t>
            </w:r>
          </w:p>
        </w:tc>
        <w:tc>
          <w:tcPr>
            <w:tcW w:w="692" w:type="pct"/>
            <w:tcBorders>
              <w:left w:val="nil"/>
              <w:bottom w:val="nil"/>
              <w:right w:val="nil"/>
            </w:tcBorders>
            <w:shd w:val="clear" w:color="auto" w:fill="auto"/>
            <w:noWrap/>
            <w:vAlign w:val="center"/>
            <w:hideMark/>
          </w:tcPr>
          <w:p w14:paraId="164B3A35"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-0.025***</w:t>
            </w:r>
          </w:p>
        </w:tc>
        <w:tc>
          <w:tcPr>
            <w:tcW w:w="719" w:type="pct"/>
            <w:tcBorders>
              <w:left w:val="nil"/>
              <w:bottom w:val="nil"/>
              <w:right w:val="nil"/>
            </w:tcBorders>
            <w:shd w:val="clear" w:color="auto" w:fill="auto"/>
            <w:noWrap/>
            <w:vAlign w:val="center"/>
            <w:hideMark/>
          </w:tcPr>
          <w:p w14:paraId="5F04C50A"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-0.019**</w:t>
            </w:r>
          </w:p>
        </w:tc>
        <w:tc>
          <w:tcPr>
            <w:tcW w:w="710" w:type="pct"/>
            <w:tcBorders>
              <w:left w:val="nil"/>
              <w:bottom w:val="nil"/>
              <w:right w:val="nil"/>
            </w:tcBorders>
            <w:shd w:val="clear" w:color="auto" w:fill="auto"/>
            <w:noWrap/>
            <w:vAlign w:val="center"/>
            <w:hideMark/>
          </w:tcPr>
          <w:p w14:paraId="5507FCE7"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-0.014*</w:t>
            </w:r>
          </w:p>
        </w:tc>
        <w:tc>
          <w:tcPr>
            <w:tcW w:w="719" w:type="pct"/>
            <w:tcBorders>
              <w:left w:val="nil"/>
              <w:bottom w:val="nil"/>
              <w:right w:val="nil"/>
            </w:tcBorders>
            <w:shd w:val="clear" w:color="auto" w:fill="auto"/>
            <w:noWrap/>
            <w:vAlign w:val="center"/>
            <w:hideMark/>
          </w:tcPr>
          <w:p w14:paraId="2E7E15D1"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-0.017**</w:t>
            </w:r>
          </w:p>
        </w:tc>
        <w:tc>
          <w:tcPr>
            <w:tcW w:w="710" w:type="pct"/>
            <w:tcBorders>
              <w:left w:val="nil"/>
              <w:bottom w:val="nil"/>
              <w:right w:val="nil"/>
            </w:tcBorders>
            <w:shd w:val="clear" w:color="auto" w:fill="auto"/>
            <w:noWrap/>
            <w:vAlign w:val="center"/>
            <w:hideMark/>
          </w:tcPr>
          <w:p w14:paraId="3617BBFB"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-0.021***</w:t>
            </w:r>
          </w:p>
        </w:tc>
        <w:tc>
          <w:tcPr>
            <w:tcW w:w="667" w:type="pct"/>
            <w:tcBorders>
              <w:left w:val="nil"/>
              <w:bottom w:val="nil"/>
              <w:right w:val="nil"/>
            </w:tcBorders>
            <w:shd w:val="clear" w:color="auto" w:fill="auto"/>
            <w:noWrap/>
            <w:vAlign w:val="center"/>
            <w:hideMark/>
          </w:tcPr>
          <w:p w14:paraId="479369D8"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-0.016**</w:t>
            </w:r>
          </w:p>
        </w:tc>
      </w:tr>
      <w:tr w:rsidR="003F7B0F" w:rsidRPr="00D77D01" w14:paraId="14782098" w14:textId="77777777" w:rsidTr="009C601C">
        <w:trPr>
          <w:trHeight w:val="315"/>
        </w:trPr>
        <w:tc>
          <w:tcPr>
            <w:tcW w:w="783" w:type="pct"/>
            <w:tcBorders>
              <w:top w:val="nil"/>
              <w:left w:val="nil"/>
              <w:bottom w:val="nil"/>
              <w:right w:val="nil"/>
            </w:tcBorders>
            <w:shd w:val="clear" w:color="auto" w:fill="auto"/>
            <w:noWrap/>
            <w:vAlign w:val="bottom"/>
            <w:hideMark/>
          </w:tcPr>
          <w:p w14:paraId="0F632E03"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p>
        </w:tc>
        <w:tc>
          <w:tcPr>
            <w:tcW w:w="692" w:type="pct"/>
            <w:tcBorders>
              <w:top w:val="nil"/>
              <w:left w:val="nil"/>
              <w:bottom w:val="nil"/>
              <w:right w:val="nil"/>
            </w:tcBorders>
            <w:shd w:val="clear" w:color="auto" w:fill="auto"/>
            <w:noWrap/>
            <w:vAlign w:val="center"/>
            <w:hideMark/>
          </w:tcPr>
          <w:p w14:paraId="6AE8E40E"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(-3.07)</w:t>
            </w:r>
          </w:p>
        </w:tc>
        <w:tc>
          <w:tcPr>
            <w:tcW w:w="719" w:type="pct"/>
            <w:tcBorders>
              <w:top w:val="nil"/>
              <w:left w:val="nil"/>
              <w:bottom w:val="nil"/>
              <w:right w:val="nil"/>
            </w:tcBorders>
            <w:shd w:val="clear" w:color="auto" w:fill="auto"/>
            <w:noWrap/>
            <w:vAlign w:val="center"/>
            <w:hideMark/>
          </w:tcPr>
          <w:p w14:paraId="0381EB6B" w14:textId="7CF76E1B" w:rsidR="003F7B0F" w:rsidRPr="00D77D01" w:rsidRDefault="003F7B0F">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(-2.17)</w:t>
            </w:r>
          </w:p>
        </w:tc>
        <w:tc>
          <w:tcPr>
            <w:tcW w:w="710" w:type="pct"/>
            <w:tcBorders>
              <w:top w:val="nil"/>
              <w:left w:val="nil"/>
              <w:bottom w:val="nil"/>
              <w:right w:val="nil"/>
            </w:tcBorders>
            <w:shd w:val="clear" w:color="auto" w:fill="auto"/>
            <w:noWrap/>
            <w:vAlign w:val="center"/>
            <w:hideMark/>
          </w:tcPr>
          <w:p w14:paraId="2A3124F0" w14:textId="77777777" w:rsidR="003F7B0F" w:rsidRPr="00D77D01" w:rsidRDefault="003F7B0F" w:rsidP="009C601C">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(-1.84)</w:t>
            </w:r>
          </w:p>
        </w:tc>
        <w:tc>
          <w:tcPr>
            <w:tcW w:w="719" w:type="pct"/>
            <w:tcBorders>
              <w:top w:val="nil"/>
              <w:left w:val="nil"/>
              <w:bottom w:val="nil"/>
              <w:right w:val="nil"/>
            </w:tcBorders>
            <w:shd w:val="clear" w:color="auto" w:fill="auto"/>
            <w:noWrap/>
            <w:vAlign w:val="center"/>
            <w:hideMark/>
          </w:tcPr>
          <w:p w14:paraId="3A62E673" w14:textId="7E62CB66" w:rsidR="003F7B0F" w:rsidRPr="00D77D01" w:rsidRDefault="003F7B0F">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(-2.</w:t>
            </w:r>
            <w:r w:rsidR="00605F18" w:rsidRPr="00D77D01">
              <w:rPr>
                <w:rFonts w:ascii="Times New Roman" w:eastAsia="Times New Roman" w:hAnsi="Times New Roman" w:cs="Times New Roman"/>
                <w:bCs/>
                <w:color w:val="000000"/>
              </w:rPr>
              <w:t>1</w:t>
            </w:r>
            <w:r w:rsidR="00605F18">
              <w:rPr>
                <w:rFonts w:ascii="Times New Roman" w:eastAsia="Times New Roman" w:hAnsi="Times New Roman" w:cs="Times New Roman"/>
                <w:bCs/>
                <w:color w:val="000000"/>
              </w:rPr>
              <w:t>8</w:t>
            </w:r>
            <w:r w:rsidRPr="00D77D01">
              <w:rPr>
                <w:rFonts w:ascii="Times New Roman" w:eastAsia="Times New Roman" w:hAnsi="Times New Roman" w:cs="Times New Roman"/>
                <w:bCs/>
                <w:color w:val="000000"/>
              </w:rPr>
              <w:t>)</w:t>
            </w:r>
          </w:p>
        </w:tc>
        <w:tc>
          <w:tcPr>
            <w:tcW w:w="710" w:type="pct"/>
            <w:tcBorders>
              <w:top w:val="nil"/>
              <w:left w:val="nil"/>
              <w:bottom w:val="nil"/>
              <w:right w:val="nil"/>
            </w:tcBorders>
            <w:shd w:val="clear" w:color="auto" w:fill="auto"/>
            <w:noWrap/>
            <w:vAlign w:val="center"/>
            <w:hideMark/>
          </w:tcPr>
          <w:p w14:paraId="7F2FACC1" w14:textId="578DEE9A" w:rsidR="003F7B0F" w:rsidRPr="00D77D01" w:rsidRDefault="003F7B0F">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(-2.</w:t>
            </w:r>
            <w:r w:rsidR="00551D5D" w:rsidRPr="00D77D01">
              <w:rPr>
                <w:rFonts w:ascii="Times New Roman" w:eastAsia="Times New Roman" w:hAnsi="Times New Roman" w:cs="Times New Roman"/>
                <w:bCs/>
                <w:color w:val="000000"/>
              </w:rPr>
              <w:t>9</w:t>
            </w:r>
            <w:r w:rsidR="00551D5D">
              <w:rPr>
                <w:rFonts w:ascii="Times New Roman" w:eastAsia="Times New Roman" w:hAnsi="Times New Roman" w:cs="Times New Roman"/>
                <w:bCs/>
                <w:color w:val="000000"/>
              </w:rPr>
              <w:t>1</w:t>
            </w:r>
            <w:r w:rsidRPr="00D77D01">
              <w:rPr>
                <w:rFonts w:ascii="Times New Roman" w:eastAsia="Times New Roman" w:hAnsi="Times New Roman" w:cs="Times New Roman"/>
                <w:bCs/>
                <w:color w:val="000000"/>
              </w:rPr>
              <w:t>)</w:t>
            </w:r>
          </w:p>
        </w:tc>
        <w:tc>
          <w:tcPr>
            <w:tcW w:w="667" w:type="pct"/>
            <w:tcBorders>
              <w:top w:val="nil"/>
              <w:left w:val="nil"/>
              <w:bottom w:val="nil"/>
              <w:right w:val="nil"/>
            </w:tcBorders>
            <w:shd w:val="clear" w:color="auto" w:fill="auto"/>
            <w:noWrap/>
            <w:vAlign w:val="center"/>
            <w:hideMark/>
          </w:tcPr>
          <w:p w14:paraId="6303664A" w14:textId="35B06D8A" w:rsidR="003F7B0F" w:rsidRPr="00D77D01" w:rsidRDefault="003F7B0F">
            <w:pPr>
              <w:spacing w:after="0" w:line="240" w:lineRule="auto"/>
              <w:jc w:val="center"/>
              <w:rPr>
                <w:rFonts w:ascii="Times New Roman" w:eastAsia="Times New Roman" w:hAnsi="Times New Roman" w:cs="Times New Roman"/>
                <w:bCs/>
                <w:color w:val="000000"/>
              </w:rPr>
            </w:pPr>
            <w:r w:rsidRPr="00D77D01">
              <w:rPr>
                <w:rFonts w:ascii="Times New Roman" w:eastAsia="Times New Roman" w:hAnsi="Times New Roman" w:cs="Times New Roman"/>
                <w:bCs/>
                <w:color w:val="000000"/>
              </w:rPr>
              <w:t>(-2.</w:t>
            </w:r>
            <w:r w:rsidR="00605F18" w:rsidRPr="00D77D01">
              <w:rPr>
                <w:rFonts w:ascii="Times New Roman" w:eastAsia="Times New Roman" w:hAnsi="Times New Roman" w:cs="Times New Roman"/>
                <w:bCs/>
                <w:color w:val="000000"/>
              </w:rPr>
              <w:t>2</w:t>
            </w:r>
            <w:r w:rsidR="00605F18">
              <w:rPr>
                <w:rFonts w:ascii="Times New Roman" w:eastAsia="Times New Roman" w:hAnsi="Times New Roman" w:cs="Times New Roman"/>
                <w:bCs/>
                <w:color w:val="000000"/>
              </w:rPr>
              <w:t>4</w:t>
            </w:r>
            <w:r w:rsidRPr="00D77D01">
              <w:rPr>
                <w:rFonts w:ascii="Times New Roman" w:eastAsia="Times New Roman" w:hAnsi="Times New Roman" w:cs="Times New Roman"/>
                <w:bCs/>
                <w:color w:val="000000"/>
              </w:rPr>
              <w:t>)</w:t>
            </w:r>
          </w:p>
        </w:tc>
      </w:tr>
      <w:tr w:rsidR="003F7B0F" w:rsidRPr="00D77D01" w14:paraId="09111B99" w14:textId="77777777" w:rsidTr="009C601C">
        <w:trPr>
          <w:trHeight w:val="315"/>
        </w:trPr>
        <w:tc>
          <w:tcPr>
            <w:tcW w:w="783" w:type="pct"/>
            <w:tcBorders>
              <w:top w:val="nil"/>
              <w:left w:val="nil"/>
              <w:bottom w:val="nil"/>
              <w:right w:val="nil"/>
            </w:tcBorders>
            <w:shd w:val="clear" w:color="auto" w:fill="auto"/>
            <w:noWrap/>
            <w:vAlign w:val="bottom"/>
            <w:hideMark/>
          </w:tcPr>
          <w:p w14:paraId="5F87166C" w14:textId="77777777" w:rsidR="003F7B0F" w:rsidRPr="00D77D01" w:rsidRDefault="003F7B0F" w:rsidP="009C601C">
            <w:pPr>
              <w:spacing w:after="0" w:line="240" w:lineRule="auto"/>
              <w:rPr>
                <w:rFonts w:ascii="Times New Roman" w:eastAsia="Times New Roman" w:hAnsi="Times New Roman" w:cs="Times New Roman"/>
                <w:i/>
                <w:color w:val="000000"/>
              </w:rPr>
            </w:pPr>
            <w:r w:rsidRPr="00D77D01">
              <w:rPr>
                <w:rFonts w:ascii="Times New Roman" w:eastAsia="Times New Roman" w:hAnsi="Times New Roman" w:cs="Times New Roman"/>
                <w:i/>
                <w:color w:val="000000"/>
              </w:rPr>
              <w:t>M</w:t>
            </w:r>
            <w:r>
              <w:rPr>
                <w:rFonts w:ascii="Times New Roman" w:eastAsia="Times New Roman" w:hAnsi="Times New Roman" w:cs="Times New Roman"/>
                <w:i/>
                <w:color w:val="000000"/>
              </w:rPr>
              <w:t>ARKET</w:t>
            </w:r>
          </w:p>
        </w:tc>
        <w:tc>
          <w:tcPr>
            <w:tcW w:w="692" w:type="pct"/>
            <w:tcBorders>
              <w:top w:val="nil"/>
              <w:left w:val="nil"/>
              <w:bottom w:val="nil"/>
              <w:right w:val="nil"/>
            </w:tcBorders>
            <w:shd w:val="clear" w:color="auto" w:fill="auto"/>
            <w:noWrap/>
            <w:vAlign w:val="center"/>
            <w:hideMark/>
          </w:tcPr>
          <w:p w14:paraId="5C7417B5"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1.04**</w:t>
            </w:r>
          </w:p>
        </w:tc>
        <w:tc>
          <w:tcPr>
            <w:tcW w:w="719" w:type="pct"/>
            <w:tcBorders>
              <w:top w:val="nil"/>
              <w:left w:val="nil"/>
              <w:bottom w:val="nil"/>
              <w:right w:val="nil"/>
            </w:tcBorders>
            <w:shd w:val="clear" w:color="auto" w:fill="auto"/>
            <w:noWrap/>
            <w:vAlign w:val="center"/>
            <w:hideMark/>
          </w:tcPr>
          <w:p w14:paraId="6CBE58DD"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0.965***</w:t>
            </w:r>
          </w:p>
        </w:tc>
        <w:tc>
          <w:tcPr>
            <w:tcW w:w="710" w:type="pct"/>
            <w:tcBorders>
              <w:top w:val="nil"/>
              <w:left w:val="nil"/>
              <w:bottom w:val="nil"/>
              <w:right w:val="nil"/>
            </w:tcBorders>
            <w:shd w:val="clear" w:color="auto" w:fill="auto"/>
            <w:noWrap/>
            <w:vAlign w:val="center"/>
            <w:hideMark/>
          </w:tcPr>
          <w:p w14:paraId="5D63F584"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1.047***</w:t>
            </w:r>
          </w:p>
        </w:tc>
        <w:tc>
          <w:tcPr>
            <w:tcW w:w="719" w:type="pct"/>
            <w:tcBorders>
              <w:top w:val="nil"/>
              <w:left w:val="nil"/>
              <w:bottom w:val="nil"/>
              <w:right w:val="nil"/>
            </w:tcBorders>
            <w:shd w:val="clear" w:color="auto" w:fill="auto"/>
            <w:noWrap/>
            <w:vAlign w:val="center"/>
            <w:hideMark/>
          </w:tcPr>
          <w:p w14:paraId="5ECEC40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1.086***</w:t>
            </w:r>
          </w:p>
        </w:tc>
        <w:tc>
          <w:tcPr>
            <w:tcW w:w="710" w:type="pct"/>
            <w:tcBorders>
              <w:top w:val="nil"/>
              <w:left w:val="nil"/>
              <w:bottom w:val="nil"/>
              <w:right w:val="nil"/>
            </w:tcBorders>
            <w:shd w:val="clear" w:color="auto" w:fill="auto"/>
            <w:noWrap/>
            <w:vAlign w:val="center"/>
            <w:hideMark/>
          </w:tcPr>
          <w:p w14:paraId="3D445DF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1.089***</w:t>
            </w:r>
          </w:p>
        </w:tc>
        <w:tc>
          <w:tcPr>
            <w:tcW w:w="667" w:type="pct"/>
            <w:tcBorders>
              <w:top w:val="nil"/>
              <w:left w:val="nil"/>
              <w:bottom w:val="nil"/>
              <w:right w:val="nil"/>
            </w:tcBorders>
            <w:shd w:val="clear" w:color="auto" w:fill="auto"/>
            <w:noWrap/>
            <w:vAlign w:val="center"/>
            <w:hideMark/>
          </w:tcPr>
          <w:p w14:paraId="02D6E4B8"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1.134***</w:t>
            </w:r>
          </w:p>
        </w:tc>
      </w:tr>
      <w:tr w:rsidR="003F7B0F" w:rsidRPr="00D77D01" w14:paraId="5A6E85C6" w14:textId="77777777" w:rsidTr="009C601C">
        <w:trPr>
          <w:trHeight w:val="315"/>
        </w:trPr>
        <w:tc>
          <w:tcPr>
            <w:tcW w:w="783" w:type="pct"/>
            <w:tcBorders>
              <w:top w:val="nil"/>
              <w:left w:val="nil"/>
              <w:bottom w:val="nil"/>
              <w:right w:val="nil"/>
            </w:tcBorders>
            <w:shd w:val="clear" w:color="auto" w:fill="auto"/>
            <w:noWrap/>
            <w:vAlign w:val="bottom"/>
            <w:hideMark/>
          </w:tcPr>
          <w:p w14:paraId="705C6B43" w14:textId="77777777" w:rsidR="003F7B0F" w:rsidRPr="00D77D01" w:rsidRDefault="003F7B0F" w:rsidP="009C601C">
            <w:pPr>
              <w:spacing w:after="0" w:line="240" w:lineRule="auto"/>
              <w:jc w:val="center"/>
              <w:rPr>
                <w:rFonts w:ascii="Times New Roman" w:eastAsia="Times New Roman" w:hAnsi="Times New Roman" w:cs="Times New Roman"/>
                <w:i/>
                <w:color w:val="000000"/>
              </w:rPr>
            </w:pPr>
          </w:p>
        </w:tc>
        <w:tc>
          <w:tcPr>
            <w:tcW w:w="692" w:type="pct"/>
            <w:tcBorders>
              <w:top w:val="nil"/>
              <w:left w:val="nil"/>
              <w:bottom w:val="nil"/>
              <w:right w:val="nil"/>
            </w:tcBorders>
            <w:shd w:val="clear" w:color="auto" w:fill="auto"/>
            <w:noWrap/>
            <w:vAlign w:val="center"/>
            <w:hideMark/>
          </w:tcPr>
          <w:p w14:paraId="248BE065" w14:textId="049FF387"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(2.53)</w:t>
            </w:r>
          </w:p>
        </w:tc>
        <w:tc>
          <w:tcPr>
            <w:tcW w:w="719" w:type="pct"/>
            <w:tcBorders>
              <w:top w:val="nil"/>
              <w:left w:val="nil"/>
              <w:bottom w:val="nil"/>
              <w:right w:val="nil"/>
            </w:tcBorders>
            <w:shd w:val="clear" w:color="auto" w:fill="auto"/>
            <w:noWrap/>
            <w:vAlign w:val="center"/>
            <w:hideMark/>
          </w:tcPr>
          <w:p w14:paraId="252C3F03" w14:textId="28800B40"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w:t>
            </w:r>
            <w:r w:rsidR="00605F18" w:rsidRPr="00D77D01">
              <w:rPr>
                <w:rFonts w:ascii="Times New Roman" w:eastAsia="Times New Roman" w:hAnsi="Times New Roman" w:cs="Times New Roman"/>
                <w:color w:val="000000"/>
              </w:rPr>
              <w:t>7</w:t>
            </w:r>
            <w:r w:rsidR="00605F18">
              <w:rPr>
                <w:rFonts w:ascii="Times New Roman" w:eastAsia="Times New Roman" w:hAnsi="Times New Roman" w:cs="Times New Roman"/>
                <w:color w:val="000000"/>
              </w:rPr>
              <w:t>8</w:t>
            </w:r>
            <w:r w:rsidRPr="00D77D01">
              <w:rPr>
                <w:rFonts w:ascii="Times New Roman" w:eastAsia="Times New Roman" w:hAnsi="Times New Roman" w:cs="Times New Roman"/>
                <w:color w:val="000000"/>
              </w:rPr>
              <w:t>)</w:t>
            </w:r>
          </w:p>
        </w:tc>
        <w:tc>
          <w:tcPr>
            <w:tcW w:w="710" w:type="pct"/>
            <w:tcBorders>
              <w:top w:val="nil"/>
              <w:left w:val="nil"/>
              <w:bottom w:val="nil"/>
              <w:right w:val="nil"/>
            </w:tcBorders>
            <w:shd w:val="clear" w:color="auto" w:fill="auto"/>
            <w:noWrap/>
            <w:vAlign w:val="center"/>
            <w:hideMark/>
          </w:tcPr>
          <w:p w14:paraId="2D7A1209"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(4.17)</w:t>
            </w:r>
          </w:p>
        </w:tc>
        <w:tc>
          <w:tcPr>
            <w:tcW w:w="719" w:type="pct"/>
            <w:tcBorders>
              <w:top w:val="nil"/>
              <w:left w:val="nil"/>
              <w:bottom w:val="nil"/>
              <w:right w:val="nil"/>
            </w:tcBorders>
            <w:shd w:val="clear" w:color="auto" w:fill="auto"/>
            <w:noWrap/>
            <w:vAlign w:val="center"/>
            <w:hideMark/>
          </w:tcPr>
          <w:p w14:paraId="3F12A2BC" w14:textId="700F8A8C"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(5.07)</w:t>
            </w:r>
          </w:p>
        </w:tc>
        <w:tc>
          <w:tcPr>
            <w:tcW w:w="710" w:type="pct"/>
            <w:tcBorders>
              <w:top w:val="nil"/>
              <w:left w:val="nil"/>
              <w:bottom w:val="nil"/>
              <w:right w:val="nil"/>
            </w:tcBorders>
            <w:shd w:val="clear" w:color="auto" w:fill="auto"/>
            <w:noWrap/>
            <w:vAlign w:val="center"/>
            <w:hideMark/>
          </w:tcPr>
          <w:p w14:paraId="48F9DA5E" w14:textId="6D02DA25"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(5.</w:t>
            </w:r>
            <w:r w:rsidR="00551D5D" w:rsidRPr="00D77D01">
              <w:rPr>
                <w:rFonts w:ascii="Times New Roman" w:eastAsia="Times New Roman" w:hAnsi="Times New Roman" w:cs="Times New Roman"/>
                <w:color w:val="000000"/>
              </w:rPr>
              <w:t>9</w:t>
            </w:r>
            <w:r w:rsidR="00551D5D">
              <w:rPr>
                <w:rFonts w:ascii="Times New Roman" w:eastAsia="Times New Roman" w:hAnsi="Times New Roman" w:cs="Times New Roman"/>
                <w:color w:val="000000"/>
              </w:rPr>
              <w:t>1</w:t>
            </w:r>
            <w:r w:rsidRPr="00D77D01">
              <w:rPr>
                <w:rFonts w:ascii="Times New Roman" w:eastAsia="Times New Roman" w:hAnsi="Times New Roman" w:cs="Times New Roman"/>
                <w:color w:val="000000"/>
              </w:rPr>
              <w:t>)</w:t>
            </w:r>
          </w:p>
        </w:tc>
        <w:tc>
          <w:tcPr>
            <w:tcW w:w="667" w:type="pct"/>
            <w:tcBorders>
              <w:top w:val="nil"/>
              <w:left w:val="nil"/>
              <w:bottom w:val="nil"/>
              <w:right w:val="nil"/>
            </w:tcBorders>
            <w:shd w:val="clear" w:color="auto" w:fill="auto"/>
            <w:noWrap/>
            <w:vAlign w:val="center"/>
            <w:hideMark/>
          </w:tcPr>
          <w:p w14:paraId="343B1A59" w14:textId="57C81332"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(5.18)</w:t>
            </w:r>
          </w:p>
        </w:tc>
      </w:tr>
      <w:tr w:rsidR="003F7B0F" w:rsidRPr="00D77D01" w14:paraId="4A37ACCB" w14:textId="77777777" w:rsidTr="009C601C">
        <w:trPr>
          <w:trHeight w:val="315"/>
        </w:trPr>
        <w:tc>
          <w:tcPr>
            <w:tcW w:w="783" w:type="pct"/>
            <w:tcBorders>
              <w:top w:val="nil"/>
              <w:left w:val="nil"/>
              <w:bottom w:val="nil"/>
              <w:right w:val="nil"/>
            </w:tcBorders>
            <w:shd w:val="clear" w:color="auto" w:fill="auto"/>
            <w:noWrap/>
            <w:vAlign w:val="bottom"/>
            <w:hideMark/>
          </w:tcPr>
          <w:p w14:paraId="5D0ED4AB" w14:textId="77777777" w:rsidR="003F7B0F" w:rsidRPr="00D77D01" w:rsidRDefault="003F7B0F" w:rsidP="009C601C">
            <w:pPr>
              <w:spacing w:after="0" w:line="240" w:lineRule="auto"/>
              <w:rPr>
                <w:rFonts w:ascii="Times New Roman" w:eastAsia="Times New Roman" w:hAnsi="Times New Roman" w:cs="Times New Roman"/>
                <w:i/>
                <w:color w:val="000000"/>
              </w:rPr>
            </w:pPr>
            <w:r w:rsidRPr="00D77D01">
              <w:rPr>
                <w:rFonts w:ascii="Times New Roman" w:eastAsia="Times New Roman" w:hAnsi="Times New Roman" w:cs="Times New Roman"/>
                <w:i/>
                <w:color w:val="000000"/>
              </w:rPr>
              <w:t>SMB</w:t>
            </w:r>
          </w:p>
        </w:tc>
        <w:tc>
          <w:tcPr>
            <w:tcW w:w="692" w:type="pct"/>
            <w:tcBorders>
              <w:top w:val="nil"/>
              <w:left w:val="nil"/>
              <w:bottom w:val="nil"/>
              <w:right w:val="nil"/>
            </w:tcBorders>
            <w:shd w:val="clear" w:color="auto" w:fill="auto"/>
            <w:noWrap/>
            <w:vAlign w:val="center"/>
            <w:hideMark/>
          </w:tcPr>
          <w:p w14:paraId="1D0198DD"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1.204***</w:t>
            </w:r>
          </w:p>
        </w:tc>
        <w:tc>
          <w:tcPr>
            <w:tcW w:w="719" w:type="pct"/>
            <w:tcBorders>
              <w:top w:val="nil"/>
              <w:left w:val="nil"/>
              <w:bottom w:val="nil"/>
              <w:right w:val="nil"/>
            </w:tcBorders>
            <w:shd w:val="clear" w:color="auto" w:fill="auto"/>
            <w:noWrap/>
            <w:vAlign w:val="center"/>
            <w:hideMark/>
          </w:tcPr>
          <w:p w14:paraId="6152099C"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1.039**</w:t>
            </w:r>
          </w:p>
        </w:tc>
        <w:tc>
          <w:tcPr>
            <w:tcW w:w="710" w:type="pct"/>
            <w:tcBorders>
              <w:top w:val="nil"/>
              <w:left w:val="nil"/>
              <w:bottom w:val="nil"/>
              <w:right w:val="nil"/>
            </w:tcBorders>
            <w:shd w:val="clear" w:color="auto" w:fill="auto"/>
            <w:noWrap/>
            <w:vAlign w:val="center"/>
            <w:hideMark/>
          </w:tcPr>
          <w:p w14:paraId="23478FC6"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1.461***</w:t>
            </w:r>
          </w:p>
        </w:tc>
        <w:tc>
          <w:tcPr>
            <w:tcW w:w="719" w:type="pct"/>
            <w:tcBorders>
              <w:top w:val="nil"/>
              <w:left w:val="nil"/>
              <w:bottom w:val="nil"/>
              <w:right w:val="nil"/>
            </w:tcBorders>
            <w:shd w:val="clear" w:color="auto" w:fill="auto"/>
            <w:noWrap/>
            <w:vAlign w:val="center"/>
            <w:hideMark/>
          </w:tcPr>
          <w:p w14:paraId="0B635A34"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1.332***</w:t>
            </w:r>
          </w:p>
        </w:tc>
        <w:tc>
          <w:tcPr>
            <w:tcW w:w="710" w:type="pct"/>
            <w:tcBorders>
              <w:top w:val="nil"/>
              <w:left w:val="nil"/>
              <w:bottom w:val="nil"/>
              <w:right w:val="nil"/>
            </w:tcBorders>
            <w:shd w:val="clear" w:color="auto" w:fill="auto"/>
            <w:noWrap/>
            <w:vAlign w:val="center"/>
            <w:hideMark/>
          </w:tcPr>
          <w:p w14:paraId="7D882400"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1.231***</w:t>
            </w:r>
          </w:p>
        </w:tc>
        <w:tc>
          <w:tcPr>
            <w:tcW w:w="667" w:type="pct"/>
            <w:tcBorders>
              <w:top w:val="nil"/>
              <w:left w:val="nil"/>
              <w:bottom w:val="nil"/>
              <w:right w:val="nil"/>
            </w:tcBorders>
            <w:shd w:val="clear" w:color="auto" w:fill="auto"/>
            <w:noWrap/>
            <w:vAlign w:val="center"/>
            <w:hideMark/>
          </w:tcPr>
          <w:p w14:paraId="6ADA0D28"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1.148***</w:t>
            </w:r>
          </w:p>
        </w:tc>
      </w:tr>
      <w:tr w:rsidR="003F7B0F" w:rsidRPr="00D77D01" w14:paraId="288C901A" w14:textId="77777777" w:rsidTr="009C601C">
        <w:trPr>
          <w:trHeight w:val="315"/>
        </w:trPr>
        <w:tc>
          <w:tcPr>
            <w:tcW w:w="783" w:type="pct"/>
            <w:tcBorders>
              <w:top w:val="nil"/>
              <w:left w:val="nil"/>
              <w:bottom w:val="nil"/>
              <w:right w:val="nil"/>
            </w:tcBorders>
            <w:shd w:val="clear" w:color="auto" w:fill="auto"/>
            <w:noWrap/>
            <w:vAlign w:val="bottom"/>
            <w:hideMark/>
          </w:tcPr>
          <w:p w14:paraId="54ECCBED" w14:textId="77777777" w:rsidR="003F7B0F" w:rsidRPr="00D77D01" w:rsidRDefault="003F7B0F" w:rsidP="009C601C">
            <w:pPr>
              <w:spacing w:after="0" w:line="240" w:lineRule="auto"/>
              <w:jc w:val="center"/>
              <w:rPr>
                <w:rFonts w:ascii="Times New Roman" w:eastAsia="Times New Roman" w:hAnsi="Times New Roman" w:cs="Times New Roman"/>
                <w:i/>
                <w:color w:val="000000"/>
              </w:rPr>
            </w:pPr>
          </w:p>
        </w:tc>
        <w:tc>
          <w:tcPr>
            <w:tcW w:w="692" w:type="pct"/>
            <w:tcBorders>
              <w:top w:val="nil"/>
              <w:left w:val="nil"/>
              <w:bottom w:val="nil"/>
              <w:right w:val="nil"/>
            </w:tcBorders>
            <w:shd w:val="clear" w:color="auto" w:fill="auto"/>
            <w:noWrap/>
            <w:vAlign w:val="center"/>
            <w:hideMark/>
          </w:tcPr>
          <w:p w14:paraId="1B581752" w14:textId="6A551995"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(3.00)</w:t>
            </w:r>
          </w:p>
        </w:tc>
        <w:tc>
          <w:tcPr>
            <w:tcW w:w="719" w:type="pct"/>
            <w:tcBorders>
              <w:top w:val="nil"/>
              <w:left w:val="nil"/>
              <w:bottom w:val="nil"/>
              <w:right w:val="nil"/>
            </w:tcBorders>
            <w:shd w:val="clear" w:color="auto" w:fill="auto"/>
            <w:noWrap/>
            <w:vAlign w:val="center"/>
            <w:hideMark/>
          </w:tcPr>
          <w:p w14:paraId="1D835E90" w14:textId="25609199"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(2.</w:t>
            </w:r>
            <w:r w:rsidR="00605F18" w:rsidRPr="00D77D01">
              <w:rPr>
                <w:rFonts w:ascii="Times New Roman" w:eastAsia="Times New Roman" w:hAnsi="Times New Roman" w:cs="Times New Roman"/>
                <w:color w:val="000000"/>
              </w:rPr>
              <w:t>4</w:t>
            </w:r>
            <w:r w:rsidR="00605F18">
              <w:rPr>
                <w:rFonts w:ascii="Times New Roman" w:eastAsia="Times New Roman" w:hAnsi="Times New Roman" w:cs="Times New Roman"/>
                <w:color w:val="000000"/>
              </w:rPr>
              <w:t>9</w:t>
            </w:r>
            <w:r w:rsidRPr="00D77D01">
              <w:rPr>
                <w:rFonts w:ascii="Times New Roman" w:eastAsia="Times New Roman" w:hAnsi="Times New Roman" w:cs="Times New Roman"/>
                <w:color w:val="000000"/>
              </w:rPr>
              <w:t>)</w:t>
            </w:r>
          </w:p>
        </w:tc>
        <w:tc>
          <w:tcPr>
            <w:tcW w:w="710" w:type="pct"/>
            <w:tcBorders>
              <w:top w:val="nil"/>
              <w:left w:val="nil"/>
              <w:bottom w:val="nil"/>
              <w:right w:val="nil"/>
            </w:tcBorders>
            <w:shd w:val="clear" w:color="auto" w:fill="auto"/>
            <w:noWrap/>
            <w:vAlign w:val="center"/>
            <w:hideMark/>
          </w:tcPr>
          <w:p w14:paraId="53CF6F83" w14:textId="236D1334"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(4.</w:t>
            </w:r>
            <w:r w:rsidR="00605F18" w:rsidRPr="00D77D01">
              <w:rPr>
                <w:rFonts w:ascii="Times New Roman" w:eastAsia="Times New Roman" w:hAnsi="Times New Roman" w:cs="Times New Roman"/>
                <w:color w:val="000000"/>
              </w:rPr>
              <w:t>3</w:t>
            </w:r>
            <w:r w:rsidR="00605F18">
              <w:rPr>
                <w:rFonts w:ascii="Times New Roman" w:eastAsia="Times New Roman" w:hAnsi="Times New Roman" w:cs="Times New Roman"/>
                <w:color w:val="000000"/>
              </w:rPr>
              <w:t>2</w:t>
            </w:r>
            <w:r w:rsidRPr="00D77D01">
              <w:rPr>
                <w:rFonts w:ascii="Times New Roman" w:eastAsia="Times New Roman" w:hAnsi="Times New Roman" w:cs="Times New Roman"/>
                <w:color w:val="000000"/>
              </w:rPr>
              <w:t>)</w:t>
            </w:r>
          </w:p>
        </w:tc>
        <w:tc>
          <w:tcPr>
            <w:tcW w:w="719" w:type="pct"/>
            <w:tcBorders>
              <w:top w:val="nil"/>
              <w:left w:val="nil"/>
              <w:bottom w:val="nil"/>
              <w:right w:val="nil"/>
            </w:tcBorders>
            <w:shd w:val="clear" w:color="auto" w:fill="auto"/>
            <w:noWrap/>
            <w:vAlign w:val="center"/>
            <w:hideMark/>
          </w:tcPr>
          <w:p w14:paraId="57F5CD14" w14:textId="537104E3"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(3.1</w:t>
            </w:r>
            <w:r w:rsidR="00605F18">
              <w:rPr>
                <w:rFonts w:ascii="Times New Roman" w:eastAsia="Times New Roman" w:hAnsi="Times New Roman" w:cs="Times New Roman"/>
                <w:color w:val="000000"/>
              </w:rPr>
              <w:t>0</w:t>
            </w:r>
            <w:r w:rsidRPr="00D77D01">
              <w:rPr>
                <w:rFonts w:ascii="Times New Roman" w:eastAsia="Times New Roman" w:hAnsi="Times New Roman" w:cs="Times New Roman"/>
                <w:color w:val="000000"/>
              </w:rPr>
              <w:t>)</w:t>
            </w:r>
          </w:p>
        </w:tc>
        <w:tc>
          <w:tcPr>
            <w:tcW w:w="710" w:type="pct"/>
            <w:tcBorders>
              <w:top w:val="nil"/>
              <w:left w:val="nil"/>
              <w:bottom w:val="nil"/>
              <w:right w:val="nil"/>
            </w:tcBorders>
            <w:shd w:val="clear" w:color="auto" w:fill="auto"/>
            <w:noWrap/>
            <w:vAlign w:val="center"/>
            <w:hideMark/>
          </w:tcPr>
          <w:p w14:paraId="0BC965F7" w14:textId="789B31DD"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w:t>
            </w:r>
            <w:r w:rsidR="00551D5D" w:rsidRPr="00D77D01">
              <w:rPr>
                <w:rFonts w:ascii="Times New Roman" w:eastAsia="Times New Roman" w:hAnsi="Times New Roman" w:cs="Times New Roman"/>
                <w:color w:val="000000"/>
              </w:rPr>
              <w:t>1</w:t>
            </w:r>
            <w:r w:rsidR="00551D5D">
              <w:rPr>
                <w:rFonts w:ascii="Times New Roman" w:eastAsia="Times New Roman" w:hAnsi="Times New Roman" w:cs="Times New Roman"/>
                <w:color w:val="000000"/>
              </w:rPr>
              <w:t>9</w:t>
            </w:r>
            <w:r w:rsidRPr="00D77D01">
              <w:rPr>
                <w:rFonts w:ascii="Times New Roman" w:eastAsia="Times New Roman" w:hAnsi="Times New Roman" w:cs="Times New Roman"/>
                <w:color w:val="000000"/>
              </w:rPr>
              <w:t>)</w:t>
            </w:r>
          </w:p>
        </w:tc>
        <w:tc>
          <w:tcPr>
            <w:tcW w:w="667" w:type="pct"/>
            <w:tcBorders>
              <w:top w:val="nil"/>
              <w:left w:val="nil"/>
              <w:bottom w:val="nil"/>
              <w:right w:val="nil"/>
            </w:tcBorders>
            <w:shd w:val="clear" w:color="auto" w:fill="auto"/>
            <w:noWrap/>
            <w:vAlign w:val="center"/>
            <w:hideMark/>
          </w:tcPr>
          <w:p w14:paraId="48596535" w14:textId="0592F135"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(3.</w:t>
            </w:r>
            <w:r w:rsidR="00605F18" w:rsidRPr="00D77D01">
              <w:rPr>
                <w:rFonts w:ascii="Times New Roman" w:eastAsia="Times New Roman" w:hAnsi="Times New Roman" w:cs="Times New Roman"/>
                <w:color w:val="000000"/>
              </w:rPr>
              <w:t>8</w:t>
            </w:r>
            <w:r w:rsidR="00605F18">
              <w:rPr>
                <w:rFonts w:ascii="Times New Roman" w:eastAsia="Times New Roman" w:hAnsi="Times New Roman" w:cs="Times New Roman"/>
                <w:color w:val="000000"/>
              </w:rPr>
              <w:t>5</w:t>
            </w:r>
            <w:r w:rsidRPr="00D77D01">
              <w:rPr>
                <w:rFonts w:ascii="Times New Roman" w:eastAsia="Times New Roman" w:hAnsi="Times New Roman" w:cs="Times New Roman"/>
                <w:color w:val="000000"/>
              </w:rPr>
              <w:t>)</w:t>
            </w:r>
          </w:p>
        </w:tc>
      </w:tr>
      <w:tr w:rsidR="003F7B0F" w:rsidRPr="00D77D01" w14:paraId="4F8266B0" w14:textId="77777777" w:rsidTr="009C601C">
        <w:trPr>
          <w:trHeight w:val="315"/>
        </w:trPr>
        <w:tc>
          <w:tcPr>
            <w:tcW w:w="783" w:type="pct"/>
            <w:tcBorders>
              <w:top w:val="nil"/>
              <w:left w:val="nil"/>
              <w:bottom w:val="nil"/>
              <w:right w:val="nil"/>
            </w:tcBorders>
            <w:shd w:val="clear" w:color="auto" w:fill="auto"/>
            <w:noWrap/>
            <w:vAlign w:val="bottom"/>
            <w:hideMark/>
          </w:tcPr>
          <w:p w14:paraId="3380F3DD" w14:textId="77777777" w:rsidR="003F7B0F" w:rsidRPr="00D77D01" w:rsidRDefault="003F7B0F" w:rsidP="009C601C">
            <w:pPr>
              <w:spacing w:after="0" w:line="240" w:lineRule="auto"/>
              <w:rPr>
                <w:rFonts w:ascii="Times New Roman" w:eastAsia="Times New Roman" w:hAnsi="Times New Roman" w:cs="Times New Roman"/>
                <w:i/>
                <w:color w:val="000000"/>
              </w:rPr>
            </w:pPr>
            <w:r w:rsidRPr="00D77D01">
              <w:rPr>
                <w:rFonts w:ascii="Times New Roman" w:eastAsia="Times New Roman" w:hAnsi="Times New Roman" w:cs="Times New Roman"/>
                <w:i/>
                <w:color w:val="000000"/>
              </w:rPr>
              <w:t>HML</w:t>
            </w:r>
          </w:p>
        </w:tc>
        <w:tc>
          <w:tcPr>
            <w:tcW w:w="692" w:type="pct"/>
            <w:tcBorders>
              <w:top w:val="nil"/>
              <w:left w:val="nil"/>
              <w:bottom w:val="nil"/>
              <w:right w:val="nil"/>
            </w:tcBorders>
            <w:shd w:val="clear" w:color="auto" w:fill="auto"/>
            <w:noWrap/>
            <w:vAlign w:val="center"/>
            <w:hideMark/>
          </w:tcPr>
          <w:p w14:paraId="75182486"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-0.043</w:t>
            </w:r>
          </w:p>
        </w:tc>
        <w:tc>
          <w:tcPr>
            <w:tcW w:w="719" w:type="pct"/>
            <w:tcBorders>
              <w:top w:val="nil"/>
              <w:left w:val="nil"/>
              <w:bottom w:val="nil"/>
              <w:right w:val="nil"/>
            </w:tcBorders>
            <w:shd w:val="clear" w:color="auto" w:fill="auto"/>
            <w:noWrap/>
            <w:vAlign w:val="center"/>
            <w:hideMark/>
          </w:tcPr>
          <w:p w14:paraId="3A3E0E35"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0.058</w:t>
            </w:r>
          </w:p>
        </w:tc>
        <w:tc>
          <w:tcPr>
            <w:tcW w:w="710" w:type="pct"/>
            <w:tcBorders>
              <w:top w:val="nil"/>
              <w:left w:val="nil"/>
              <w:bottom w:val="nil"/>
              <w:right w:val="nil"/>
            </w:tcBorders>
            <w:shd w:val="clear" w:color="auto" w:fill="auto"/>
            <w:noWrap/>
            <w:vAlign w:val="center"/>
            <w:hideMark/>
          </w:tcPr>
          <w:p w14:paraId="79B3E5E3"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0.167</w:t>
            </w:r>
          </w:p>
        </w:tc>
        <w:tc>
          <w:tcPr>
            <w:tcW w:w="719" w:type="pct"/>
            <w:tcBorders>
              <w:top w:val="nil"/>
              <w:left w:val="nil"/>
              <w:bottom w:val="nil"/>
              <w:right w:val="nil"/>
            </w:tcBorders>
            <w:shd w:val="clear" w:color="auto" w:fill="auto"/>
            <w:noWrap/>
            <w:vAlign w:val="center"/>
            <w:hideMark/>
          </w:tcPr>
          <w:p w14:paraId="05871F1E"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0.263</w:t>
            </w:r>
          </w:p>
        </w:tc>
        <w:tc>
          <w:tcPr>
            <w:tcW w:w="710" w:type="pct"/>
            <w:tcBorders>
              <w:top w:val="nil"/>
              <w:left w:val="nil"/>
              <w:bottom w:val="nil"/>
              <w:right w:val="nil"/>
            </w:tcBorders>
            <w:shd w:val="clear" w:color="auto" w:fill="auto"/>
            <w:noWrap/>
            <w:vAlign w:val="center"/>
            <w:hideMark/>
          </w:tcPr>
          <w:p w14:paraId="2BC179DF"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0.278</w:t>
            </w:r>
          </w:p>
        </w:tc>
        <w:tc>
          <w:tcPr>
            <w:tcW w:w="667" w:type="pct"/>
            <w:tcBorders>
              <w:top w:val="nil"/>
              <w:left w:val="nil"/>
              <w:bottom w:val="nil"/>
              <w:right w:val="nil"/>
            </w:tcBorders>
            <w:shd w:val="clear" w:color="auto" w:fill="auto"/>
            <w:noWrap/>
            <w:vAlign w:val="center"/>
            <w:hideMark/>
          </w:tcPr>
          <w:p w14:paraId="386D2DCA" w14:textId="77777777" w:rsidR="003F7B0F" w:rsidRPr="00D77D01" w:rsidRDefault="003F7B0F" w:rsidP="009C601C">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0.146</w:t>
            </w:r>
          </w:p>
        </w:tc>
      </w:tr>
      <w:tr w:rsidR="003F7B0F" w:rsidRPr="00D77D01" w14:paraId="726F6B94" w14:textId="77777777" w:rsidTr="009C601C">
        <w:trPr>
          <w:trHeight w:val="315"/>
        </w:trPr>
        <w:tc>
          <w:tcPr>
            <w:tcW w:w="783" w:type="pct"/>
            <w:tcBorders>
              <w:top w:val="nil"/>
              <w:left w:val="nil"/>
              <w:bottom w:val="nil"/>
              <w:right w:val="nil"/>
            </w:tcBorders>
            <w:shd w:val="clear" w:color="auto" w:fill="auto"/>
            <w:noWrap/>
            <w:vAlign w:val="bottom"/>
            <w:hideMark/>
          </w:tcPr>
          <w:p w14:paraId="58AA52A4" w14:textId="77777777" w:rsidR="003F7B0F" w:rsidRPr="00D77D01" w:rsidRDefault="003F7B0F" w:rsidP="009C601C">
            <w:pPr>
              <w:spacing w:after="0" w:line="240" w:lineRule="auto"/>
              <w:rPr>
                <w:rFonts w:ascii="Times New Roman" w:eastAsia="Times New Roman" w:hAnsi="Times New Roman" w:cs="Times New Roman"/>
                <w:i/>
                <w:color w:val="000000"/>
              </w:rPr>
            </w:pPr>
            <w:r w:rsidRPr="00D77D01">
              <w:rPr>
                <w:rFonts w:ascii="Times New Roman" w:eastAsia="Times New Roman" w:hAnsi="Times New Roman" w:cs="Times New Roman"/>
                <w:i/>
                <w:color w:val="000000"/>
              </w:rPr>
              <w:t> </w:t>
            </w:r>
          </w:p>
        </w:tc>
        <w:tc>
          <w:tcPr>
            <w:tcW w:w="692" w:type="pct"/>
            <w:tcBorders>
              <w:top w:val="nil"/>
              <w:left w:val="nil"/>
              <w:bottom w:val="nil"/>
              <w:right w:val="nil"/>
            </w:tcBorders>
            <w:shd w:val="clear" w:color="auto" w:fill="auto"/>
            <w:noWrap/>
            <w:vAlign w:val="center"/>
            <w:hideMark/>
          </w:tcPr>
          <w:p w14:paraId="19313C37" w14:textId="370E6F53"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(-0.18)</w:t>
            </w:r>
          </w:p>
        </w:tc>
        <w:tc>
          <w:tcPr>
            <w:tcW w:w="719" w:type="pct"/>
            <w:tcBorders>
              <w:top w:val="nil"/>
              <w:left w:val="nil"/>
              <w:bottom w:val="nil"/>
              <w:right w:val="nil"/>
            </w:tcBorders>
            <w:shd w:val="clear" w:color="auto" w:fill="auto"/>
            <w:noWrap/>
            <w:vAlign w:val="center"/>
            <w:hideMark/>
          </w:tcPr>
          <w:p w14:paraId="10DFCD45" w14:textId="4BCF7E7B"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(0.18)</w:t>
            </w:r>
          </w:p>
        </w:tc>
        <w:tc>
          <w:tcPr>
            <w:tcW w:w="710" w:type="pct"/>
            <w:tcBorders>
              <w:top w:val="nil"/>
              <w:left w:val="nil"/>
              <w:bottom w:val="nil"/>
              <w:right w:val="nil"/>
            </w:tcBorders>
            <w:shd w:val="clear" w:color="auto" w:fill="auto"/>
            <w:noWrap/>
            <w:vAlign w:val="center"/>
            <w:hideMark/>
          </w:tcPr>
          <w:p w14:paraId="74D287E3" w14:textId="62C8F1ED"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w:t>
            </w:r>
            <w:r w:rsidR="00605F18" w:rsidRPr="00D77D01">
              <w:rPr>
                <w:rFonts w:ascii="Times New Roman" w:eastAsia="Times New Roman" w:hAnsi="Times New Roman" w:cs="Times New Roman"/>
                <w:color w:val="000000"/>
              </w:rPr>
              <w:t>7</w:t>
            </w:r>
            <w:r w:rsidR="00605F18">
              <w:rPr>
                <w:rFonts w:ascii="Times New Roman" w:eastAsia="Times New Roman" w:hAnsi="Times New Roman" w:cs="Times New Roman"/>
                <w:color w:val="000000"/>
              </w:rPr>
              <w:t>8</w:t>
            </w:r>
            <w:r w:rsidRPr="00D77D01">
              <w:rPr>
                <w:rFonts w:ascii="Times New Roman" w:eastAsia="Times New Roman" w:hAnsi="Times New Roman" w:cs="Times New Roman"/>
                <w:color w:val="000000"/>
              </w:rPr>
              <w:t>)</w:t>
            </w:r>
          </w:p>
        </w:tc>
        <w:tc>
          <w:tcPr>
            <w:tcW w:w="719" w:type="pct"/>
            <w:tcBorders>
              <w:top w:val="nil"/>
              <w:left w:val="nil"/>
              <w:bottom w:val="nil"/>
              <w:right w:val="nil"/>
            </w:tcBorders>
            <w:shd w:val="clear" w:color="auto" w:fill="auto"/>
            <w:noWrap/>
            <w:vAlign w:val="center"/>
            <w:hideMark/>
          </w:tcPr>
          <w:p w14:paraId="4BB3F5AB" w14:textId="788F5C27"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(0.79)</w:t>
            </w:r>
          </w:p>
        </w:tc>
        <w:tc>
          <w:tcPr>
            <w:tcW w:w="710" w:type="pct"/>
            <w:tcBorders>
              <w:top w:val="nil"/>
              <w:left w:val="nil"/>
              <w:bottom w:val="nil"/>
              <w:right w:val="nil"/>
            </w:tcBorders>
            <w:shd w:val="clear" w:color="auto" w:fill="auto"/>
            <w:noWrap/>
            <w:vAlign w:val="center"/>
            <w:hideMark/>
          </w:tcPr>
          <w:p w14:paraId="51E471AB" w14:textId="0E06FAF5"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w:t>
            </w:r>
            <w:r w:rsidR="00551D5D" w:rsidRPr="00D77D01">
              <w:rPr>
                <w:rFonts w:ascii="Times New Roman" w:eastAsia="Times New Roman" w:hAnsi="Times New Roman" w:cs="Times New Roman"/>
                <w:color w:val="000000"/>
              </w:rPr>
              <w:t>9</w:t>
            </w:r>
            <w:r w:rsidR="00551D5D">
              <w:rPr>
                <w:rFonts w:ascii="Times New Roman" w:eastAsia="Times New Roman" w:hAnsi="Times New Roman" w:cs="Times New Roman"/>
                <w:color w:val="000000"/>
              </w:rPr>
              <w:t>5</w:t>
            </w:r>
            <w:r w:rsidRPr="00D77D01">
              <w:rPr>
                <w:rFonts w:ascii="Times New Roman" w:eastAsia="Times New Roman" w:hAnsi="Times New Roman" w:cs="Times New Roman"/>
                <w:color w:val="000000"/>
              </w:rPr>
              <w:t>)</w:t>
            </w:r>
          </w:p>
        </w:tc>
        <w:tc>
          <w:tcPr>
            <w:tcW w:w="667" w:type="pct"/>
            <w:tcBorders>
              <w:top w:val="nil"/>
              <w:left w:val="nil"/>
              <w:bottom w:val="nil"/>
              <w:right w:val="nil"/>
            </w:tcBorders>
            <w:shd w:val="clear" w:color="auto" w:fill="auto"/>
            <w:noWrap/>
            <w:vAlign w:val="center"/>
            <w:hideMark/>
          </w:tcPr>
          <w:p w14:paraId="43E99113" w14:textId="0D8BEB00" w:rsidR="003F7B0F" w:rsidRPr="00D77D01" w:rsidRDefault="003F7B0F">
            <w:pPr>
              <w:spacing w:after="0" w:line="240" w:lineRule="auto"/>
              <w:jc w:val="center"/>
              <w:rPr>
                <w:rFonts w:ascii="Times New Roman" w:eastAsia="Times New Roman" w:hAnsi="Times New Roman" w:cs="Times New Roman"/>
                <w:color w:val="000000"/>
              </w:rPr>
            </w:pPr>
            <w:r w:rsidRPr="00D77D01">
              <w:rPr>
                <w:rFonts w:ascii="Times New Roman" w:eastAsia="Times New Roman" w:hAnsi="Times New Roman" w:cs="Times New Roman"/>
                <w:color w:val="000000"/>
              </w:rPr>
              <w:t>(0.95)</w:t>
            </w:r>
          </w:p>
        </w:tc>
      </w:tr>
      <w:tr w:rsidR="003F7B0F" w:rsidRPr="00D77D01" w14:paraId="368E6F41" w14:textId="77777777" w:rsidTr="00BC6405">
        <w:trPr>
          <w:trHeight w:hRule="exact" w:val="144"/>
        </w:trPr>
        <w:tc>
          <w:tcPr>
            <w:tcW w:w="783" w:type="pct"/>
            <w:tcBorders>
              <w:top w:val="nil"/>
              <w:left w:val="nil"/>
              <w:bottom w:val="single" w:sz="12" w:space="0" w:color="auto"/>
              <w:right w:val="nil"/>
            </w:tcBorders>
            <w:shd w:val="clear" w:color="auto" w:fill="auto"/>
            <w:noWrap/>
            <w:vAlign w:val="bottom"/>
          </w:tcPr>
          <w:p w14:paraId="377EF943" w14:textId="77777777" w:rsidR="003F7B0F" w:rsidRPr="00D77D01" w:rsidRDefault="003F7B0F" w:rsidP="009C601C">
            <w:pPr>
              <w:spacing w:after="0" w:line="240" w:lineRule="auto"/>
              <w:rPr>
                <w:rFonts w:ascii="Times New Roman" w:eastAsia="Times New Roman" w:hAnsi="Times New Roman" w:cs="Times New Roman"/>
                <w:i/>
                <w:color w:val="000000"/>
              </w:rPr>
            </w:pPr>
          </w:p>
        </w:tc>
        <w:tc>
          <w:tcPr>
            <w:tcW w:w="692" w:type="pct"/>
            <w:tcBorders>
              <w:top w:val="nil"/>
              <w:left w:val="nil"/>
              <w:bottom w:val="single" w:sz="12" w:space="0" w:color="auto"/>
              <w:right w:val="nil"/>
            </w:tcBorders>
            <w:shd w:val="clear" w:color="auto" w:fill="auto"/>
            <w:noWrap/>
            <w:vAlign w:val="center"/>
          </w:tcPr>
          <w:p w14:paraId="1D2D59C8"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top w:val="nil"/>
              <w:left w:val="nil"/>
              <w:bottom w:val="single" w:sz="12" w:space="0" w:color="auto"/>
              <w:right w:val="nil"/>
            </w:tcBorders>
            <w:shd w:val="clear" w:color="auto" w:fill="auto"/>
            <w:noWrap/>
            <w:vAlign w:val="center"/>
          </w:tcPr>
          <w:p w14:paraId="6FDA0A58"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top w:val="nil"/>
              <w:left w:val="nil"/>
              <w:bottom w:val="single" w:sz="12" w:space="0" w:color="auto"/>
              <w:right w:val="nil"/>
            </w:tcBorders>
            <w:shd w:val="clear" w:color="auto" w:fill="auto"/>
            <w:noWrap/>
            <w:vAlign w:val="center"/>
          </w:tcPr>
          <w:p w14:paraId="1ACBD71E"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9" w:type="pct"/>
            <w:tcBorders>
              <w:top w:val="nil"/>
              <w:left w:val="nil"/>
              <w:bottom w:val="single" w:sz="12" w:space="0" w:color="auto"/>
              <w:right w:val="nil"/>
            </w:tcBorders>
            <w:shd w:val="clear" w:color="auto" w:fill="auto"/>
            <w:noWrap/>
            <w:vAlign w:val="center"/>
          </w:tcPr>
          <w:p w14:paraId="19086B33"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710" w:type="pct"/>
            <w:tcBorders>
              <w:top w:val="nil"/>
              <w:left w:val="nil"/>
              <w:bottom w:val="single" w:sz="12" w:space="0" w:color="auto"/>
              <w:right w:val="nil"/>
            </w:tcBorders>
            <w:shd w:val="clear" w:color="auto" w:fill="auto"/>
            <w:noWrap/>
            <w:vAlign w:val="center"/>
          </w:tcPr>
          <w:p w14:paraId="73053A13"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c>
          <w:tcPr>
            <w:tcW w:w="667" w:type="pct"/>
            <w:tcBorders>
              <w:top w:val="nil"/>
              <w:left w:val="nil"/>
              <w:bottom w:val="single" w:sz="12" w:space="0" w:color="auto"/>
              <w:right w:val="nil"/>
            </w:tcBorders>
            <w:shd w:val="clear" w:color="auto" w:fill="auto"/>
            <w:noWrap/>
            <w:vAlign w:val="center"/>
          </w:tcPr>
          <w:p w14:paraId="2A91CDBC" w14:textId="77777777" w:rsidR="003F7B0F" w:rsidRPr="00D77D01" w:rsidRDefault="003F7B0F" w:rsidP="009C601C">
            <w:pPr>
              <w:spacing w:after="0" w:line="240" w:lineRule="auto"/>
              <w:jc w:val="center"/>
              <w:rPr>
                <w:rFonts w:ascii="Times New Roman" w:eastAsia="Times New Roman" w:hAnsi="Times New Roman" w:cs="Times New Roman"/>
                <w:color w:val="000000"/>
              </w:rPr>
            </w:pPr>
          </w:p>
        </w:tc>
      </w:tr>
    </w:tbl>
    <w:p w14:paraId="114ECECF" w14:textId="6EFEF6F2" w:rsidR="003F7B0F" w:rsidRPr="00A7398D" w:rsidRDefault="003F7B0F" w:rsidP="003F7B0F">
      <w:pPr>
        <w:jc w:val="both"/>
        <w:rPr>
          <w:rFonts w:ascii="Times New Roman" w:hAnsi="Times New Roman" w:cs="Times New Roman"/>
        </w:rPr>
      </w:pPr>
      <w:r w:rsidRPr="00A7398D">
        <w:rPr>
          <w:rFonts w:ascii="Times New Roman" w:hAnsi="Times New Roman" w:cs="Times New Roman"/>
        </w:rPr>
        <w:t xml:space="preserve">Panel A summarizes the average 1-year, 2-year, and 3-year buy and hold returns after deal closing date. The buy-and-hold returns are calculated by compounding </w:t>
      </w:r>
      <w:r>
        <w:rPr>
          <w:rFonts w:ascii="Times New Roman" w:hAnsi="Times New Roman" w:cs="Times New Roman"/>
        </w:rPr>
        <w:t xml:space="preserve">daily raw </w:t>
      </w:r>
      <w:r w:rsidRPr="00A7398D">
        <w:rPr>
          <w:rFonts w:ascii="Times New Roman" w:hAnsi="Times New Roman" w:cs="Times New Roman"/>
        </w:rPr>
        <w:t xml:space="preserve">returns. The sample consists of 137 </w:t>
      </w:r>
      <w:r>
        <w:rPr>
          <w:rFonts w:ascii="Times New Roman" w:hAnsi="Times New Roman" w:cs="Times New Roman"/>
        </w:rPr>
        <w:t xml:space="preserve">SPAC-IPOs </w:t>
      </w:r>
      <w:r w:rsidRPr="00A7398D">
        <w:rPr>
          <w:rFonts w:ascii="Times New Roman" w:hAnsi="Times New Roman" w:cs="Times New Roman"/>
        </w:rPr>
        <w:t xml:space="preserve">between January 2010 and December 2020. </w:t>
      </w:r>
      <w:r w:rsidR="007C2CB7">
        <w:rPr>
          <w:rFonts w:ascii="Times New Roman" w:hAnsi="Times New Roman" w:cs="Times New Roman"/>
        </w:rPr>
        <w:t xml:space="preserve">We require </w:t>
      </w:r>
      <w:r w:rsidR="007C2CB7" w:rsidRPr="007C2CB7">
        <w:rPr>
          <w:rFonts w:ascii="Times New Roman" w:hAnsi="Times New Roman" w:cs="Times New Roman"/>
        </w:rPr>
        <w:t xml:space="preserve">at least two </w:t>
      </w:r>
      <w:r w:rsidR="007C2CB7">
        <w:rPr>
          <w:rFonts w:ascii="Times New Roman" w:hAnsi="Times New Roman" w:cs="Times New Roman"/>
        </w:rPr>
        <w:t>SPAC-IPOs</w:t>
      </w:r>
      <w:r w:rsidR="007C2CB7" w:rsidRPr="007C2CB7">
        <w:rPr>
          <w:rFonts w:ascii="Times New Roman" w:hAnsi="Times New Roman" w:cs="Times New Roman"/>
        </w:rPr>
        <w:t xml:space="preserve"> for a given </w:t>
      </w:r>
      <w:r w:rsidR="00CB5C93">
        <w:rPr>
          <w:rFonts w:ascii="Times New Roman" w:hAnsi="Times New Roman" w:cs="Times New Roman"/>
        </w:rPr>
        <w:t xml:space="preserve">calendar </w:t>
      </w:r>
      <w:r w:rsidR="007C2CB7" w:rsidRPr="007C2CB7">
        <w:rPr>
          <w:rFonts w:ascii="Times New Roman" w:hAnsi="Times New Roman" w:cs="Times New Roman"/>
        </w:rPr>
        <w:t>month</w:t>
      </w:r>
      <w:r w:rsidR="007C2CB7">
        <w:rPr>
          <w:rFonts w:ascii="Times New Roman" w:hAnsi="Times New Roman" w:cs="Times New Roman"/>
        </w:rPr>
        <w:t xml:space="preserve">. </w:t>
      </w:r>
      <w:r w:rsidRPr="00A7398D">
        <w:rPr>
          <w:rFonts w:ascii="Times New Roman" w:hAnsi="Times New Roman" w:cs="Times New Roman"/>
        </w:rPr>
        <w:t>When the full 1-</w:t>
      </w:r>
      <w:r>
        <w:rPr>
          <w:rFonts w:ascii="Times New Roman" w:hAnsi="Times New Roman" w:cs="Times New Roman"/>
        </w:rPr>
        <w:t>Y</w:t>
      </w:r>
      <w:r w:rsidRPr="00A7398D">
        <w:rPr>
          <w:rFonts w:ascii="Times New Roman" w:hAnsi="Times New Roman" w:cs="Times New Roman"/>
        </w:rPr>
        <w:t>ear, 2-</w:t>
      </w:r>
      <w:r>
        <w:rPr>
          <w:rFonts w:ascii="Times New Roman" w:hAnsi="Times New Roman" w:cs="Times New Roman"/>
        </w:rPr>
        <w:t>Y</w:t>
      </w:r>
      <w:r w:rsidRPr="00A7398D">
        <w:rPr>
          <w:rFonts w:ascii="Times New Roman" w:hAnsi="Times New Roman" w:cs="Times New Roman"/>
        </w:rPr>
        <w:t>ear or 3-</w:t>
      </w:r>
      <w:r>
        <w:rPr>
          <w:rFonts w:ascii="Times New Roman" w:hAnsi="Times New Roman" w:cs="Times New Roman"/>
        </w:rPr>
        <w:t>Y</w:t>
      </w:r>
      <w:r w:rsidRPr="00A7398D">
        <w:rPr>
          <w:rFonts w:ascii="Times New Roman" w:hAnsi="Times New Roman" w:cs="Times New Roman"/>
        </w:rPr>
        <w:t xml:space="preserve">ear data are not available, we calculate the returns based on available data. Returns end on March 31, 2022. The CRSP-VW (-EW) return </w:t>
      </w:r>
      <w:r>
        <w:rPr>
          <w:rFonts w:ascii="Times New Roman" w:hAnsi="Times New Roman" w:cs="Times New Roman"/>
        </w:rPr>
        <w:t xml:space="preserve">is the market return computed for the corresponding periods using </w:t>
      </w:r>
      <w:r w:rsidRPr="00A7398D">
        <w:rPr>
          <w:rFonts w:ascii="Times New Roman" w:hAnsi="Times New Roman" w:cs="Times New Roman"/>
        </w:rPr>
        <w:t xml:space="preserve">CRSP value-weighted (equally weighted) market index. Panel B reports </w:t>
      </w:r>
      <w:r>
        <w:rPr>
          <w:rFonts w:ascii="Times New Roman" w:hAnsi="Times New Roman" w:cs="Times New Roman"/>
        </w:rPr>
        <w:t xml:space="preserve">the results from the </w:t>
      </w:r>
      <w:r w:rsidRPr="00A7398D">
        <w:rPr>
          <w:rFonts w:ascii="Times New Roman" w:hAnsi="Times New Roman" w:cs="Times New Roman"/>
        </w:rPr>
        <w:t xml:space="preserve">Fama-French three factor model. Firms are added to the portfolio in the calendar month following a </w:t>
      </w:r>
      <w:r>
        <w:rPr>
          <w:rFonts w:ascii="Times New Roman" w:hAnsi="Times New Roman" w:cs="Times New Roman"/>
        </w:rPr>
        <w:t>SPAC-IPO</w:t>
      </w:r>
      <w:r w:rsidRPr="00A7398D">
        <w:rPr>
          <w:rFonts w:ascii="Times New Roman" w:hAnsi="Times New Roman" w:cs="Times New Roman"/>
        </w:rPr>
        <w:t xml:space="preserve"> and </w:t>
      </w:r>
      <w:r>
        <w:rPr>
          <w:rFonts w:ascii="Times New Roman" w:hAnsi="Times New Roman" w:cs="Times New Roman"/>
        </w:rPr>
        <w:t xml:space="preserve">then </w:t>
      </w:r>
      <w:r w:rsidRPr="00A7398D">
        <w:rPr>
          <w:rFonts w:ascii="Times New Roman" w:hAnsi="Times New Roman" w:cs="Times New Roman"/>
        </w:rPr>
        <w:t>kept in the portfolio for 1</w:t>
      </w:r>
      <w:r>
        <w:rPr>
          <w:rFonts w:ascii="Times New Roman" w:hAnsi="Times New Roman" w:cs="Times New Roman"/>
        </w:rPr>
        <w:t>-</w:t>
      </w:r>
      <w:r w:rsidRPr="00A7398D">
        <w:rPr>
          <w:rFonts w:ascii="Times New Roman" w:hAnsi="Times New Roman" w:cs="Times New Roman"/>
        </w:rPr>
        <w:t>, 2</w:t>
      </w:r>
      <w:r>
        <w:rPr>
          <w:rFonts w:ascii="Times New Roman" w:hAnsi="Times New Roman" w:cs="Times New Roman"/>
        </w:rPr>
        <w:t>-</w:t>
      </w:r>
      <w:r w:rsidRPr="00A7398D">
        <w:rPr>
          <w:rFonts w:ascii="Times New Roman" w:hAnsi="Times New Roman" w:cs="Times New Roman"/>
        </w:rPr>
        <w:t>, or 3</w:t>
      </w:r>
      <w:r>
        <w:rPr>
          <w:rFonts w:ascii="Times New Roman" w:hAnsi="Times New Roman" w:cs="Times New Roman"/>
        </w:rPr>
        <w:t>-</w:t>
      </w:r>
      <w:r w:rsidRPr="00A7398D">
        <w:rPr>
          <w:rFonts w:ascii="Times New Roman" w:hAnsi="Times New Roman" w:cs="Times New Roman"/>
        </w:rPr>
        <w:t xml:space="preserve">years, respectively, unless they are delisted earlier. </w:t>
      </w:r>
      <w:r w:rsidRPr="00AE3353">
        <w:rPr>
          <w:rFonts w:ascii="Times New Roman" w:hAnsi="Times New Roman" w:cs="Times New Roman"/>
          <w:i/>
        </w:rPr>
        <w:t>M</w:t>
      </w:r>
      <w:r>
        <w:rPr>
          <w:rFonts w:ascii="Times New Roman" w:hAnsi="Times New Roman" w:cs="Times New Roman"/>
          <w:i/>
        </w:rPr>
        <w:t>ARKET</w:t>
      </w:r>
      <w:r w:rsidRPr="00A7398D">
        <w:rPr>
          <w:rFonts w:ascii="Times New Roman" w:hAnsi="Times New Roman" w:cs="Times New Roman"/>
        </w:rPr>
        <w:t xml:space="preserve"> is the excess return of the value-weighted CRSP index, </w:t>
      </w:r>
      <w:r w:rsidRPr="00AE3353">
        <w:rPr>
          <w:rFonts w:ascii="Times New Roman" w:hAnsi="Times New Roman" w:cs="Times New Roman"/>
          <w:i/>
        </w:rPr>
        <w:t xml:space="preserve">SMB </w:t>
      </w:r>
      <w:r w:rsidRPr="00A7398D">
        <w:rPr>
          <w:rFonts w:ascii="Times New Roman" w:hAnsi="Times New Roman" w:cs="Times New Roman"/>
        </w:rPr>
        <w:t xml:space="preserve">is the return on small stocks minus the return on big stocks, and </w:t>
      </w:r>
      <w:r w:rsidRPr="00AE3353">
        <w:rPr>
          <w:rFonts w:ascii="Times New Roman" w:hAnsi="Times New Roman" w:cs="Times New Roman"/>
          <w:i/>
        </w:rPr>
        <w:t>HML</w:t>
      </w:r>
      <w:r w:rsidRPr="00A7398D">
        <w:rPr>
          <w:rFonts w:ascii="Times New Roman" w:hAnsi="Times New Roman" w:cs="Times New Roman"/>
        </w:rPr>
        <w:t xml:space="preserve"> is the return on high book-to-market firms minus the return on low book-to-market firms, all measured for a given month.</w:t>
      </w:r>
      <w:r>
        <w:rPr>
          <w:rFonts w:ascii="Times New Roman" w:hAnsi="Times New Roman" w:cs="Times New Roman"/>
        </w:rPr>
        <w:t xml:space="preserve"> </w:t>
      </w:r>
      <w:r w:rsidRPr="00A7398D">
        <w:rPr>
          <w:rFonts w:ascii="Times New Roman" w:hAnsi="Times New Roman" w:cs="Times New Roman"/>
        </w:rPr>
        <w:t>*, **, and *** represent statistical significance at the 10%, 5%, and 1% levels, respectively, for a two-tailed test.</w:t>
      </w:r>
      <w:r w:rsidRPr="00A7398D">
        <w:rPr>
          <w:rFonts w:ascii="Times New Roman" w:hAnsi="Times New Roman" w:cs="Times New Roman"/>
        </w:rPr>
        <w:br w:type="page"/>
      </w:r>
    </w:p>
    <w:p w14:paraId="17608589" w14:textId="5613D53A" w:rsidR="003F7B0F" w:rsidRPr="00141932" w:rsidRDefault="003F7B0F" w:rsidP="003F7B0F">
      <w:pPr>
        <w:spacing w:after="0" w:line="240" w:lineRule="auto"/>
        <w:rPr>
          <w:rFonts w:ascii="Times New Roman" w:hAnsi="Times New Roman" w:cs="Times New Roman"/>
          <w:b/>
        </w:rPr>
      </w:pPr>
      <w:r w:rsidRPr="00141932">
        <w:rPr>
          <w:rFonts w:ascii="Times New Roman" w:hAnsi="Times New Roman" w:cs="Times New Roman"/>
          <w:b/>
        </w:rPr>
        <w:lastRenderedPageBreak/>
        <w:t>Table 1</w:t>
      </w:r>
      <w:r w:rsidR="00B64F05">
        <w:rPr>
          <w:rFonts w:ascii="Times New Roman" w:hAnsi="Times New Roman" w:cs="Times New Roman"/>
          <w:b/>
        </w:rPr>
        <w:t>2</w:t>
      </w:r>
      <w:r w:rsidRPr="00141932">
        <w:rPr>
          <w:rFonts w:ascii="Times New Roman" w:hAnsi="Times New Roman" w:cs="Times New Roman"/>
          <w:b/>
        </w:rPr>
        <w:t xml:space="preserve"> </w:t>
      </w:r>
    </w:p>
    <w:p w14:paraId="6CEFA44B" w14:textId="52501785" w:rsidR="003F7B0F" w:rsidRDefault="003F7B0F" w:rsidP="003F7B0F">
      <w:pPr>
        <w:spacing w:after="0" w:line="240" w:lineRule="auto"/>
        <w:rPr>
          <w:rFonts w:ascii="Times New Roman" w:hAnsi="Times New Roman" w:cs="Times New Roman"/>
        </w:rPr>
      </w:pPr>
      <w:r>
        <w:rPr>
          <w:rFonts w:ascii="Times New Roman" w:hAnsi="Times New Roman" w:cs="Times New Roman"/>
        </w:rPr>
        <w:t xml:space="preserve">Information </w:t>
      </w:r>
      <w:r w:rsidR="00767FD0">
        <w:rPr>
          <w:rFonts w:ascii="Times New Roman" w:hAnsi="Times New Roman" w:cs="Times New Roman"/>
        </w:rPr>
        <w:t xml:space="preserve">Risk </w:t>
      </w:r>
      <w:r>
        <w:rPr>
          <w:rFonts w:ascii="Times New Roman" w:hAnsi="Times New Roman" w:cs="Times New Roman"/>
        </w:rPr>
        <w:t>and SPAC-IPO return</w:t>
      </w:r>
      <w:r w:rsidR="00605F18">
        <w:rPr>
          <w:rFonts w:ascii="Times New Roman" w:hAnsi="Times New Roman" w:cs="Times New Roman"/>
        </w:rPr>
        <w:t>s.</w:t>
      </w:r>
    </w:p>
    <w:p w14:paraId="407ED50C" w14:textId="77777777" w:rsidR="003F7B0F" w:rsidRDefault="003F7B0F" w:rsidP="003F7B0F">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2750"/>
        <w:gridCol w:w="1683"/>
        <w:gridCol w:w="1561"/>
        <w:gridCol w:w="1683"/>
        <w:gridCol w:w="1683"/>
      </w:tblGrid>
      <w:tr w:rsidR="003F7B0F" w:rsidRPr="00B7688C" w14:paraId="4B0CA1CA" w14:textId="77777777" w:rsidTr="00F948EF">
        <w:trPr>
          <w:trHeight w:val="300"/>
        </w:trPr>
        <w:tc>
          <w:tcPr>
            <w:tcW w:w="5000" w:type="pct"/>
            <w:gridSpan w:val="5"/>
            <w:tcBorders>
              <w:top w:val="single" w:sz="12" w:space="0" w:color="auto"/>
              <w:left w:val="nil"/>
              <w:bottom w:val="single" w:sz="4" w:space="0" w:color="auto"/>
              <w:right w:val="nil"/>
            </w:tcBorders>
            <w:shd w:val="clear" w:color="auto" w:fill="auto"/>
            <w:noWrap/>
            <w:vAlign w:val="bottom"/>
            <w:hideMark/>
          </w:tcPr>
          <w:p w14:paraId="5CBFF451" w14:textId="10C73059" w:rsidR="003F7B0F" w:rsidRPr="00B7688C" w:rsidRDefault="003F7B0F" w:rsidP="009C601C">
            <w:pPr>
              <w:spacing w:after="0" w:line="240" w:lineRule="auto"/>
              <w:rPr>
                <w:rFonts w:ascii="Times New Roman" w:eastAsia="Times New Roman" w:hAnsi="Times New Roman" w:cs="Times New Roman"/>
                <w:color w:val="000000"/>
              </w:rPr>
            </w:pPr>
            <w:r w:rsidRPr="00B7688C">
              <w:rPr>
                <w:rFonts w:ascii="Times New Roman" w:eastAsia="Times New Roman" w:hAnsi="Times New Roman" w:cs="Times New Roman"/>
                <w:color w:val="000000"/>
              </w:rPr>
              <w:t xml:space="preserve">Panel A: </w:t>
            </w:r>
            <w:r>
              <w:rPr>
                <w:rFonts w:ascii="Times New Roman" w:eastAsia="Times New Roman" w:hAnsi="Times New Roman" w:cs="Times New Roman"/>
                <w:color w:val="000000"/>
              </w:rPr>
              <w:t>I</w:t>
            </w:r>
            <w:r w:rsidRPr="00B7688C">
              <w:rPr>
                <w:rFonts w:ascii="Times New Roman" w:eastAsia="Times New Roman" w:hAnsi="Times New Roman" w:cs="Times New Roman"/>
                <w:color w:val="000000"/>
              </w:rPr>
              <w:t xml:space="preserve">nformation risk portfolios </w:t>
            </w:r>
            <w:r>
              <w:rPr>
                <w:rFonts w:ascii="Times New Roman" w:eastAsia="Times New Roman" w:hAnsi="Times New Roman" w:cs="Times New Roman"/>
                <w:color w:val="000000"/>
              </w:rPr>
              <w:t xml:space="preserve">and </w:t>
            </w:r>
            <w:r w:rsidRPr="00B7688C">
              <w:rPr>
                <w:rFonts w:ascii="Times New Roman" w:eastAsia="Times New Roman" w:hAnsi="Times New Roman" w:cs="Times New Roman"/>
                <w:color w:val="000000"/>
              </w:rPr>
              <w:t>SPAC-IPO return</w:t>
            </w:r>
            <w:r w:rsidR="00767FD0">
              <w:rPr>
                <w:rFonts w:ascii="Times New Roman" w:eastAsia="Times New Roman" w:hAnsi="Times New Roman" w:cs="Times New Roman"/>
                <w:color w:val="000000"/>
              </w:rPr>
              <w:t>s</w:t>
            </w:r>
            <w:r w:rsidRPr="00B7688C">
              <w:rPr>
                <w:rFonts w:ascii="Times New Roman" w:eastAsia="Times New Roman" w:hAnsi="Times New Roman" w:cs="Times New Roman"/>
                <w:color w:val="000000"/>
              </w:rPr>
              <w:t xml:space="preserve">  </w:t>
            </w:r>
          </w:p>
        </w:tc>
      </w:tr>
      <w:tr w:rsidR="003F7B0F" w:rsidRPr="00B7688C" w14:paraId="536C36CC" w14:textId="77777777" w:rsidTr="00610C70">
        <w:trPr>
          <w:trHeight w:val="330"/>
        </w:trPr>
        <w:tc>
          <w:tcPr>
            <w:tcW w:w="1469" w:type="pct"/>
            <w:vMerge w:val="restart"/>
            <w:tcBorders>
              <w:top w:val="single" w:sz="12" w:space="0" w:color="auto"/>
              <w:left w:val="nil"/>
              <w:bottom w:val="single" w:sz="4" w:space="0" w:color="000000"/>
              <w:right w:val="nil"/>
            </w:tcBorders>
            <w:shd w:val="clear" w:color="auto" w:fill="auto"/>
            <w:noWrap/>
            <w:hideMark/>
          </w:tcPr>
          <w:p w14:paraId="3EA79E78"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Rank</w:t>
            </w:r>
          </w:p>
        </w:tc>
        <w:tc>
          <w:tcPr>
            <w:tcW w:w="1733" w:type="pct"/>
            <w:gridSpan w:val="2"/>
            <w:tcBorders>
              <w:top w:val="single" w:sz="12" w:space="0" w:color="auto"/>
              <w:left w:val="nil"/>
              <w:bottom w:val="single" w:sz="4" w:space="0" w:color="auto"/>
              <w:right w:val="nil"/>
            </w:tcBorders>
            <w:shd w:val="clear" w:color="auto" w:fill="auto"/>
            <w:noWrap/>
            <w:vAlign w:val="center"/>
            <w:hideMark/>
          </w:tcPr>
          <w:p w14:paraId="3F774480" w14:textId="77777777" w:rsidR="003F7B0F" w:rsidRPr="00BC6405" w:rsidRDefault="003F7B0F" w:rsidP="009C601C">
            <w:pPr>
              <w:spacing w:after="0" w:line="240" w:lineRule="auto"/>
              <w:jc w:val="center"/>
              <w:rPr>
                <w:rFonts w:ascii="Times New Roman" w:eastAsia="Times New Roman" w:hAnsi="Times New Roman" w:cs="Times New Roman"/>
                <w:i/>
              </w:rPr>
            </w:pPr>
            <w:r w:rsidRPr="00BC6405">
              <w:rPr>
                <w:rFonts w:ascii="Times New Roman" w:eastAsia="Times New Roman" w:hAnsi="Times New Roman" w:cs="Times New Roman"/>
                <w:i/>
              </w:rPr>
              <w:t>CAR</w:t>
            </w:r>
            <w:r w:rsidRPr="00BC6405">
              <w:rPr>
                <w:rFonts w:ascii="Times New Roman" w:eastAsia="Times New Roman" w:hAnsi="Times New Roman" w:cs="Times New Roman"/>
                <w:i/>
                <w:vertAlign w:val="subscript"/>
              </w:rPr>
              <w:t>t</w:t>
            </w:r>
          </w:p>
        </w:tc>
        <w:tc>
          <w:tcPr>
            <w:tcW w:w="1798" w:type="pct"/>
            <w:gridSpan w:val="2"/>
            <w:tcBorders>
              <w:top w:val="single" w:sz="12" w:space="0" w:color="auto"/>
              <w:left w:val="nil"/>
              <w:bottom w:val="single" w:sz="4" w:space="0" w:color="auto"/>
              <w:right w:val="nil"/>
            </w:tcBorders>
            <w:shd w:val="clear" w:color="auto" w:fill="auto"/>
            <w:noWrap/>
            <w:vAlign w:val="center"/>
            <w:hideMark/>
          </w:tcPr>
          <w:p w14:paraId="5D8BB359" w14:textId="77777777" w:rsidR="003F7B0F" w:rsidRPr="00BC6405" w:rsidRDefault="003F7B0F" w:rsidP="009C601C">
            <w:pPr>
              <w:spacing w:after="0" w:line="240" w:lineRule="auto"/>
              <w:jc w:val="center"/>
              <w:rPr>
                <w:rFonts w:ascii="Times New Roman" w:eastAsia="Times New Roman" w:hAnsi="Times New Roman" w:cs="Times New Roman"/>
                <w:i/>
              </w:rPr>
            </w:pPr>
            <w:r w:rsidRPr="00BC6405">
              <w:rPr>
                <w:rFonts w:ascii="Times New Roman" w:eastAsia="Times New Roman" w:hAnsi="Times New Roman" w:cs="Times New Roman"/>
                <w:i/>
              </w:rPr>
              <w:t>CAR</w:t>
            </w:r>
            <w:r w:rsidRPr="00BC6405">
              <w:rPr>
                <w:rFonts w:ascii="Times New Roman" w:eastAsia="Times New Roman" w:hAnsi="Times New Roman" w:cs="Times New Roman"/>
                <w:i/>
                <w:vertAlign w:val="subscript"/>
              </w:rPr>
              <w:t>t+1</w:t>
            </w:r>
          </w:p>
        </w:tc>
      </w:tr>
      <w:tr w:rsidR="003F7B0F" w:rsidRPr="00B7688C" w14:paraId="10B22A84" w14:textId="77777777" w:rsidTr="00610C70">
        <w:trPr>
          <w:trHeight w:val="300"/>
        </w:trPr>
        <w:tc>
          <w:tcPr>
            <w:tcW w:w="1469" w:type="pct"/>
            <w:vMerge/>
            <w:tcBorders>
              <w:top w:val="single" w:sz="4" w:space="0" w:color="auto"/>
              <w:left w:val="nil"/>
              <w:bottom w:val="single" w:sz="12" w:space="0" w:color="auto"/>
              <w:right w:val="nil"/>
            </w:tcBorders>
            <w:vAlign w:val="center"/>
            <w:hideMark/>
          </w:tcPr>
          <w:p w14:paraId="797F054D" w14:textId="77777777" w:rsidR="003F7B0F" w:rsidRPr="00B7688C" w:rsidRDefault="003F7B0F" w:rsidP="009C601C">
            <w:pPr>
              <w:spacing w:after="0" w:line="240" w:lineRule="auto"/>
              <w:rPr>
                <w:rFonts w:ascii="Times New Roman" w:eastAsia="Times New Roman" w:hAnsi="Times New Roman" w:cs="Times New Roman"/>
                <w:color w:val="000000"/>
              </w:rPr>
            </w:pPr>
          </w:p>
        </w:tc>
        <w:tc>
          <w:tcPr>
            <w:tcW w:w="899" w:type="pct"/>
            <w:tcBorders>
              <w:top w:val="single" w:sz="4" w:space="0" w:color="auto"/>
              <w:left w:val="nil"/>
              <w:bottom w:val="single" w:sz="12" w:space="0" w:color="auto"/>
              <w:right w:val="nil"/>
            </w:tcBorders>
            <w:shd w:val="clear" w:color="auto" w:fill="auto"/>
            <w:noWrap/>
            <w:vAlign w:val="center"/>
            <w:hideMark/>
          </w:tcPr>
          <w:p w14:paraId="18FB48F8"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Mean</w:t>
            </w:r>
          </w:p>
        </w:tc>
        <w:tc>
          <w:tcPr>
            <w:tcW w:w="834" w:type="pct"/>
            <w:tcBorders>
              <w:top w:val="single" w:sz="4" w:space="0" w:color="auto"/>
              <w:left w:val="nil"/>
              <w:bottom w:val="single" w:sz="12" w:space="0" w:color="auto"/>
              <w:right w:val="nil"/>
            </w:tcBorders>
            <w:shd w:val="clear" w:color="auto" w:fill="auto"/>
            <w:noWrap/>
            <w:vAlign w:val="center"/>
            <w:hideMark/>
          </w:tcPr>
          <w:p w14:paraId="7B2B1E71"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Median</w:t>
            </w:r>
          </w:p>
        </w:tc>
        <w:tc>
          <w:tcPr>
            <w:tcW w:w="899" w:type="pct"/>
            <w:tcBorders>
              <w:top w:val="single" w:sz="4" w:space="0" w:color="auto"/>
              <w:left w:val="nil"/>
              <w:bottom w:val="single" w:sz="12" w:space="0" w:color="auto"/>
              <w:right w:val="nil"/>
            </w:tcBorders>
            <w:shd w:val="clear" w:color="auto" w:fill="auto"/>
            <w:noWrap/>
            <w:vAlign w:val="center"/>
            <w:hideMark/>
          </w:tcPr>
          <w:p w14:paraId="403BD8C6"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Mean</w:t>
            </w:r>
          </w:p>
        </w:tc>
        <w:tc>
          <w:tcPr>
            <w:tcW w:w="899" w:type="pct"/>
            <w:tcBorders>
              <w:top w:val="single" w:sz="4" w:space="0" w:color="auto"/>
              <w:left w:val="nil"/>
              <w:bottom w:val="single" w:sz="12" w:space="0" w:color="auto"/>
              <w:right w:val="nil"/>
            </w:tcBorders>
            <w:shd w:val="clear" w:color="auto" w:fill="auto"/>
            <w:noWrap/>
            <w:vAlign w:val="center"/>
            <w:hideMark/>
          </w:tcPr>
          <w:p w14:paraId="52F80A5B"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Median</w:t>
            </w:r>
          </w:p>
        </w:tc>
      </w:tr>
      <w:tr w:rsidR="003F7B0F" w:rsidRPr="00B7688C" w14:paraId="616144A5" w14:textId="77777777" w:rsidTr="00610C70">
        <w:trPr>
          <w:trHeight w:val="300"/>
        </w:trPr>
        <w:tc>
          <w:tcPr>
            <w:tcW w:w="1469" w:type="pct"/>
            <w:tcBorders>
              <w:top w:val="single" w:sz="12" w:space="0" w:color="auto"/>
              <w:left w:val="nil"/>
              <w:bottom w:val="nil"/>
              <w:right w:val="nil"/>
            </w:tcBorders>
            <w:shd w:val="clear" w:color="auto" w:fill="auto"/>
            <w:noWrap/>
            <w:vAlign w:val="center"/>
            <w:hideMark/>
          </w:tcPr>
          <w:p w14:paraId="1E15BB2F" w14:textId="77777777" w:rsidR="003F7B0F" w:rsidRPr="00B7688C" w:rsidRDefault="003F7B0F" w:rsidP="009C601C">
            <w:pPr>
              <w:spacing w:after="0" w:line="240" w:lineRule="auto"/>
              <w:jc w:val="center"/>
              <w:rPr>
                <w:rFonts w:ascii="Times New Roman" w:eastAsia="Times New Roman" w:hAnsi="Times New Roman" w:cs="Times New Roman"/>
                <w:i/>
                <w:iCs/>
                <w:color w:val="000000"/>
                <w:u w:val="single"/>
              </w:rPr>
            </w:pPr>
            <w:r w:rsidRPr="00B7688C">
              <w:rPr>
                <w:rFonts w:ascii="Times New Roman" w:eastAsia="Times New Roman" w:hAnsi="Times New Roman" w:cs="Times New Roman"/>
                <w:i/>
                <w:iCs/>
                <w:color w:val="000000"/>
                <w:u w:val="single"/>
              </w:rPr>
              <w:t>RISK</w:t>
            </w:r>
          </w:p>
        </w:tc>
        <w:tc>
          <w:tcPr>
            <w:tcW w:w="899" w:type="pct"/>
            <w:tcBorders>
              <w:top w:val="single" w:sz="12" w:space="0" w:color="auto"/>
              <w:left w:val="nil"/>
              <w:bottom w:val="nil"/>
              <w:right w:val="nil"/>
            </w:tcBorders>
            <w:shd w:val="clear" w:color="auto" w:fill="auto"/>
            <w:noWrap/>
            <w:vAlign w:val="center"/>
            <w:hideMark/>
          </w:tcPr>
          <w:p w14:paraId="42BABA83" w14:textId="77777777" w:rsidR="003F7B0F" w:rsidRPr="00B7688C" w:rsidRDefault="003F7B0F" w:rsidP="009C601C">
            <w:pPr>
              <w:spacing w:after="0" w:line="240" w:lineRule="auto"/>
              <w:jc w:val="center"/>
              <w:rPr>
                <w:rFonts w:ascii="Times New Roman" w:eastAsia="Times New Roman" w:hAnsi="Times New Roman" w:cs="Times New Roman"/>
                <w:i/>
                <w:iCs/>
                <w:color w:val="000000"/>
                <w:u w:val="single"/>
              </w:rPr>
            </w:pPr>
          </w:p>
        </w:tc>
        <w:tc>
          <w:tcPr>
            <w:tcW w:w="834" w:type="pct"/>
            <w:tcBorders>
              <w:top w:val="single" w:sz="12" w:space="0" w:color="auto"/>
              <w:left w:val="nil"/>
              <w:bottom w:val="nil"/>
              <w:right w:val="nil"/>
            </w:tcBorders>
            <w:shd w:val="clear" w:color="auto" w:fill="auto"/>
            <w:noWrap/>
            <w:vAlign w:val="center"/>
            <w:hideMark/>
          </w:tcPr>
          <w:p w14:paraId="10921586"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c>
          <w:tcPr>
            <w:tcW w:w="899" w:type="pct"/>
            <w:tcBorders>
              <w:top w:val="single" w:sz="12" w:space="0" w:color="auto"/>
              <w:left w:val="nil"/>
              <w:bottom w:val="nil"/>
              <w:right w:val="nil"/>
            </w:tcBorders>
            <w:shd w:val="clear" w:color="auto" w:fill="auto"/>
            <w:noWrap/>
            <w:vAlign w:val="center"/>
            <w:hideMark/>
          </w:tcPr>
          <w:p w14:paraId="4F5078AA"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c>
          <w:tcPr>
            <w:tcW w:w="899" w:type="pct"/>
            <w:tcBorders>
              <w:top w:val="single" w:sz="12" w:space="0" w:color="auto"/>
              <w:left w:val="nil"/>
              <w:bottom w:val="nil"/>
              <w:right w:val="nil"/>
            </w:tcBorders>
            <w:shd w:val="clear" w:color="auto" w:fill="auto"/>
            <w:noWrap/>
            <w:vAlign w:val="center"/>
            <w:hideMark/>
          </w:tcPr>
          <w:p w14:paraId="5D31FA6E"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r>
      <w:tr w:rsidR="003F7B0F" w:rsidRPr="00B7688C" w14:paraId="48F51723" w14:textId="77777777" w:rsidTr="009C601C">
        <w:trPr>
          <w:trHeight w:val="300"/>
        </w:trPr>
        <w:tc>
          <w:tcPr>
            <w:tcW w:w="1469" w:type="pct"/>
            <w:tcBorders>
              <w:top w:val="nil"/>
              <w:left w:val="nil"/>
              <w:bottom w:val="nil"/>
              <w:right w:val="nil"/>
            </w:tcBorders>
            <w:shd w:val="clear" w:color="auto" w:fill="auto"/>
            <w:noWrap/>
            <w:vAlign w:val="center"/>
            <w:hideMark/>
          </w:tcPr>
          <w:p w14:paraId="6B93635A"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1</w:t>
            </w:r>
          </w:p>
        </w:tc>
        <w:tc>
          <w:tcPr>
            <w:tcW w:w="899" w:type="pct"/>
            <w:tcBorders>
              <w:top w:val="nil"/>
              <w:left w:val="nil"/>
              <w:bottom w:val="nil"/>
              <w:right w:val="nil"/>
            </w:tcBorders>
            <w:shd w:val="clear" w:color="auto" w:fill="auto"/>
            <w:noWrap/>
            <w:vAlign w:val="center"/>
            <w:hideMark/>
          </w:tcPr>
          <w:p w14:paraId="105765BD"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-0.055</w:t>
            </w:r>
          </w:p>
        </w:tc>
        <w:tc>
          <w:tcPr>
            <w:tcW w:w="834" w:type="pct"/>
            <w:tcBorders>
              <w:top w:val="nil"/>
              <w:left w:val="nil"/>
              <w:bottom w:val="nil"/>
              <w:right w:val="nil"/>
            </w:tcBorders>
            <w:shd w:val="clear" w:color="auto" w:fill="auto"/>
            <w:noWrap/>
            <w:vAlign w:val="center"/>
            <w:hideMark/>
          </w:tcPr>
          <w:p w14:paraId="03E6C8D3"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-0.088</w:t>
            </w:r>
          </w:p>
        </w:tc>
        <w:tc>
          <w:tcPr>
            <w:tcW w:w="899" w:type="pct"/>
            <w:tcBorders>
              <w:top w:val="nil"/>
              <w:left w:val="nil"/>
              <w:bottom w:val="nil"/>
              <w:right w:val="nil"/>
            </w:tcBorders>
            <w:shd w:val="clear" w:color="auto" w:fill="auto"/>
            <w:noWrap/>
            <w:vAlign w:val="center"/>
            <w:hideMark/>
          </w:tcPr>
          <w:p w14:paraId="47B2ECDE"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0.431</w:t>
            </w:r>
          </w:p>
        </w:tc>
        <w:tc>
          <w:tcPr>
            <w:tcW w:w="899" w:type="pct"/>
            <w:tcBorders>
              <w:top w:val="nil"/>
              <w:left w:val="nil"/>
              <w:bottom w:val="nil"/>
              <w:right w:val="nil"/>
            </w:tcBorders>
            <w:shd w:val="clear" w:color="auto" w:fill="auto"/>
            <w:noWrap/>
            <w:vAlign w:val="center"/>
            <w:hideMark/>
          </w:tcPr>
          <w:p w14:paraId="3635CC8D"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-0.081</w:t>
            </w:r>
          </w:p>
        </w:tc>
      </w:tr>
      <w:tr w:rsidR="003F7B0F" w:rsidRPr="00B7688C" w14:paraId="2B7CC05F" w14:textId="77777777" w:rsidTr="009C601C">
        <w:trPr>
          <w:trHeight w:val="300"/>
        </w:trPr>
        <w:tc>
          <w:tcPr>
            <w:tcW w:w="1469" w:type="pct"/>
            <w:tcBorders>
              <w:top w:val="nil"/>
              <w:left w:val="nil"/>
              <w:bottom w:val="nil"/>
              <w:right w:val="nil"/>
            </w:tcBorders>
            <w:shd w:val="clear" w:color="auto" w:fill="auto"/>
            <w:noWrap/>
            <w:vAlign w:val="center"/>
            <w:hideMark/>
          </w:tcPr>
          <w:p w14:paraId="7D85725A"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2</w:t>
            </w:r>
          </w:p>
        </w:tc>
        <w:tc>
          <w:tcPr>
            <w:tcW w:w="899" w:type="pct"/>
            <w:tcBorders>
              <w:top w:val="nil"/>
              <w:left w:val="nil"/>
              <w:bottom w:val="nil"/>
              <w:right w:val="nil"/>
            </w:tcBorders>
            <w:shd w:val="clear" w:color="auto" w:fill="auto"/>
            <w:noWrap/>
            <w:vAlign w:val="center"/>
            <w:hideMark/>
          </w:tcPr>
          <w:p w14:paraId="0380E255"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-0.436</w:t>
            </w:r>
          </w:p>
        </w:tc>
        <w:tc>
          <w:tcPr>
            <w:tcW w:w="834" w:type="pct"/>
            <w:tcBorders>
              <w:top w:val="nil"/>
              <w:left w:val="nil"/>
              <w:bottom w:val="nil"/>
              <w:right w:val="nil"/>
            </w:tcBorders>
            <w:shd w:val="clear" w:color="auto" w:fill="auto"/>
            <w:noWrap/>
            <w:vAlign w:val="center"/>
            <w:hideMark/>
          </w:tcPr>
          <w:p w14:paraId="02777F45"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-0.590</w:t>
            </w:r>
          </w:p>
        </w:tc>
        <w:tc>
          <w:tcPr>
            <w:tcW w:w="899" w:type="pct"/>
            <w:tcBorders>
              <w:top w:val="nil"/>
              <w:left w:val="nil"/>
              <w:bottom w:val="nil"/>
              <w:right w:val="nil"/>
            </w:tcBorders>
            <w:shd w:val="clear" w:color="auto" w:fill="auto"/>
            <w:noWrap/>
            <w:vAlign w:val="center"/>
            <w:hideMark/>
          </w:tcPr>
          <w:p w14:paraId="3D5A29DF"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-0.337</w:t>
            </w:r>
          </w:p>
        </w:tc>
        <w:tc>
          <w:tcPr>
            <w:tcW w:w="899" w:type="pct"/>
            <w:tcBorders>
              <w:top w:val="nil"/>
              <w:left w:val="nil"/>
              <w:bottom w:val="nil"/>
              <w:right w:val="nil"/>
            </w:tcBorders>
            <w:shd w:val="clear" w:color="auto" w:fill="auto"/>
            <w:noWrap/>
            <w:vAlign w:val="center"/>
            <w:hideMark/>
          </w:tcPr>
          <w:p w14:paraId="47052582"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-0.323</w:t>
            </w:r>
          </w:p>
        </w:tc>
      </w:tr>
      <w:tr w:rsidR="003F7B0F" w:rsidRPr="00B7688C" w14:paraId="262EDE43" w14:textId="77777777" w:rsidTr="00F948EF">
        <w:trPr>
          <w:trHeight w:val="300"/>
        </w:trPr>
        <w:tc>
          <w:tcPr>
            <w:tcW w:w="1469" w:type="pct"/>
            <w:tcBorders>
              <w:top w:val="nil"/>
              <w:left w:val="nil"/>
              <w:bottom w:val="single" w:sz="12" w:space="0" w:color="auto"/>
              <w:right w:val="nil"/>
            </w:tcBorders>
            <w:shd w:val="clear" w:color="auto" w:fill="auto"/>
            <w:noWrap/>
            <w:vAlign w:val="center"/>
            <w:hideMark/>
          </w:tcPr>
          <w:p w14:paraId="6BECD5AD"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3</w:t>
            </w:r>
          </w:p>
        </w:tc>
        <w:tc>
          <w:tcPr>
            <w:tcW w:w="899" w:type="pct"/>
            <w:tcBorders>
              <w:top w:val="nil"/>
              <w:left w:val="nil"/>
              <w:bottom w:val="single" w:sz="12" w:space="0" w:color="auto"/>
              <w:right w:val="nil"/>
            </w:tcBorders>
            <w:shd w:val="clear" w:color="auto" w:fill="auto"/>
            <w:noWrap/>
            <w:vAlign w:val="center"/>
            <w:hideMark/>
          </w:tcPr>
          <w:p w14:paraId="77CE2D87"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-0.576</w:t>
            </w:r>
          </w:p>
        </w:tc>
        <w:tc>
          <w:tcPr>
            <w:tcW w:w="834" w:type="pct"/>
            <w:tcBorders>
              <w:top w:val="nil"/>
              <w:left w:val="nil"/>
              <w:bottom w:val="single" w:sz="12" w:space="0" w:color="auto"/>
              <w:right w:val="nil"/>
            </w:tcBorders>
            <w:shd w:val="clear" w:color="auto" w:fill="auto"/>
            <w:noWrap/>
            <w:vAlign w:val="center"/>
            <w:hideMark/>
          </w:tcPr>
          <w:p w14:paraId="3BB59299"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-0.607</w:t>
            </w:r>
          </w:p>
        </w:tc>
        <w:tc>
          <w:tcPr>
            <w:tcW w:w="899" w:type="pct"/>
            <w:tcBorders>
              <w:top w:val="nil"/>
              <w:left w:val="nil"/>
              <w:bottom w:val="single" w:sz="12" w:space="0" w:color="auto"/>
              <w:right w:val="nil"/>
            </w:tcBorders>
            <w:shd w:val="clear" w:color="auto" w:fill="auto"/>
            <w:noWrap/>
            <w:vAlign w:val="center"/>
            <w:hideMark/>
          </w:tcPr>
          <w:p w14:paraId="3FC5C97B"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-0.115</w:t>
            </w:r>
          </w:p>
        </w:tc>
        <w:tc>
          <w:tcPr>
            <w:tcW w:w="899" w:type="pct"/>
            <w:tcBorders>
              <w:top w:val="nil"/>
              <w:left w:val="nil"/>
              <w:bottom w:val="single" w:sz="12" w:space="0" w:color="auto"/>
              <w:right w:val="nil"/>
            </w:tcBorders>
            <w:shd w:val="clear" w:color="auto" w:fill="auto"/>
            <w:noWrap/>
            <w:vAlign w:val="center"/>
            <w:hideMark/>
          </w:tcPr>
          <w:p w14:paraId="21CF3B9E"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-0.536</w:t>
            </w:r>
          </w:p>
        </w:tc>
      </w:tr>
      <w:tr w:rsidR="003F7B0F" w:rsidRPr="00B7688C" w14:paraId="0CFD8EC2" w14:textId="77777777" w:rsidTr="009C601C">
        <w:trPr>
          <w:trHeight w:val="300"/>
        </w:trPr>
        <w:tc>
          <w:tcPr>
            <w:tcW w:w="5000" w:type="pct"/>
            <w:gridSpan w:val="5"/>
            <w:tcBorders>
              <w:top w:val="single" w:sz="4" w:space="0" w:color="auto"/>
              <w:left w:val="nil"/>
              <w:bottom w:val="single" w:sz="4" w:space="0" w:color="auto"/>
              <w:right w:val="nil"/>
            </w:tcBorders>
            <w:shd w:val="clear" w:color="auto" w:fill="auto"/>
            <w:noWrap/>
            <w:vAlign w:val="center"/>
            <w:hideMark/>
          </w:tcPr>
          <w:p w14:paraId="6F117D37" w14:textId="77777777" w:rsidR="003F7B0F" w:rsidRPr="00B7688C" w:rsidRDefault="003F7B0F" w:rsidP="009C601C">
            <w:pPr>
              <w:spacing w:after="0" w:line="240" w:lineRule="auto"/>
              <w:rPr>
                <w:rFonts w:ascii="Times New Roman" w:eastAsia="Times New Roman" w:hAnsi="Times New Roman" w:cs="Times New Roman"/>
                <w:color w:val="000000"/>
              </w:rPr>
            </w:pPr>
            <w:r w:rsidRPr="00B7688C">
              <w:rPr>
                <w:rFonts w:ascii="Times New Roman" w:eastAsia="Times New Roman" w:hAnsi="Times New Roman" w:cs="Times New Roman"/>
                <w:color w:val="000000"/>
              </w:rPr>
              <w:t xml:space="preserve">Panel B: </w:t>
            </w:r>
            <w:r>
              <w:rPr>
                <w:rFonts w:ascii="Times New Roman" w:eastAsia="Times New Roman" w:hAnsi="Times New Roman" w:cs="Times New Roman"/>
                <w:color w:val="000000"/>
              </w:rPr>
              <w:t>B</w:t>
            </w:r>
            <w:r w:rsidRPr="00B7688C">
              <w:rPr>
                <w:rFonts w:ascii="Times New Roman" w:eastAsia="Times New Roman" w:hAnsi="Times New Roman" w:cs="Times New Roman"/>
                <w:color w:val="000000"/>
              </w:rPr>
              <w:t xml:space="preserve">uy-and-hold abnormal return </w:t>
            </w:r>
            <w:r>
              <w:rPr>
                <w:rFonts w:ascii="Times New Roman" w:eastAsia="Times New Roman" w:hAnsi="Times New Roman" w:cs="Times New Roman"/>
                <w:color w:val="000000"/>
              </w:rPr>
              <w:t xml:space="preserve">regressions </w:t>
            </w:r>
            <w:r w:rsidRPr="00B7688C">
              <w:rPr>
                <w:rFonts w:ascii="Times New Roman" w:eastAsia="Times New Roman" w:hAnsi="Times New Roman" w:cs="Times New Roman"/>
                <w:color w:val="000000"/>
              </w:rPr>
              <w:t xml:space="preserve"> </w:t>
            </w:r>
          </w:p>
        </w:tc>
      </w:tr>
      <w:tr w:rsidR="003F7B0F" w:rsidRPr="00B7688C" w14:paraId="63D8DC21" w14:textId="77777777" w:rsidTr="00F948EF">
        <w:trPr>
          <w:trHeight w:val="300"/>
        </w:trPr>
        <w:tc>
          <w:tcPr>
            <w:tcW w:w="1469" w:type="pct"/>
            <w:tcBorders>
              <w:top w:val="single" w:sz="12" w:space="0" w:color="auto"/>
              <w:left w:val="nil"/>
              <w:bottom w:val="nil"/>
              <w:right w:val="nil"/>
            </w:tcBorders>
            <w:shd w:val="clear" w:color="auto" w:fill="auto"/>
            <w:noWrap/>
            <w:vAlign w:val="center"/>
            <w:hideMark/>
          </w:tcPr>
          <w:p w14:paraId="765A71FA"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 </w:t>
            </w:r>
          </w:p>
        </w:tc>
        <w:tc>
          <w:tcPr>
            <w:tcW w:w="899" w:type="pct"/>
            <w:tcBorders>
              <w:top w:val="single" w:sz="12" w:space="0" w:color="auto"/>
              <w:left w:val="nil"/>
              <w:bottom w:val="single" w:sz="4" w:space="0" w:color="auto"/>
              <w:right w:val="nil"/>
            </w:tcBorders>
            <w:shd w:val="clear" w:color="auto" w:fill="auto"/>
            <w:noWrap/>
            <w:vAlign w:val="center"/>
            <w:hideMark/>
          </w:tcPr>
          <w:p w14:paraId="06D38B4B"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(1)</w:t>
            </w:r>
          </w:p>
        </w:tc>
        <w:tc>
          <w:tcPr>
            <w:tcW w:w="834" w:type="pct"/>
            <w:tcBorders>
              <w:top w:val="single" w:sz="12" w:space="0" w:color="auto"/>
              <w:left w:val="nil"/>
              <w:bottom w:val="single" w:sz="4" w:space="0" w:color="auto"/>
              <w:right w:val="nil"/>
            </w:tcBorders>
            <w:shd w:val="clear" w:color="auto" w:fill="auto"/>
            <w:noWrap/>
            <w:vAlign w:val="center"/>
            <w:hideMark/>
          </w:tcPr>
          <w:p w14:paraId="7C937F4E"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(2)</w:t>
            </w:r>
          </w:p>
        </w:tc>
        <w:tc>
          <w:tcPr>
            <w:tcW w:w="899" w:type="pct"/>
            <w:tcBorders>
              <w:top w:val="single" w:sz="12" w:space="0" w:color="auto"/>
              <w:left w:val="nil"/>
              <w:bottom w:val="single" w:sz="4" w:space="0" w:color="auto"/>
              <w:right w:val="nil"/>
            </w:tcBorders>
            <w:shd w:val="clear" w:color="auto" w:fill="auto"/>
            <w:noWrap/>
            <w:vAlign w:val="center"/>
            <w:hideMark/>
          </w:tcPr>
          <w:p w14:paraId="4187C2FB"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(3)</w:t>
            </w:r>
          </w:p>
        </w:tc>
        <w:tc>
          <w:tcPr>
            <w:tcW w:w="899" w:type="pct"/>
            <w:tcBorders>
              <w:top w:val="single" w:sz="12" w:space="0" w:color="auto"/>
              <w:left w:val="nil"/>
              <w:bottom w:val="single" w:sz="4" w:space="0" w:color="auto"/>
              <w:right w:val="nil"/>
            </w:tcBorders>
            <w:shd w:val="clear" w:color="auto" w:fill="auto"/>
            <w:noWrap/>
            <w:vAlign w:val="center"/>
            <w:hideMark/>
          </w:tcPr>
          <w:p w14:paraId="104FE38A"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(4)</w:t>
            </w:r>
          </w:p>
        </w:tc>
      </w:tr>
      <w:tr w:rsidR="003F7B0F" w:rsidRPr="00B7688C" w14:paraId="1C8B7467" w14:textId="77777777" w:rsidTr="00F948EF">
        <w:trPr>
          <w:trHeight w:val="330"/>
        </w:trPr>
        <w:tc>
          <w:tcPr>
            <w:tcW w:w="1469" w:type="pct"/>
            <w:tcBorders>
              <w:top w:val="nil"/>
              <w:left w:val="nil"/>
              <w:bottom w:val="single" w:sz="12" w:space="0" w:color="auto"/>
              <w:right w:val="nil"/>
            </w:tcBorders>
            <w:shd w:val="clear" w:color="auto" w:fill="auto"/>
            <w:noWrap/>
            <w:vAlign w:val="center"/>
            <w:hideMark/>
          </w:tcPr>
          <w:p w14:paraId="1181C445" w14:textId="77777777" w:rsidR="003F7B0F" w:rsidRPr="00B7688C" w:rsidRDefault="003F7B0F" w:rsidP="009C601C">
            <w:pPr>
              <w:spacing w:after="0" w:line="240" w:lineRule="auto"/>
              <w:jc w:val="center"/>
              <w:rPr>
                <w:rFonts w:ascii="Times New Roman" w:eastAsia="Times New Roman" w:hAnsi="Times New Roman" w:cs="Times New Roman"/>
                <w:color w:val="000000"/>
              </w:rPr>
            </w:pPr>
          </w:p>
        </w:tc>
        <w:tc>
          <w:tcPr>
            <w:tcW w:w="1733" w:type="pct"/>
            <w:gridSpan w:val="2"/>
            <w:tcBorders>
              <w:top w:val="single" w:sz="4" w:space="0" w:color="auto"/>
              <w:left w:val="nil"/>
              <w:bottom w:val="single" w:sz="4" w:space="0" w:color="auto"/>
              <w:right w:val="nil"/>
            </w:tcBorders>
            <w:shd w:val="clear" w:color="auto" w:fill="auto"/>
            <w:noWrap/>
            <w:vAlign w:val="center"/>
            <w:hideMark/>
          </w:tcPr>
          <w:p w14:paraId="3A533C38" w14:textId="77777777" w:rsidR="003F7B0F" w:rsidRPr="00BC6405" w:rsidRDefault="003F7B0F" w:rsidP="009C601C">
            <w:pPr>
              <w:spacing w:after="0" w:line="240" w:lineRule="auto"/>
              <w:jc w:val="center"/>
              <w:rPr>
                <w:rFonts w:ascii="Times New Roman" w:eastAsia="Times New Roman" w:hAnsi="Times New Roman" w:cs="Times New Roman"/>
                <w:i/>
              </w:rPr>
            </w:pPr>
            <w:r w:rsidRPr="00BC6405">
              <w:rPr>
                <w:rFonts w:ascii="Times New Roman" w:eastAsia="Times New Roman" w:hAnsi="Times New Roman" w:cs="Times New Roman"/>
                <w:i/>
              </w:rPr>
              <w:t>CAR</w:t>
            </w:r>
            <w:r w:rsidRPr="00BC6405">
              <w:rPr>
                <w:rFonts w:ascii="Times New Roman" w:eastAsia="Times New Roman" w:hAnsi="Times New Roman" w:cs="Times New Roman"/>
                <w:i/>
                <w:vertAlign w:val="subscript"/>
              </w:rPr>
              <w:t>t</w:t>
            </w:r>
          </w:p>
        </w:tc>
        <w:tc>
          <w:tcPr>
            <w:tcW w:w="1798" w:type="pct"/>
            <w:gridSpan w:val="2"/>
            <w:tcBorders>
              <w:top w:val="single" w:sz="4" w:space="0" w:color="auto"/>
              <w:left w:val="nil"/>
              <w:bottom w:val="single" w:sz="12" w:space="0" w:color="auto"/>
              <w:right w:val="nil"/>
            </w:tcBorders>
            <w:shd w:val="clear" w:color="auto" w:fill="auto"/>
            <w:noWrap/>
            <w:vAlign w:val="center"/>
            <w:hideMark/>
          </w:tcPr>
          <w:p w14:paraId="263A102E" w14:textId="77777777" w:rsidR="003F7B0F" w:rsidRPr="00BC6405" w:rsidRDefault="003F7B0F" w:rsidP="009C601C">
            <w:pPr>
              <w:spacing w:after="0" w:line="240" w:lineRule="auto"/>
              <w:jc w:val="center"/>
              <w:rPr>
                <w:rFonts w:ascii="Times New Roman" w:eastAsia="Times New Roman" w:hAnsi="Times New Roman" w:cs="Times New Roman"/>
                <w:i/>
              </w:rPr>
            </w:pPr>
            <w:r w:rsidRPr="00BC6405">
              <w:rPr>
                <w:rFonts w:ascii="Times New Roman" w:eastAsia="Times New Roman" w:hAnsi="Times New Roman" w:cs="Times New Roman"/>
                <w:i/>
              </w:rPr>
              <w:t>CAR</w:t>
            </w:r>
            <w:r w:rsidRPr="00BC6405">
              <w:rPr>
                <w:rFonts w:ascii="Times New Roman" w:eastAsia="Times New Roman" w:hAnsi="Times New Roman" w:cs="Times New Roman"/>
                <w:i/>
                <w:vertAlign w:val="subscript"/>
              </w:rPr>
              <w:t>t+1</w:t>
            </w:r>
          </w:p>
        </w:tc>
      </w:tr>
      <w:tr w:rsidR="003F7B0F" w:rsidRPr="00B7688C" w14:paraId="793D8E1B" w14:textId="77777777" w:rsidTr="00F948EF">
        <w:trPr>
          <w:trHeight w:val="300"/>
        </w:trPr>
        <w:tc>
          <w:tcPr>
            <w:tcW w:w="1469" w:type="pct"/>
            <w:tcBorders>
              <w:top w:val="single" w:sz="12" w:space="0" w:color="auto"/>
              <w:left w:val="nil"/>
              <w:bottom w:val="nil"/>
              <w:right w:val="nil"/>
            </w:tcBorders>
            <w:shd w:val="clear" w:color="auto" w:fill="auto"/>
            <w:noWrap/>
            <w:vAlign w:val="center"/>
            <w:hideMark/>
          </w:tcPr>
          <w:p w14:paraId="2CFD5608" w14:textId="77777777" w:rsidR="003F7B0F" w:rsidRPr="00B7688C" w:rsidRDefault="003F7B0F" w:rsidP="009C601C">
            <w:pPr>
              <w:spacing w:after="0" w:line="240" w:lineRule="auto"/>
              <w:rPr>
                <w:rFonts w:ascii="Times New Roman" w:eastAsia="Times New Roman" w:hAnsi="Times New Roman" w:cs="Times New Roman"/>
                <w:color w:val="000000"/>
              </w:rPr>
            </w:pPr>
            <w:r w:rsidRPr="00B7688C">
              <w:rPr>
                <w:rFonts w:ascii="Times New Roman" w:eastAsia="Times New Roman" w:hAnsi="Times New Roman" w:cs="Times New Roman"/>
                <w:color w:val="000000"/>
              </w:rPr>
              <w:t>Intercept</w:t>
            </w:r>
          </w:p>
        </w:tc>
        <w:tc>
          <w:tcPr>
            <w:tcW w:w="899" w:type="pct"/>
            <w:tcBorders>
              <w:top w:val="single" w:sz="12" w:space="0" w:color="auto"/>
              <w:left w:val="nil"/>
              <w:bottom w:val="nil"/>
              <w:right w:val="nil"/>
            </w:tcBorders>
            <w:shd w:val="clear" w:color="auto" w:fill="auto"/>
            <w:noWrap/>
            <w:vAlign w:val="center"/>
            <w:hideMark/>
          </w:tcPr>
          <w:p w14:paraId="0DDA36BE"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0.226</w:t>
            </w:r>
          </w:p>
        </w:tc>
        <w:tc>
          <w:tcPr>
            <w:tcW w:w="834" w:type="pct"/>
            <w:tcBorders>
              <w:top w:val="single" w:sz="12" w:space="0" w:color="auto"/>
              <w:left w:val="nil"/>
              <w:bottom w:val="nil"/>
              <w:right w:val="nil"/>
            </w:tcBorders>
            <w:shd w:val="clear" w:color="auto" w:fill="auto"/>
            <w:noWrap/>
            <w:vAlign w:val="center"/>
            <w:hideMark/>
          </w:tcPr>
          <w:p w14:paraId="0772D598"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0.240</w:t>
            </w:r>
          </w:p>
        </w:tc>
        <w:tc>
          <w:tcPr>
            <w:tcW w:w="899" w:type="pct"/>
            <w:tcBorders>
              <w:top w:val="single" w:sz="12" w:space="0" w:color="auto"/>
              <w:left w:val="nil"/>
              <w:bottom w:val="nil"/>
              <w:right w:val="nil"/>
            </w:tcBorders>
            <w:shd w:val="clear" w:color="auto" w:fill="auto"/>
            <w:noWrap/>
            <w:vAlign w:val="center"/>
            <w:hideMark/>
          </w:tcPr>
          <w:p w14:paraId="5B78CF08"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0.816**</w:t>
            </w:r>
          </w:p>
        </w:tc>
        <w:tc>
          <w:tcPr>
            <w:tcW w:w="899" w:type="pct"/>
            <w:tcBorders>
              <w:top w:val="single" w:sz="12" w:space="0" w:color="auto"/>
              <w:left w:val="nil"/>
              <w:bottom w:val="nil"/>
              <w:right w:val="nil"/>
            </w:tcBorders>
            <w:shd w:val="clear" w:color="auto" w:fill="auto"/>
            <w:noWrap/>
            <w:vAlign w:val="center"/>
            <w:hideMark/>
          </w:tcPr>
          <w:p w14:paraId="44AB4331"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0.694</w:t>
            </w:r>
          </w:p>
        </w:tc>
      </w:tr>
      <w:tr w:rsidR="003F7B0F" w:rsidRPr="00B7688C" w14:paraId="4E9A42E8" w14:textId="77777777" w:rsidTr="009C601C">
        <w:trPr>
          <w:trHeight w:val="300"/>
        </w:trPr>
        <w:tc>
          <w:tcPr>
            <w:tcW w:w="1469" w:type="pct"/>
            <w:tcBorders>
              <w:top w:val="nil"/>
              <w:left w:val="nil"/>
              <w:bottom w:val="nil"/>
              <w:right w:val="nil"/>
            </w:tcBorders>
            <w:shd w:val="clear" w:color="auto" w:fill="auto"/>
            <w:noWrap/>
            <w:vAlign w:val="center"/>
            <w:hideMark/>
          </w:tcPr>
          <w:p w14:paraId="4981A3CF" w14:textId="77777777" w:rsidR="003F7B0F" w:rsidRPr="00B7688C"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0D761BBC" w14:textId="1CF80E8F" w:rsidR="003F7B0F" w:rsidRPr="00B7688C" w:rsidRDefault="003F7B0F">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(1.</w:t>
            </w:r>
            <w:r w:rsidR="00605F18" w:rsidRPr="00B7688C">
              <w:rPr>
                <w:rFonts w:ascii="Times New Roman" w:eastAsia="Times New Roman" w:hAnsi="Times New Roman" w:cs="Times New Roman"/>
                <w:color w:val="000000"/>
              </w:rPr>
              <w:t>0</w:t>
            </w:r>
            <w:r w:rsidR="00605F18">
              <w:rPr>
                <w:rFonts w:ascii="Times New Roman" w:eastAsia="Times New Roman" w:hAnsi="Times New Roman" w:cs="Times New Roman"/>
                <w:color w:val="000000"/>
              </w:rPr>
              <w:t>7</w:t>
            </w:r>
            <w:r w:rsidRPr="00B7688C">
              <w:rPr>
                <w:rFonts w:ascii="Times New Roman" w:eastAsia="Times New Roman" w:hAnsi="Times New Roman" w:cs="Times New Roman"/>
                <w:color w:val="000000"/>
              </w:rPr>
              <w:t>)</w:t>
            </w:r>
          </w:p>
        </w:tc>
        <w:tc>
          <w:tcPr>
            <w:tcW w:w="834" w:type="pct"/>
            <w:tcBorders>
              <w:top w:val="nil"/>
              <w:left w:val="nil"/>
              <w:bottom w:val="nil"/>
              <w:right w:val="nil"/>
            </w:tcBorders>
            <w:shd w:val="clear" w:color="auto" w:fill="auto"/>
            <w:noWrap/>
            <w:vAlign w:val="center"/>
            <w:hideMark/>
          </w:tcPr>
          <w:p w14:paraId="0712C57B" w14:textId="555C41B0"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w:t>
            </w:r>
            <w:r w:rsidR="00605F18" w:rsidRPr="000C4B69">
              <w:rPr>
                <w:rFonts w:ascii="Times New Roman" w:hAnsi="Times New Roman" w:cs="Times New Roman"/>
                <w:color w:val="000000"/>
              </w:rPr>
              <w:t>9</w:t>
            </w:r>
            <w:r w:rsidR="00605F18">
              <w:rPr>
                <w:rFonts w:ascii="Times New Roman" w:hAnsi="Times New Roman" w:cs="Times New Roman"/>
                <w:color w:val="000000"/>
              </w:rPr>
              <w:t>7</w:t>
            </w:r>
            <w:r w:rsidRPr="000C4B69">
              <w:rPr>
                <w:rFonts w:ascii="Times New Roman" w:hAnsi="Times New Roman" w:cs="Times New Roman"/>
                <w:color w:val="000000"/>
              </w:rPr>
              <w:t>)</w:t>
            </w:r>
          </w:p>
        </w:tc>
        <w:tc>
          <w:tcPr>
            <w:tcW w:w="899" w:type="pct"/>
            <w:tcBorders>
              <w:top w:val="nil"/>
              <w:left w:val="nil"/>
              <w:bottom w:val="nil"/>
              <w:right w:val="nil"/>
            </w:tcBorders>
            <w:shd w:val="clear" w:color="auto" w:fill="auto"/>
            <w:noWrap/>
            <w:vAlign w:val="center"/>
            <w:hideMark/>
          </w:tcPr>
          <w:p w14:paraId="762EAC6A" w14:textId="1D744B6E"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(2.36)</w:t>
            </w:r>
          </w:p>
        </w:tc>
        <w:tc>
          <w:tcPr>
            <w:tcW w:w="899" w:type="pct"/>
            <w:tcBorders>
              <w:top w:val="nil"/>
              <w:left w:val="nil"/>
              <w:bottom w:val="nil"/>
              <w:right w:val="nil"/>
            </w:tcBorders>
            <w:shd w:val="clear" w:color="auto" w:fill="auto"/>
            <w:noWrap/>
            <w:vAlign w:val="center"/>
            <w:hideMark/>
          </w:tcPr>
          <w:p w14:paraId="77994934" w14:textId="6E68DCBA"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(1.6</w:t>
            </w:r>
            <w:r w:rsidR="00605F18">
              <w:rPr>
                <w:rFonts w:ascii="Times New Roman" w:hAnsi="Times New Roman" w:cs="Times New Roman"/>
                <w:color w:val="000000"/>
              </w:rPr>
              <w:t>1</w:t>
            </w:r>
            <w:r w:rsidRPr="000C4B69">
              <w:rPr>
                <w:rFonts w:ascii="Times New Roman" w:hAnsi="Times New Roman" w:cs="Times New Roman"/>
                <w:color w:val="000000"/>
              </w:rPr>
              <w:t>)</w:t>
            </w:r>
          </w:p>
        </w:tc>
      </w:tr>
      <w:tr w:rsidR="003F7B0F" w:rsidRPr="00B7688C" w14:paraId="20928250" w14:textId="77777777" w:rsidTr="009C601C">
        <w:trPr>
          <w:trHeight w:val="300"/>
        </w:trPr>
        <w:tc>
          <w:tcPr>
            <w:tcW w:w="1469" w:type="pct"/>
            <w:tcBorders>
              <w:top w:val="nil"/>
              <w:left w:val="nil"/>
              <w:bottom w:val="nil"/>
              <w:right w:val="nil"/>
            </w:tcBorders>
            <w:shd w:val="clear" w:color="auto" w:fill="auto"/>
            <w:noWrap/>
            <w:vAlign w:val="center"/>
            <w:hideMark/>
          </w:tcPr>
          <w:p w14:paraId="0F05913B" w14:textId="77777777" w:rsidR="003F7B0F" w:rsidRPr="005128B0" w:rsidRDefault="003F7B0F" w:rsidP="009C601C">
            <w:pPr>
              <w:spacing w:after="0" w:line="240" w:lineRule="auto"/>
              <w:rPr>
                <w:rFonts w:ascii="Times New Roman" w:eastAsia="Times New Roman" w:hAnsi="Times New Roman" w:cs="Times New Roman"/>
                <w:i/>
                <w:iCs/>
                <w:color w:val="000000"/>
              </w:rPr>
            </w:pPr>
            <w:r w:rsidRPr="005128B0">
              <w:rPr>
                <w:rFonts w:ascii="Times New Roman" w:eastAsia="Times New Roman" w:hAnsi="Times New Roman" w:cs="Times New Roman"/>
                <w:i/>
                <w:iCs/>
                <w:color w:val="000000"/>
              </w:rPr>
              <w:t>RISK</w:t>
            </w:r>
            <w:r>
              <w:rPr>
                <w:rFonts w:ascii="Times New Roman" w:eastAsia="Times New Roman" w:hAnsi="Times New Roman" w:cs="Times New Roman"/>
                <w:i/>
                <w:iCs/>
                <w:color w:val="000000"/>
                <w:vertAlign w:val="subscript"/>
              </w:rPr>
              <w:t>t</w:t>
            </w:r>
            <w:r w:rsidRPr="005128B0">
              <w:rPr>
                <w:rFonts w:ascii="Times New Roman" w:eastAsia="Times New Roman" w:hAnsi="Times New Roman" w:cs="Times New Roman"/>
                <w:i/>
                <w:iCs/>
                <w:color w:val="000000"/>
              </w:rPr>
              <w:t xml:space="preserve"> </w:t>
            </w:r>
          </w:p>
        </w:tc>
        <w:tc>
          <w:tcPr>
            <w:tcW w:w="899" w:type="pct"/>
            <w:tcBorders>
              <w:top w:val="nil"/>
              <w:left w:val="nil"/>
              <w:bottom w:val="nil"/>
              <w:right w:val="nil"/>
            </w:tcBorders>
            <w:shd w:val="clear" w:color="auto" w:fill="auto"/>
            <w:noWrap/>
            <w:vAlign w:val="center"/>
            <w:hideMark/>
          </w:tcPr>
          <w:p w14:paraId="63A13AD4"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-0.189**</w:t>
            </w:r>
          </w:p>
        </w:tc>
        <w:tc>
          <w:tcPr>
            <w:tcW w:w="834" w:type="pct"/>
            <w:tcBorders>
              <w:top w:val="nil"/>
              <w:left w:val="nil"/>
              <w:bottom w:val="nil"/>
              <w:right w:val="nil"/>
            </w:tcBorders>
            <w:shd w:val="clear" w:color="auto" w:fill="auto"/>
            <w:noWrap/>
            <w:vAlign w:val="center"/>
            <w:hideMark/>
          </w:tcPr>
          <w:p w14:paraId="3B5AD246" w14:textId="77777777" w:rsidR="003F7B0F" w:rsidRPr="001D250D" w:rsidRDefault="003F7B0F" w:rsidP="009C601C">
            <w:pPr>
              <w:spacing w:after="0" w:line="240" w:lineRule="auto"/>
              <w:jc w:val="center"/>
              <w:rPr>
                <w:rFonts w:ascii="Times New Roman" w:eastAsia="Times New Roman" w:hAnsi="Times New Roman" w:cs="Times New Roman"/>
              </w:rPr>
            </w:pPr>
            <w:r w:rsidRPr="001D250D">
              <w:rPr>
                <w:rFonts w:ascii="Times New Roman" w:hAnsi="Times New Roman" w:cs="Times New Roman"/>
              </w:rPr>
              <w:t>-0.191**</w:t>
            </w:r>
          </w:p>
        </w:tc>
        <w:tc>
          <w:tcPr>
            <w:tcW w:w="899" w:type="pct"/>
            <w:tcBorders>
              <w:top w:val="nil"/>
              <w:left w:val="nil"/>
              <w:bottom w:val="nil"/>
              <w:right w:val="nil"/>
            </w:tcBorders>
            <w:shd w:val="clear" w:color="auto" w:fill="auto"/>
            <w:noWrap/>
            <w:vAlign w:val="center"/>
            <w:hideMark/>
          </w:tcPr>
          <w:p w14:paraId="2641998E"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3DAC930F" w14:textId="77777777" w:rsidR="003F7B0F" w:rsidRPr="000C4B69" w:rsidRDefault="003F7B0F" w:rsidP="009C601C">
            <w:pPr>
              <w:spacing w:after="0" w:line="240" w:lineRule="auto"/>
              <w:jc w:val="center"/>
              <w:rPr>
                <w:rFonts w:ascii="Times New Roman" w:eastAsia="Times New Roman" w:hAnsi="Times New Roman" w:cs="Times New Roman"/>
                <w:sz w:val="20"/>
                <w:szCs w:val="20"/>
              </w:rPr>
            </w:pPr>
          </w:p>
        </w:tc>
      </w:tr>
      <w:tr w:rsidR="003F7B0F" w:rsidRPr="00B7688C" w14:paraId="7C05B375" w14:textId="77777777" w:rsidTr="009C601C">
        <w:trPr>
          <w:trHeight w:val="300"/>
        </w:trPr>
        <w:tc>
          <w:tcPr>
            <w:tcW w:w="1469" w:type="pct"/>
            <w:tcBorders>
              <w:top w:val="nil"/>
              <w:left w:val="nil"/>
              <w:bottom w:val="nil"/>
              <w:right w:val="nil"/>
            </w:tcBorders>
            <w:shd w:val="clear" w:color="auto" w:fill="auto"/>
            <w:noWrap/>
            <w:vAlign w:val="center"/>
            <w:hideMark/>
          </w:tcPr>
          <w:p w14:paraId="2F9E0510" w14:textId="77777777" w:rsidR="003F7B0F" w:rsidRPr="005128B0" w:rsidRDefault="003F7B0F" w:rsidP="009C601C">
            <w:pPr>
              <w:spacing w:after="0" w:line="240" w:lineRule="auto"/>
              <w:jc w:val="center"/>
              <w:rPr>
                <w:rFonts w:ascii="Times New Roman" w:eastAsia="Times New Roman" w:hAnsi="Times New Roman" w:cs="Times New Roman"/>
              </w:rPr>
            </w:pPr>
          </w:p>
        </w:tc>
        <w:tc>
          <w:tcPr>
            <w:tcW w:w="899" w:type="pct"/>
            <w:tcBorders>
              <w:top w:val="nil"/>
              <w:left w:val="nil"/>
              <w:bottom w:val="nil"/>
              <w:right w:val="nil"/>
            </w:tcBorders>
            <w:shd w:val="clear" w:color="auto" w:fill="auto"/>
            <w:noWrap/>
            <w:vAlign w:val="center"/>
            <w:hideMark/>
          </w:tcPr>
          <w:p w14:paraId="5C351406" w14:textId="127412E7" w:rsidR="003F7B0F" w:rsidRPr="00B7688C" w:rsidRDefault="003F7B0F">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(-2.56)</w:t>
            </w:r>
          </w:p>
        </w:tc>
        <w:tc>
          <w:tcPr>
            <w:tcW w:w="834" w:type="pct"/>
            <w:tcBorders>
              <w:top w:val="nil"/>
              <w:left w:val="nil"/>
              <w:bottom w:val="nil"/>
              <w:right w:val="nil"/>
            </w:tcBorders>
            <w:shd w:val="clear" w:color="auto" w:fill="auto"/>
            <w:noWrap/>
            <w:vAlign w:val="center"/>
            <w:hideMark/>
          </w:tcPr>
          <w:p w14:paraId="7B4E0284" w14:textId="136AE989" w:rsidR="003F7B0F" w:rsidRPr="001D250D" w:rsidRDefault="003F7B0F">
            <w:pPr>
              <w:spacing w:after="0" w:line="240" w:lineRule="auto"/>
              <w:jc w:val="center"/>
              <w:rPr>
                <w:rFonts w:ascii="Times New Roman" w:eastAsia="Times New Roman" w:hAnsi="Times New Roman" w:cs="Times New Roman"/>
              </w:rPr>
            </w:pPr>
            <w:r w:rsidRPr="001D250D">
              <w:rPr>
                <w:rFonts w:ascii="Times New Roman" w:hAnsi="Times New Roman" w:cs="Times New Roman"/>
              </w:rPr>
              <w:t>(-2.</w:t>
            </w:r>
            <w:r w:rsidR="00605F18" w:rsidRPr="001D250D">
              <w:rPr>
                <w:rFonts w:ascii="Times New Roman" w:hAnsi="Times New Roman" w:cs="Times New Roman"/>
              </w:rPr>
              <w:t>5</w:t>
            </w:r>
            <w:r w:rsidR="00605F18">
              <w:rPr>
                <w:rFonts w:ascii="Times New Roman" w:hAnsi="Times New Roman" w:cs="Times New Roman"/>
              </w:rPr>
              <w:t>7</w:t>
            </w:r>
            <w:r w:rsidRPr="001D250D">
              <w:rPr>
                <w:rFonts w:ascii="Times New Roman" w:hAnsi="Times New Roman" w:cs="Times New Roman"/>
              </w:rPr>
              <w:t>)</w:t>
            </w:r>
          </w:p>
        </w:tc>
        <w:tc>
          <w:tcPr>
            <w:tcW w:w="899" w:type="pct"/>
            <w:tcBorders>
              <w:top w:val="nil"/>
              <w:left w:val="nil"/>
              <w:bottom w:val="nil"/>
              <w:right w:val="nil"/>
            </w:tcBorders>
            <w:shd w:val="clear" w:color="auto" w:fill="auto"/>
            <w:noWrap/>
            <w:vAlign w:val="center"/>
            <w:hideMark/>
          </w:tcPr>
          <w:p w14:paraId="7AC38812"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3A482023" w14:textId="77777777" w:rsidR="003F7B0F" w:rsidRPr="000C4B69" w:rsidRDefault="003F7B0F" w:rsidP="009C601C">
            <w:pPr>
              <w:spacing w:after="0" w:line="240" w:lineRule="auto"/>
              <w:jc w:val="center"/>
              <w:rPr>
                <w:rFonts w:ascii="Times New Roman" w:eastAsia="Times New Roman" w:hAnsi="Times New Roman" w:cs="Times New Roman"/>
                <w:sz w:val="20"/>
                <w:szCs w:val="20"/>
              </w:rPr>
            </w:pPr>
          </w:p>
        </w:tc>
      </w:tr>
      <w:tr w:rsidR="003F7B0F" w:rsidRPr="00B7688C" w14:paraId="124B0EDC" w14:textId="77777777" w:rsidTr="009C601C">
        <w:trPr>
          <w:trHeight w:val="300"/>
        </w:trPr>
        <w:tc>
          <w:tcPr>
            <w:tcW w:w="1469" w:type="pct"/>
            <w:tcBorders>
              <w:top w:val="nil"/>
              <w:left w:val="nil"/>
              <w:bottom w:val="nil"/>
              <w:right w:val="nil"/>
            </w:tcBorders>
            <w:shd w:val="clear" w:color="auto" w:fill="auto"/>
            <w:noWrap/>
            <w:vAlign w:val="center"/>
            <w:hideMark/>
          </w:tcPr>
          <w:p w14:paraId="01C27A0E" w14:textId="77777777" w:rsidR="003F7B0F" w:rsidRPr="005128B0" w:rsidRDefault="003F7B0F" w:rsidP="009C601C">
            <w:pPr>
              <w:spacing w:after="0" w:line="240" w:lineRule="auto"/>
              <w:rPr>
                <w:rFonts w:ascii="Times New Roman" w:eastAsia="Times New Roman" w:hAnsi="Times New Roman" w:cs="Times New Roman"/>
                <w:i/>
                <w:iCs/>
                <w:color w:val="000000"/>
                <w:vertAlign w:val="subscript"/>
              </w:rPr>
            </w:pPr>
            <w:r>
              <w:rPr>
                <w:rFonts w:ascii="Times New Roman" w:eastAsia="Times New Roman" w:hAnsi="Times New Roman" w:cs="Times New Roman"/>
                <w:i/>
                <w:iCs/>
                <w:color w:val="000000"/>
              </w:rPr>
              <w:t>RISK</w:t>
            </w:r>
            <w:r>
              <w:rPr>
                <w:rFonts w:ascii="Times New Roman" w:eastAsia="Times New Roman" w:hAnsi="Times New Roman" w:cs="Times New Roman"/>
                <w:i/>
                <w:iCs/>
                <w:color w:val="000000"/>
                <w:vertAlign w:val="subscript"/>
              </w:rPr>
              <w:t>t+1</w:t>
            </w:r>
          </w:p>
        </w:tc>
        <w:tc>
          <w:tcPr>
            <w:tcW w:w="899" w:type="pct"/>
            <w:tcBorders>
              <w:top w:val="nil"/>
              <w:left w:val="nil"/>
              <w:bottom w:val="nil"/>
              <w:right w:val="nil"/>
            </w:tcBorders>
            <w:shd w:val="clear" w:color="auto" w:fill="auto"/>
            <w:noWrap/>
            <w:vAlign w:val="center"/>
            <w:hideMark/>
          </w:tcPr>
          <w:p w14:paraId="1CD129F4" w14:textId="77777777" w:rsidR="003F7B0F" w:rsidRPr="00B7688C" w:rsidRDefault="003F7B0F" w:rsidP="009C601C">
            <w:pPr>
              <w:spacing w:after="0" w:line="240" w:lineRule="auto"/>
              <w:jc w:val="center"/>
              <w:rPr>
                <w:rFonts w:ascii="Times New Roman" w:eastAsia="Times New Roman" w:hAnsi="Times New Roman" w:cs="Times New Roman"/>
                <w:i/>
                <w:iCs/>
                <w:color w:val="000000"/>
                <w:sz w:val="20"/>
                <w:szCs w:val="20"/>
              </w:rPr>
            </w:pPr>
          </w:p>
        </w:tc>
        <w:tc>
          <w:tcPr>
            <w:tcW w:w="834" w:type="pct"/>
            <w:tcBorders>
              <w:top w:val="nil"/>
              <w:left w:val="nil"/>
              <w:bottom w:val="nil"/>
              <w:right w:val="nil"/>
            </w:tcBorders>
            <w:shd w:val="clear" w:color="auto" w:fill="auto"/>
            <w:noWrap/>
            <w:vAlign w:val="center"/>
            <w:hideMark/>
          </w:tcPr>
          <w:p w14:paraId="1F433855" w14:textId="77777777" w:rsidR="003F7B0F" w:rsidRPr="000C4B69" w:rsidRDefault="003F7B0F" w:rsidP="009C601C">
            <w:pPr>
              <w:spacing w:after="0" w:line="240" w:lineRule="auto"/>
              <w:jc w:val="center"/>
              <w:rPr>
                <w:rFonts w:ascii="Times New Roman" w:eastAsia="Times New Roman" w:hAnsi="Times New Roman" w:cs="Times New Roman"/>
                <w:sz w:val="20"/>
                <w:szCs w:val="20"/>
              </w:rPr>
            </w:pPr>
          </w:p>
        </w:tc>
        <w:tc>
          <w:tcPr>
            <w:tcW w:w="899" w:type="pct"/>
            <w:tcBorders>
              <w:top w:val="nil"/>
              <w:left w:val="nil"/>
              <w:bottom w:val="nil"/>
              <w:right w:val="nil"/>
            </w:tcBorders>
            <w:shd w:val="clear" w:color="auto" w:fill="auto"/>
            <w:noWrap/>
            <w:vAlign w:val="center"/>
            <w:hideMark/>
          </w:tcPr>
          <w:p w14:paraId="70D4D251"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-0.260**</w:t>
            </w:r>
          </w:p>
        </w:tc>
        <w:tc>
          <w:tcPr>
            <w:tcW w:w="899" w:type="pct"/>
            <w:tcBorders>
              <w:top w:val="nil"/>
              <w:left w:val="nil"/>
              <w:bottom w:val="nil"/>
              <w:right w:val="nil"/>
            </w:tcBorders>
            <w:shd w:val="clear" w:color="auto" w:fill="auto"/>
            <w:noWrap/>
            <w:vAlign w:val="center"/>
            <w:hideMark/>
          </w:tcPr>
          <w:p w14:paraId="2F956B88"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-0.247**</w:t>
            </w:r>
          </w:p>
        </w:tc>
      </w:tr>
      <w:tr w:rsidR="003F7B0F" w:rsidRPr="00B7688C" w14:paraId="3CE790CB" w14:textId="77777777" w:rsidTr="009C601C">
        <w:trPr>
          <w:trHeight w:val="300"/>
        </w:trPr>
        <w:tc>
          <w:tcPr>
            <w:tcW w:w="1469" w:type="pct"/>
            <w:tcBorders>
              <w:top w:val="nil"/>
              <w:left w:val="nil"/>
              <w:bottom w:val="nil"/>
              <w:right w:val="nil"/>
            </w:tcBorders>
            <w:shd w:val="clear" w:color="auto" w:fill="auto"/>
            <w:noWrap/>
            <w:vAlign w:val="center"/>
            <w:hideMark/>
          </w:tcPr>
          <w:p w14:paraId="6485C837" w14:textId="77777777" w:rsidR="003F7B0F" w:rsidRPr="005128B0"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7B5ECBF4"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c>
          <w:tcPr>
            <w:tcW w:w="834" w:type="pct"/>
            <w:tcBorders>
              <w:top w:val="nil"/>
              <w:left w:val="nil"/>
              <w:bottom w:val="nil"/>
              <w:right w:val="nil"/>
            </w:tcBorders>
            <w:shd w:val="clear" w:color="auto" w:fill="auto"/>
            <w:noWrap/>
            <w:vAlign w:val="center"/>
            <w:hideMark/>
          </w:tcPr>
          <w:p w14:paraId="7EC35802" w14:textId="77777777" w:rsidR="003F7B0F" w:rsidRPr="000C4B69" w:rsidRDefault="003F7B0F" w:rsidP="009C601C">
            <w:pPr>
              <w:spacing w:after="0" w:line="240" w:lineRule="auto"/>
              <w:jc w:val="center"/>
              <w:rPr>
                <w:rFonts w:ascii="Times New Roman" w:eastAsia="Times New Roman" w:hAnsi="Times New Roman" w:cs="Times New Roman"/>
                <w:sz w:val="20"/>
                <w:szCs w:val="20"/>
              </w:rPr>
            </w:pPr>
          </w:p>
        </w:tc>
        <w:tc>
          <w:tcPr>
            <w:tcW w:w="899" w:type="pct"/>
            <w:tcBorders>
              <w:top w:val="nil"/>
              <w:left w:val="nil"/>
              <w:bottom w:val="nil"/>
              <w:right w:val="nil"/>
            </w:tcBorders>
            <w:shd w:val="clear" w:color="auto" w:fill="auto"/>
            <w:noWrap/>
            <w:vAlign w:val="center"/>
            <w:hideMark/>
          </w:tcPr>
          <w:p w14:paraId="2714350C" w14:textId="797063CF"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(-2.21)</w:t>
            </w:r>
          </w:p>
        </w:tc>
        <w:tc>
          <w:tcPr>
            <w:tcW w:w="899" w:type="pct"/>
            <w:tcBorders>
              <w:top w:val="nil"/>
              <w:left w:val="nil"/>
              <w:bottom w:val="nil"/>
              <w:right w:val="nil"/>
            </w:tcBorders>
            <w:shd w:val="clear" w:color="auto" w:fill="auto"/>
            <w:noWrap/>
            <w:vAlign w:val="center"/>
            <w:hideMark/>
          </w:tcPr>
          <w:p w14:paraId="4D43CBA0" w14:textId="08EE33C1"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(-2.08)</w:t>
            </w:r>
          </w:p>
        </w:tc>
      </w:tr>
      <w:tr w:rsidR="003F7B0F" w:rsidRPr="00B7688C" w14:paraId="02D24DE4" w14:textId="77777777" w:rsidTr="009C601C">
        <w:trPr>
          <w:trHeight w:val="300"/>
        </w:trPr>
        <w:tc>
          <w:tcPr>
            <w:tcW w:w="1469" w:type="pct"/>
            <w:tcBorders>
              <w:top w:val="nil"/>
              <w:left w:val="nil"/>
              <w:bottom w:val="nil"/>
              <w:right w:val="nil"/>
            </w:tcBorders>
            <w:shd w:val="clear" w:color="auto" w:fill="auto"/>
            <w:noWrap/>
            <w:vAlign w:val="center"/>
            <w:hideMark/>
          </w:tcPr>
          <w:p w14:paraId="1AAA8328" w14:textId="77777777" w:rsidR="003F7B0F" w:rsidRPr="005128B0" w:rsidRDefault="003F7B0F" w:rsidP="009C601C">
            <w:pPr>
              <w:spacing w:after="0" w:line="240" w:lineRule="auto"/>
              <w:rPr>
                <w:rFonts w:ascii="Times New Roman" w:eastAsia="Times New Roman" w:hAnsi="Times New Roman" w:cs="Times New Roman"/>
                <w:i/>
                <w:iCs/>
                <w:color w:val="000000"/>
              </w:rPr>
            </w:pPr>
            <w:r w:rsidRPr="005128B0">
              <w:rPr>
                <w:rFonts w:ascii="Times New Roman" w:eastAsia="Times New Roman" w:hAnsi="Times New Roman" w:cs="Times New Roman"/>
                <w:i/>
                <w:iCs/>
                <w:color w:val="000000"/>
              </w:rPr>
              <w:t>LEVERAGE</w:t>
            </w:r>
          </w:p>
        </w:tc>
        <w:tc>
          <w:tcPr>
            <w:tcW w:w="899" w:type="pct"/>
            <w:tcBorders>
              <w:top w:val="nil"/>
              <w:left w:val="nil"/>
              <w:bottom w:val="nil"/>
              <w:right w:val="nil"/>
            </w:tcBorders>
            <w:shd w:val="clear" w:color="auto" w:fill="auto"/>
            <w:noWrap/>
            <w:vAlign w:val="center"/>
            <w:hideMark/>
          </w:tcPr>
          <w:p w14:paraId="1A764CFB" w14:textId="77777777" w:rsidR="003F7B0F" w:rsidRPr="00B7688C" w:rsidRDefault="003F7B0F" w:rsidP="009C601C">
            <w:pPr>
              <w:spacing w:after="0" w:line="240" w:lineRule="auto"/>
              <w:jc w:val="center"/>
              <w:rPr>
                <w:rFonts w:ascii="Times New Roman" w:eastAsia="Times New Roman" w:hAnsi="Times New Roman" w:cs="Times New Roman"/>
                <w:i/>
                <w:iCs/>
                <w:color w:val="000000"/>
              </w:rPr>
            </w:pPr>
          </w:p>
        </w:tc>
        <w:tc>
          <w:tcPr>
            <w:tcW w:w="834" w:type="pct"/>
            <w:tcBorders>
              <w:top w:val="nil"/>
              <w:left w:val="nil"/>
              <w:bottom w:val="nil"/>
              <w:right w:val="nil"/>
            </w:tcBorders>
            <w:shd w:val="clear" w:color="auto" w:fill="auto"/>
            <w:noWrap/>
            <w:vAlign w:val="center"/>
            <w:hideMark/>
          </w:tcPr>
          <w:p w14:paraId="4773FC8B"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0.147</w:t>
            </w:r>
          </w:p>
        </w:tc>
        <w:tc>
          <w:tcPr>
            <w:tcW w:w="899" w:type="pct"/>
            <w:tcBorders>
              <w:top w:val="nil"/>
              <w:left w:val="nil"/>
              <w:bottom w:val="nil"/>
              <w:right w:val="nil"/>
            </w:tcBorders>
            <w:shd w:val="clear" w:color="auto" w:fill="auto"/>
            <w:noWrap/>
            <w:vAlign w:val="center"/>
            <w:hideMark/>
          </w:tcPr>
          <w:p w14:paraId="47AC45A6"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36F8D363"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0.451</w:t>
            </w:r>
          </w:p>
        </w:tc>
      </w:tr>
      <w:tr w:rsidR="003F7B0F" w:rsidRPr="00B7688C" w14:paraId="57C9BE3B" w14:textId="77777777" w:rsidTr="009C601C">
        <w:trPr>
          <w:trHeight w:val="300"/>
        </w:trPr>
        <w:tc>
          <w:tcPr>
            <w:tcW w:w="1469" w:type="pct"/>
            <w:tcBorders>
              <w:top w:val="nil"/>
              <w:left w:val="nil"/>
              <w:bottom w:val="nil"/>
              <w:right w:val="nil"/>
            </w:tcBorders>
            <w:shd w:val="clear" w:color="auto" w:fill="auto"/>
            <w:noWrap/>
            <w:vAlign w:val="center"/>
            <w:hideMark/>
          </w:tcPr>
          <w:p w14:paraId="5902DDE5" w14:textId="77777777" w:rsidR="003F7B0F" w:rsidRPr="005128B0"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5E0791A1"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c>
          <w:tcPr>
            <w:tcW w:w="834" w:type="pct"/>
            <w:tcBorders>
              <w:top w:val="nil"/>
              <w:left w:val="nil"/>
              <w:bottom w:val="nil"/>
              <w:right w:val="nil"/>
            </w:tcBorders>
            <w:shd w:val="clear" w:color="auto" w:fill="auto"/>
            <w:noWrap/>
            <w:vAlign w:val="center"/>
            <w:hideMark/>
          </w:tcPr>
          <w:p w14:paraId="636AAC7F" w14:textId="17C009E8"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(0.45)</w:t>
            </w:r>
          </w:p>
        </w:tc>
        <w:tc>
          <w:tcPr>
            <w:tcW w:w="899" w:type="pct"/>
            <w:tcBorders>
              <w:top w:val="nil"/>
              <w:left w:val="nil"/>
              <w:bottom w:val="nil"/>
              <w:right w:val="nil"/>
            </w:tcBorders>
            <w:shd w:val="clear" w:color="auto" w:fill="auto"/>
            <w:noWrap/>
            <w:vAlign w:val="center"/>
            <w:hideMark/>
          </w:tcPr>
          <w:p w14:paraId="0E686A44"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56C17C48" w14:textId="55CD12C6"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w:t>
            </w:r>
            <w:r w:rsidR="00605F18" w:rsidRPr="000C4B69">
              <w:rPr>
                <w:rFonts w:ascii="Times New Roman" w:hAnsi="Times New Roman" w:cs="Times New Roman"/>
                <w:color w:val="000000"/>
              </w:rPr>
              <w:t>7</w:t>
            </w:r>
            <w:r w:rsidR="00605F18">
              <w:rPr>
                <w:rFonts w:ascii="Times New Roman" w:hAnsi="Times New Roman" w:cs="Times New Roman"/>
                <w:color w:val="000000"/>
              </w:rPr>
              <w:t>2</w:t>
            </w:r>
            <w:r w:rsidRPr="000C4B69">
              <w:rPr>
                <w:rFonts w:ascii="Times New Roman" w:hAnsi="Times New Roman" w:cs="Times New Roman"/>
                <w:color w:val="000000"/>
              </w:rPr>
              <w:t>)</w:t>
            </w:r>
          </w:p>
        </w:tc>
      </w:tr>
      <w:tr w:rsidR="003F7B0F" w:rsidRPr="00B7688C" w14:paraId="1DB255B3" w14:textId="77777777" w:rsidTr="009C601C">
        <w:trPr>
          <w:trHeight w:val="300"/>
        </w:trPr>
        <w:tc>
          <w:tcPr>
            <w:tcW w:w="1469" w:type="pct"/>
            <w:tcBorders>
              <w:top w:val="nil"/>
              <w:left w:val="nil"/>
              <w:bottom w:val="nil"/>
              <w:right w:val="nil"/>
            </w:tcBorders>
            <w:shd w:val="clear" w:color="auto" w:fill="auto"/>
            <w:noWrap/>
            <w:vAlign w:val="center"/>
            <w:hideMark/>
          </w:tcPr>
          <w:p w14:paraId="7193C2BC" w14:textId="77777777" w:rsidR="003F7B0F" w:rsidRPr="005128B0" w:rsidRDefault="003F7B0F" w:rsidP="009C601C">
            <w:pPr>
              <w:spacing w:after="0" w:line="240" w:lineRule="auto"/>
              <w:rPr>
                <w:rFonts w:ascii="Times New Roman" w:eastAsia="Times New Roman" w:hAnsi="Times New Roman" w:cs="Times New Roman"/>
                <w:i/>
                <w:iCs/>
                <w:color w:val="000000"/>
              </w:rPr>
            </w:pPr>
            <w:r w:rsidRPr="005128B0">
              <w:rPr>
                <w:rFonts w:ascii="Times New Roman" w:eastAsia="Times New Roman" w:hAnsi="Times New Roman" w:cs="Times New Roman"/>
                <w:i/>
                <w:iCs/>
                <w:color w:val="000000"/>
              </w:rPr>
              <w:t>ROA</w:t>
            </w:r>
          </w:p>
        </w:tc>
        <w:tc>
          <w:tcPr>
            <w:tcW w:w="899" w:type="pct"/>
            <w:tcBorders>
              <w:top w:val="nil"/>
              <w:left w:val="nil"/>
              <w:bottom w:val="nil"/>
              <w:right w:val="nil"/>
            </w:tcBorders>
            <w:shd w:val="clear" w:color="auto" w:fill="auto"/>
            <w:noWrap/>
            <w:vAlign w:val="center"/>
            <w:hideMark/>
          </w:tcPr>
          <w:p w14:paraId="4CA29650" w14:textId="77777777" w:rsidR="003F7B0F" w:rsidRPr="00B7688C" w:rsidRDefault="003F7B0F" w:rsidP="009C601C">
            <w:pPr>
              <w:spacing w:after="0" w:line="240" w:lineRule="auto"/>
              <w:jc w:val="center"/>
              <w:rPr>
                <w:rFonts w:ascii="Times New Roman" w:eastAsia="Times New Roman" w:hAnsi="Times New Roman" w:cs="Times New Roman"/>
                <w:i/>
                <w:iCs/>
                <w:color w:val="000000"/>
              </w:rPr>
            </w:pPr>
          </w:p>
        </w:tc>
        <w:tc>
          <w:tcPr>
            <w:tcW w:w="834" w:type="pct"/>
            <w:tcBorders>
              <w:top w:val="nil"/>
              <w:left w:val="nil"/>
              <w:bottom w:val="nil"/>
              <w:right w:val="nil"/>
            </w:tcBorders>
            <w:shd w:val="clear" w:color="auto" w:fill="auto"/>
            <w:noWrap/>
            <w:vAlign w:val="center"/>
            <w:hideMark/>
          </w:tcPr>
          <w:p w14:paraId="146D6A2F"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0.316</w:t>
            </w:r>
          </w:p>
        </w:tc>
        <w:tc>
          <w:tcPr>
            <w:tcW w:w="899" w:type="pct"/>
            <w:tcBorders>
              <w:top w:val="nil"/>
              <w:left w:val="nil"/>
              <w:bottom w:val="nil"/>
              <w:right w:val="nil"/>
            </w:tcBorders>
            <w:shd w:val="clear" w:color="auto" w:fill="auto"/>
            <w:noWrap/>
            <w:vAlign w:val="center"/>
            <w:hideMark/>
          </w:tcPr>
          <w:p w14:paraId="448F4EDC"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48D13A31"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0.532</w:t>
            </w:r>
          </w:p>
        </w:tc>
      </w:tr>
      <w:tr w:rsidR="003F7B0F" w:rsidRPr="00B7688C" w14:paraId="1BEDC890" w14:textId="77777777" w:rsidTr="009C601C">
        <w:trPr>
          <w:trHeight w:val="300"/>
        </w:trPr>
        <w:tc>
          <w:tcPr>
            <w:tcW w:w="1469" w:type="pct"/>
            <w:tcBorders>
              <w:top w:val="nil"/>
              <w:left w:val="nil"/>
              <w:bottom w:val="nil"/>
              <w:right w:val="nil"/>
            </w:tcBorders>
            <w:shd w:val="clear" w:color="auto" w:fill="auto"/>
            <w:noWrap/>
            <w:vAlign w:val="center"/>
            <w:hideMark/>
          </w:tcPr>
          <w:p w14:paraId="5D8E7D15" w14:textId="77777777" w:rsidR="003F7B0F" w:rsidRPr="005128B0"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3E616C4A" w14:textId="77777777" w:rsidR="003F7B0F" w:rsidRPr="00B7688C" w:rsidRDefault="003F7B0F" w:rsidP="009C601C">
            <w:pPr>
              <w:spacing w:after="0" w:line="240" w:lineRule="auto"/>
              <w:jc w:val="center"/>
              <w:rPr>
                <w:rFonts w:ascii="Times New Roman" w:eastAsia="Times New Roman" w:hAnsi="Times New Roman" w:cs="Times New Roman"/>
                <w:sz w:val="20"/>
                <w:szCs w:val="20"/>
              </w:rPr>
            </w:pPr>
          </w:p>
        </w:tc>
        <w:tc>
          <w:tcPr>
            <w:tcW w:w="834" w:type="pct"/>
            <w:tcBorders>
              <w:top w:val="nil"/>
              <w:left w:val="nil"/>
              <w:bottom w:val="nil"/>
              <w:right w:val="nil"/>
            </w:tcBorders>
            <w:shd w:val="clear" w:color="auto" w:fill="auto"/>
            <w:noWrap/>
            <w:vAlign w:val="center"/>
            <w:hideMark/>
          </w:tcPr>
          <w:p w14:paraId="3A842EAC" w14:textId="3D0270CB"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(1.37)</w:t>
            </w:r>
          </w:p>
        </w:tc>
        <w:tc>
          <w:tcPr>
            <w:tcW w:w="899" w:type="pct"/>
            <w:tcBorders>
              <w:top w:val="nil"/>
              <w:left w:val="nil"/>
              <w:bottom w:val="nil"/>
              <w:right w:val="nil"/>
            </w:tcBorders>
            <w:shd w:val="clear" w:color="auto" w:fill="auto"/>
            <w:noWrap/>
            <w:vAlign w:val="center"/>
            <w:hideMark/>
          </w:tcPr>
          <w:p w14:paraId="7BFF4383" w14:textId="77777777" w:rsidR="003F7B0F" w:rsidRPr="000C4B69" w:rsidRDefault="003F7B0F" w:rsidP="009C601C">
            <w:pPr>
              <w:spacing w:after="0" w:line="240" w:lineRule="auto"/>
              <w:jc w:val="center"/>
              <w:rPr>
                <w:rFonts w:ascii="Times New Roman" w:eastAsia="Times New Roman" w:hAnsi="Times New Roman" w:cs="Times New Roman"/>
                <w:color w:val="000000"/>
              </w:rPr>
            </w:pPr>
          </w:p>
        </w:tc>
        <w:tc>
          <w:tcPr>
            <w:tcW w:w="899" w:type="pct"/>
            <w:tcBorders>
              <w:top w:val="nil"/>
              <w:left w:val="nil"/>
              <w:bottom w:val="nil"/>
              <w:right w:val="nil"/>
            </w:tcBorders>
            <w:shd w:val="clear" w:color="auto" w:fill="auto"/>
            <w:noWrap/>
            <w:vAlign w:val="center"/>
            <w:hideMark/>
          </w:tcPr>
          <w:p w14:paraId="0ACE004A" w14:textId="3B08EC0C"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w:t>
            </w:r>
            <w:r w:rsidR="00605F18" w:rsidRPr="000C4B69">
              <w:rPr>
                <w:rFonts w:ascii="Times New Roman" w:hAnsi="Times New Roman" w:cs="Times New Roman"/>
                <w:color w:val="000000"/>
              </w:rPr>
              <w:t>8</w:t>
            </w:r>
            <w:r w:rsidR="00605F18">
              <w:rPr>
                <w:rFonts w:ascii="Times New Roman" w:hAnsi="Times New Roman" w:cs="Times New Roman"/>
                <w:color w:val="000000"/>
              </w:rPr>
              <w:t>3</w:t>
            </w:r>
            <w:r w:rsidRPr="000C4B69">
              <w:rPr>
                <w:rFonts w:ascii="Times New Roman" w:hAnsi="Times New Roman" w:cs="Times New Roman"/>
                <w:color w:val="000000"/>
              </w:rPr>
              <w:t>)</w:t>
            </w:r>
          </w:p>
        </w:tc>
      </w:tr>
      <w:tr w:rsidR="003F7B0F" w:rsidRPr="00B7688C" w14:paraId="02536766" w14:textId="77777777" w:rsidTr="009C601C">
        <w:trPr>
          <w:trHeight w:val="300"/>
        </w:trPr>
        <w:tc>
          <w:tcPr>
            <w:tcW w:w="1469" w:type="pct"/>
            <w:tcBorders>
              <w:top w:val="nil"/>
              <w:left w:val="nil"/>
              <w:bottom w:val="nil"/>
              <w:right w:val="nil"/>
            </w:tcBorders>
            <w:shd w:val="clear" w:color="auto" w:fill="auto"/>
            <w:noWrap/>
            <w:vAlign w:val="center"/>
            <w:hideMark/>
          </w:tcPr>
          <w:p w14:paraId="0C340033" w14:textId="77777777" w:rsidR="003F7B0F" w:rsidRPr="00B7688C" w:rsidRDefault="003F7B0F" w:rsidP="009C601C">
            <w:pPr>
              <w:spacing w:after="0" w:line="240" w:lineRule="auto"/>
              <w:rPr>
                <w:rFonts w:ascii="Times New Roman" w:eastAsia="Times New Roman" w:hAnsi="Times New Roman" w:cs="Times New Roman"/>
                <w:color w:val="000000"/>
              </w:rPr>
            </w:pPr>
            <w:r w:rsidRPr="00B7688C">
              <w:rPr>
                <w:rFonts w:ascii="Times New Roman" w:eastAsia="Times New Roman" w:hAnsi="Times New Roman" w:cs="Times New Roman"/>
                <w:color w:val="000000"/>
              </w:rPr>
              <w:t>Observations</w:t>
            </w:r>
          </w:p>
        </w:tc>
        <w:tc>
          <w:tcPr>
            <w:tcW w:w="899" w:type="pct"/>
            <w:tcBorders>
              <w:top w:val="nil"/>
              <w:left w:val="nil"/>
              <w:bottom w:val="nil"/>
              <w:right w:val="nil"/>
            </w:tcBorders>
            <w:shd w:val="clear" w:color="auto" w:fill="auto"/>
            <w:noWrap/>
            <w:vAlign w:val="center"/>
            <w:hideMark/>
          </w:tcPr>
          <w:p w14:paraId="41F86DBC" w14:textId="77777777" w:rsidR="003F7B0F" w:rsidRPr="00B7688C" w:rsidRDefault="003F7B0F" w:rsidP="009C601C">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137</w:t>
            </w:r>
          </w:p>
        </w:tc>
        <w:tc>
          <w:tcPr>
            <w:tcW w:w="834" w:type="pct"/>
            <w:tcBorders>
              <w:top w:val="nil"/>
              <w:left w:val="nil"/>
              <w:bottom w:val="nil"/>
              <w:right w:val="nil"/>
            </w:tcBorders>
            <w:shd w:val="clear" w:color="auto" w:fill="auto"/>
            <w:noWrap/>
            <w:vAlign w:val="center"/>
            <w:hideMark/>
          </w:tcPr>
          <w:p w14:paraId="72968A87"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137</w:t>
            </w:r>
          </w:p>
        </w:tc>
        <w:tc>
          <w:tcPr>
            <w:tcW w:w="899" w:type="pct"/>
            <w:tcBorders>
              <w:top w:val="nil"/>
              <w:left w:val="nil"/>
              <w:bottom w:val="nil"/>
              <w:right w:val="nil"/>
            </w:tcBorders>
            <w:shd w:val="clear" w:color="auto" w:fill="auto"/>
            <w:noWrap/>
            <w:vAlign w:val="center"/>
            <w:hideMark/>
          </w:tcPr>
          <w:p w14:paraId="144D56F4"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81</w:t>
            </w:r>
          </w:p>
        </w:tc>
        <w:tc>
          <w:tcPr>
            <w:tcW w:w="899" w:type="pct"/>
            <w:tcBorders>
              <w:top w:val="nil"/>
              <w:left w:val="nil"/>
              <w:bottom w:val="nil"/>
              <w:right w:val="nil"/>
            </w:tcBorders>
            <w:shd w:val="clear" w:color="auto" w:fill="auto"/>
            <w:noWrap/>
            <w:vAlign w:val="center"/>
            <w:hideMark/>
          </w:tcPr>
          <w:p w14:paraId="760D967E" w14:textId="77777777" w:rsidR="003F7B0F" w:rsidRPr="000C4B69" w:rsidRDefault="003F7B0F" w:rsidP="009C601C">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81</w:t>
            </w:r>
          </w:p>
        </w:tc>
      </w:tr>
      <w:tr w:rsidR="003F7B0F" w:rsidRPr="00B7688C" w14:paraId="572E6AE2" w14:textId="77777777" w:rsidTr="00610C70">
        <w:trPr>
          <w:trHeight w:val="360"/>
        </w:trPr>
        <w:tc>
          <w:tcPr>
            <w:tcW w:w="1469" w:type="pct"/>
            <w:tcBorders>
              <w:top w:val="nil"/>
              <w:left w:val="nil"/>
              <w:bottom w:val="single" w:sz="12" w:space="0" w:color="auto"/>
              <w:right w:val="nil"/>
            </w:tcBorders>
            <w:shd w:val="clear" w:color="auto" w:fill="auto"/>
            <w:noWrap/>
            <w:vAlign w:val="center"/>
            <w:hideMark/>
          </w:tcPr>
          <w:p w14:paraId="54B25ED6" w14:textId="77777777" w:rsidR="003F7B0F" w:rsidRPr="00B7688C" w:rsidRDefault="003F7B0F" w:rsidP="009C601C">
            <w:pPr>
              <w:spacing w:after="0" w:line="240" w:lineRule="auto"/>
              <w:rPr>
                <w:rFonts w:ascii="Times New Roman" w:eastAsia="Times New Roman" w:hAnsi="Times New Roman" w:cs="Times New Roman"/>
                <w:color w:val="000000"/>
              </w:rPr>
            </w:pPr>
            <w:r w:rsidRPr="00B7688C">
              <w:rPr>
                <w:rFonts w:ascii="Times New Roman" w:eastAsia="Times New Roman" w:hAnsi="Times New Roman" w:cs="Times New Roman"/>
                <w:color w:val="000000"/>
              </w:rPr>
              <w:t>Adjusted R</w:t>
            </w:r>
            <w:r w:rsidRPr="00B7688C">
              <w:rPr>
                <w:rFonts w:ascii="Times New Roman" w:eastAsia="Times New Roman" w:hAnsi="Times New Roman" w:cs="Times New Roman"/>
                <w:color w:val="000000"/>
                <w:vertAlign w:val="superscript"/>
              </w:rPr>
              <w:t>2</w:t>
            </w:r>
          </w:p>
        </w:tc>
        <w:tc>
          <w:tcPr>
            <w:tcW w:w="899" w:type="pct"/>
            <w:tcBorders>
              <w:top w:val="nil"/>
              <w:left w:val="nil"/>
              <w:bottom w:val="single" w:sz="12" w:space="0" w:color="auto"/>
              <w:right w:val="nil"/>
            </w:tcBorders>
            <w:shd w:val="clear" w:color="auto" w:fill="auto"/>
            <w:noWrap/>
            <w:vAlign w:val="center"/>
            <w:hideMark/>
          </w:tcPr>
          <w:p w14:paraId="59ED2D15" w14:textId="2143E0C0" w:rsidR="003F7B0F" w:rsidRPr="00B7688C" w:rsidRDefault="003F7B0F">
            <w:pPr>
              <w:spacing w:after="0" w:line="240" w:lineRule="auto"/>
              <w:jc w:val="center"/>
              <w:rPr>
                <w:rFonts w:ascii="Times New Roman" w:eastAsia="Times New Roman" w:hAnsi="Times New Roman" w:cs="Times New Roman"/>
                <w:color w:val="000000"/>
              </w:rPr>
            </w:pPr>
            <w:r w:rsidRPr="00B7688C">
              <w:rPr>
                <w:rFonts w:ascii="Times New Roman" w:eastAsia="Times New Roman" w:hAnsi="Times New Roman" w:cs="Times New Roman"/>
                <w:color w:val="000000"/>
              </w:rPr>
              <w:t>0.</w:t>
            </w:r>
            <w:r w:rsidR="00605F18" w:rsidRPr="00B7688C">
              <w:rPr>
                <w:rFonts w:ascii="Times New Roman" w:eastAsia="Times New Roman" w:hAnsi="Times New Roman" w:cs="Times New Roman"/>
                <w:color w:val="000000"/>
              </w:rPr>
              <w:t>0</w:t>
            </w:r>
            <w:r w:rsidR="00605F18">
              <w:rPr>
                <w:rFonts w:ascii="Times New Roman" w:eastAsia="Times New Roman" w:hAnsi="Times New Roman" w:cs="Times New Roman"/>
                <w:color w:val="000000"/>
              </w:rPr>
              <w:t>4</w:t>
            </w:r>
          </w:p>
        </w:tc>
        <w:tc>
          <w:tcPr>
            <w:tcW w:w="834" w:type="pct"/>
            <w:tcBorders>
              <w:top w:val="nil"/>
              <w:left w:val="nil"/>
              <w:bottom w:val="single" w:sz="12" w:space="0" w:color="auto"/>
              <w:right w:val="nil"/>
            </w:tcBorders>
            <w:shd w:val="clear" w:color="auto" w:fill="auto"/>
            <w:noWrap/>
            <w:vAlign w:val="center"/>
            <w:hideMark/>
          </w:tcPr>
          <w:p w14:paraId="7AE75A56" w14:textId="29605D4B"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0.04</w:t>
            </w:r>
          </w:p>
        </w:tc>
        <w:tc>
          <w:tcPr>
            <w:tcW w:w="899" w:type="pct"/>
            <w:tcBorders>
              <w:top w:val="nil"/>
              <w:left w:val="nil"/>
              <w:bottom w:val="single" w:sz="12" w:space="0" w:color="auto"/>
              <w:right w:val="nil"/>
            </w:tcBorders>
            <w:shd w:val="clear" w:color="auto" w:fill="auto"/>
            <w:noWrap/>
            <w:vAlign w:val="center"/>
            <w:hideMark/>
          </w:tcPr>
          <w:p w14:paraId="1881A209" w14:textId="5EBF4D97"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w:t>
            </w:r>
            <w:r w:rsidR="00605F18" w:rsidRPr="000C4B69">
              <w:rPr>
                <w:rFonts w:ascii="Times New Roman" w:hAnsi="Times New Roman" w:cs="Times New Roman"/>
                <w:color w:val="000000"/>
              </w:rPr>
              <w:t>0</w:t>
            </w:r>
            <w:r w:rsidR="00605F18">
              <w:rPr>
                <w:rFonts w:ascii="Times New Roman" w:hAnsi="Times New Roman" w:cs="Times New Roman"/>
                <w:color w:val="000000"/>
              </w:rPr>
              <w:t>5</w:t>
            </w:r>
          </w:p>
        </w:tc>
        <w:tc>
          <w:tcPr>
            <w:tcW w:w="899" w:type="pct"/>
            <w:tcBorders>
              <w:top w:val="nil"/>
              <w:left w:val="nil"/>
              <w:bottom w:val="single" w:sz="12" w:space="0" w:color="auto"/>
              <w:right w:val="nil"/>
            </w:tcBorders>
            <w:shd w:val="clear" w:color="auto" w:fill="auto"/>
            <w:noWrap/>
            <w:vAlign w:val="center"/>
            <w:hideMark/>
          </w:tcPr>
          <w:p w14:paraId="4031F26F" w14:textId="2C592624" w:rsidR="003F7B0F" w:rsidRPr="000C4B69" w:rsidRDefault="003F7B0F">
            <w:pPr>
              <w:spacing w:after="0" w:line="240" w:lineRule="auto"/>
              <w:jc w:val="center"/>
              <w:rPr>
                <w:rFonts w:ascii="Times New Roman" w:eastAsia="Times New Roman" w:hAnsi="Times New Roman" w:cs="Times New Roman"/>
                <w:color w:val="000000"/>
              </w:rPr>
            </w:pPr>
            <w:r w:rsidRPr="000C4B69">
              <w:rPr>
                <w:rFonts w:ascii="Times New Roman" w:hAnsi="Times New Roman" w:cs="Times New Roman"/>
                <w:color w:val="000000"/>
              </w:rPr>
              <w:t>0.</w:t>
            </w:r>
            <w:r w:rsidR="00605F18" w:rsidRPr="000C4B69">
              <w:rPr>
                <w:rFonts w:ascii="Times New Roman" w:hAnsi="Times New Roman" w:cs="Times New Roman"/>
                <w:color w:val="000000"/>
              </w:rPr>
              <w:t>0</w:t>
            </w:r>
            <w:r w:rsidR="00605F18">
              <w:rPr>
                <w:rFonts w:ascii="Times New Roman" w:hAnsi="Times New Roman" w:cs="Times New Roman"/>
                <w:color w:val="000000"/>
              </w:rPr>
              <w:t>4</w:t>
            </w:r>
          </w:p>
        </w:tc>
      </w:tr>
    </w:tbl>
    <w:p w14:paraId="2AC742C9" w14:textId="636E1C52" w:rsidR="003F7B0F" w:rsidRPr="00B16089" w:rsidRDefault="003F7B0F" w:rsidP="003F7B0F">
      <w:pPr>
        <w:jc w:val="both"/>
        <w:rPr>
          <w:rFonts w:ascii="Times New Roman" w:hAnsi="Times New Roman" w:cs="Times New Roman"/>
          <w:sz w:val="20"/>
          <w:szCs w:val="20"/>
        </w:rPr>
      </w:pPr>
      <w:r w:rsidRPr="00B16089">
        <w:rPr>
          <w:rFonts w:ascii="Times New Roman" w:hAnsi="Times New Roman" w:cs="Times New Roman"/>
          <w:sz w:val="20"/>
          <w:szCs w:val="20"/>
        </w:rPr>
        <w:t xml:space="preserve">This table reports the results of the association between </w:t>
      </w:r>
      <w:r w:rsidRPr="00B16089">
        <w:rPr>
          <w:rFonts w:ascii="Times New Roman" w:hAnsi="Times New Roman" w:cs="Times New Roman"/>
          <w:i/>
          <w:sz w:val="20"/>
          <w:szCs w:val="20"/>
        </w:rPr>
        <w:t>RISK</w:t>
      </w:r>
      <w:r w:rsidRPr="00B16089">
        <w:rPr>
          <w:rFonts w:ascii="Times New Roman" w:hAnsi="Times New Roman" w:cs="Times New Roman"/>
          <w:sz w:val="20"/>
          <w:szCs w:val="20"/>
        </w:rPr>
        <w:t xml:space="preserve"> and SPAC-IPO return</w:t>
      </w:r>
      <w:r w:rsidR="00605F18">
        <w:rPr>
          <w:rFonts w:ascii="Times New Roman" w:hAnsi="Times New Roman" w:cs="Times New Roman"/>
          <w:sz w:val="20"/>
          <w:szCs w:val="20"/>
        </w:rPr>
        <w:t>s</w:t>
      </w:r>
      <w:r w:rsidRPr="00B16089">
        <w:rPr>
          <w:rFonts w:ascii="Times New Roman" w:hAnsi="Times New Roman" w:cs="Times New Roman"/>
          <w:sz w:val="20"/>
          <w:szCs w:val="20"/>
        </w:rPr>
        <w:t xml:space="preserve">. </w:t>
      </w:r>
      <w:r w:rsidRPr="00B16089">
        <w:rPr>
          <w:rFonts w:ascii="Times New Roman" w:hAnsi="Times New Roman" w:cs="Times New Roman"/>
          <w:i/>
          <w:sz w:val="20"/>
          <w:szCs w:val="20"/>
        </w:rPr>
        <w:t>RISK</w:t>
      </w:r>
      <w:r w:rsidRPr="00B16089">
        <w:rPr>
          <w:rFonts w:ascii="Times New Roman" w:hAnsi="Times New Roman" w:cs="Times New Roman"/>
          <w:sz w:val="20"/>
          <w:szCs w:val="20"/>
        </w:rPr>
        <w:t xml:space="preserve"> is the sum of the following six indicator variables: </w:t>
      </w:r>
      <w:r w:rsidRPr="00B16089">
        <w:rPr>
          <w:rFonts w:ascii="Times New Roman" w:hAnsi="Times New Roman" w:cs="Times New Roman"/>
          <w:i/>
          <w:sz w:val="20"/>
          <w:szCs w:val="20"/>
        </w:rPr>
        <w:t>MATERIALWEAKNESS</w:t>
      </w:r>
      <w:r w:rsidRPr="00B16089">
        <w:rPr>
          <w:rFonts w:ascii="Times New Roman" w:hAnsi="Times New Roman" w:cs="Times New Roman"/>
          <w:sz w:val="20"/>
          <w:szCs w:val="20"/>
        </w:rPr>
        <w:t xml:space="preserve">, </w:t>
      </w:r>
      <w:r w:rsidR="00CE05FD" w:rsidRPr="00B16089">
        <w:rPr>
          <w:rFonts w:ascii="Times New Roman" w:hAnsi="Times New Roman" w:cs="Times New Roman"/>
          <w:i/>
          <w:sz w:val="20"/>
          <w:szCs w:val="20"/>
        </w:rPr>
        <w:t>RESTATE_ANNOUNCE</w:t>
      </w:r>
      <w:r w:rsidRPr="00B16089">
        <w:rPr>
          <w:rFonts w:ascii="Times New Roman" w:hAnsi="Times New Roman" w:cs="Times New Roman"/>
          <w:sz w:val="20"/>
          <w:szCs w:val="20"/>
        </w:rPr>
        <w:t xml:space="preserve">, </w:t>
      </w:r>
      <w:r w:rsidRPr="00B16089">
        <w:rPr>
          <w:rFonts w:ascii="Times New Roman" w:hAnsi="Times New Roman" w:cs="Times New Roman"/>
          <w:i/>
          <w:sz w:val="20"/>
          <w:szCs w:val="20"/>
        </w:rPr>
        <w:t>NONTIMELY</w:t>
      </w:r>
      <w:r w:rsidRPr="00B16089">
        <w:rPr>
          <w:rFonts w:ascii="Times New Roman" w:hAnsi="Times New Roman" w:cs="Times New Roman"/>
          <w:sz w:val="20"/>
          <w:szCs w:val="20"/>
        </w:rPr>
        <w:t xml:space="preserve">, </w:t>
      </w:r>
      <w:r w:rsidRPr="00B16089">
        <w:rPr>
          <w:rFonts w:ascii="Times New Roman" w:hAnsi="Times New Roman" w:cs="Times New Roman"/>
          <w:i/>
          <w:sz w:val="20"/>
          <w:szCs w:val="20"/>
        </w:rPr>
        <w:t>HIGHACCRUALS, NONBIG4,</w:t>
      </w:r>
      <w:r w:rsidRPr="00B16089">
        <w:rPr>
          <w:rFonts w:ascii="Times New Roman" w:hAnsi="Times New Roman" w:cs="Times New Roman"/>
          <w:sz w:val="20"/>
          <w:szCs w:val="20"/>
        </w:rPr>
        <w:t xml:space="preserve"> </w:t>
      </w:r>
      <w:r w:rsidR="00243384">
        <w:rPr>
          <w:rFonts w:ascii="Times New Roman" w:hAnsi="Times New Roman" w:cs="Times New Roman"/>
          <w:sz w:val="20"/>
          <w:szCs w:val="20"/>
        </w:rPr>
        <w:t xml:space="preserve">and </w:t>
      </w:r>
      <w:r w:rsidRPr="00B16089">
        <w:rPr>
          <w:rFonts w:ascii="Times New Roman" w:hAnsi="Times New Roman" w:cs="Times New Roman"/>
          <w:i/>
          <w:sz w:val="20"/>
          <w:szCs w:val="20"/>
        </w:rPr>
        <w:t>NONNYSE</w:t>
      </w:r>
      <w:r w:rsidRPr="00B16089">
        <w:rPr>
          <w:rFonts w:ascii="Times New Roman" w:hAnsi="Times New Roman" w:cs="Times New Roman"/>
          <w:sz w:val="20"/>
          <w:szCs w:val="20"/>
        </w:rPr>
        <w:t xml:space="preserve">. </w:t>
      </w:r>
      <w:r w:rsidRPr="00BC6405">
        <w:rPr>
          <w:rFonts w:ascii="Times New Roman" w:eastAsia="Times New Roman" w:hAnsi="Times New Roman" w:cs="Times New Roman"/>
          <w:i/>
          <w:sz w:val="20"/>
          <w:szCs w:val="20"/>
        </w:rPr>
        <w:t>CAR</w:t>
      </w:r>
      <w:r w:rsidRPr="00BC6405">
        <w:rPr>
          <w:rFonts w:ascii="Times New Roman" w:eastAsia="Times New Roman" w:hAnsi="Times New Roman" w:cs="Times New Roman"/>
          <w:i/>
          <w:sz w:val="20"/>
          <w:szCs w:val="20"/>
          <w:vertAlign w:val="subscript"/>
        </w:rPr>
        <w:t>t</w:t>
      </w:r>
      <w:r w:rsidRPr="00B16089">
        <w:rPr>
          <w:rFonts w:ascii="Times New Roman" w:eastAsia="Times New Roman" w:hAnsi="Times New Roman" w:cs="Times New Roman"/>
          <w:sz w:val="20"/>
          <w:szCs w:val="20"/>
        </w:rPr>
        <w:t xml:space="preserve"> </w:t>
      </w:r>
      <w:r w:rsidRPr="00B16089">
        <w:rPr>
          <w:rFonts w:ascii="Times New Roman" w:hAnsi="Times New Roman" w:cs="Times New Roman"/>
          <w:sz w:val="20"/>
          <w:szCs w:val="20"/>
        </w:rPr>
        <w:t>is the compounded daily returns from the deal</w:t>
      </w:r>
      <w:r w:rsidR="00605F18">
        <w:rPr>
          <w:rFonts w:ascii="Times New Roman" w:hAnsi="Times New Roman" w:cs="Times New Roman"/>
          <w:sz w:val="20"/>
          <w:szCs w:val="20"/>
        </w:rPr>
        <w:t>-</w:t>
      </w:r>
      <w:r w:rsidRPr="00B16089">
        <w:rPr>
          <w:rFonts w:ascii="Times New Roman" w:hAnsi="Times New Roman" w:cs="Times New Roman"/>
          <w:sz w:val="20"/>
          <w:szCs w:val="20"/>
        </w:rPr>
        <w:t>closing date to 3 months after fiscal year end (de</w:t>
      </w:r>
      <w:r w:rsidR="00135C45">
        <w:rPr>
          <w:rFonts w:ascii="Times New Roman" w:hAnsi="Times New Roman" w:cs="Times New Roman"/>
          <w:sz w:val="20"/>
          <w:szCs w:val="20"/>
        </w:rPr>
        <w:t>-</w:t>
      </w:r>
      <w:r w:rsidRPr="00B16089">
        <w:rPr>
          <w:rFonts w:ascii="Times New Roman" w:hAnsi="Times New Roman" w:cs="Times New Roman"/>
          <w:sz w:val="20"/>
          <w:szCs w:val="20"/>
        </w:rPr>
        <w:t xml:space="preserve">SPAC year t) divided by the number of trading days and multiplied by 252 trading days. </w:t>
      </w:r>
      <w:r w:rsidRPr="00BC6405">
        <w:rPr>
          <w:rFonts w:ascii="Times New Roman" w:eastAsia="Times New Roman" w:hAnsi="Times New Roman" w:cs="Times New Roman"/>
          <w:i/>
          <w:sz w:val="20"/>
          <w:szCs w:val="20"/>
        </w:rPr>
        <w:t>CAR</w:t>
      </w:r>
      <w:r w:rsidRPr="00BC6405">
        <w:rPr>
          <w:rFonts w:ascii="Times New Roman" w:eastAsia="Times New Roman" w:hAnsi="Times New Roman" w:cs="Times New Roman"/>
          <w:i/>
          <w:sz w:val="20"/>
          <w:szCs w:val="20"/>
          <w:vertAlign w:val="subscript"/>
        </w:rPr>
        <w:t>t+1</w:t>
      </w:r>
      <w:r w:rsidRPr="00B16089">
        <w:rPr>
          <w:rFonts w:ascii="Times New Roman" w:eastAsia="Times New Roman" w:hAnsi="Times New Roman" w:cs="Times New Roman"/>
          <w:sz w:val="20"/>
          <w:szCs w:val="20"/>
          <w:vertAlign w:val="subscript"/>
        </w:rPr>
        <w:t xml:space="preserve"> </w:t>
      </w:r>
      <w:r w:rsidRPr="00B16089">
        <w:rPr>
          <w:rFonts w:ascii="Times New Roman" w:eastAsia="Times New Roman" w:hAnsi="Times New Roman" w:cs="Times New Roman"/>
          <w:sz w:val="20"/>
          <w:szCs w:val="20"/>
        </w:rPr>
        <w:t>is</w:t>
      </w:r>
      <w:r w:rsidRPr="00B16089">
        <w:rPr>
          <w:rFonts w:ascii="Times New Roman" w:eastAsia="Times New Roman" w:hAnsi="Times New Roman" w:cs="Times New Roman"/>
          <w:sz w:val="20"/>
          <w:szCs w:val="20"/>
          <w:vertAlign w:val="subscript"/>
        </w:rPr>
        <w:t xml:space="preserve"> </w:t>
      </w:r>
      <w:r w:rsidRPr="00B16089">
        <w:rPr>
          <w:rFonts w:ascii="Times New Roman" w:hAnsi="Times New Roman" w:cs="Times New Roman"/>
          <w:sz w:val="20"/>
          <w:szCs w:val="20"/>
        </w:rPr>
        <w:t xml:space="preserve">the compounded daily returns from the fourth month of the fiscal year t+1 to 3-month after fiscal year end of t+1. </w:t>
      </w:r>
      <m:oMath>
        <m:r>
          <w:rPr>
            <w:rFonts w:ascii="Cambria Math" w:eastAsia="Times New Roman" w:hAnsi="Cambria Math" w:cs="Times New Roman"/>
            <w:sz w:val="20"/>
            <w:szCs w:val="20"/>
          </w:rPr>
          <m:t xml:space="preserve"> </m:t>
        </m:r>
      </m:oMath>
      <w:r w:rsidRPr="00B16089">
        <w:rPr>
          <w:rFonts w:ascii="Times New Roman" w:hAnsi="Times New Roman" w:cs="Times New Roman"/>
          <w:sz w:val="20"/>
          <w:szCs w:val="20"/>
        </w:rPr>
        <w:t xml:space="preserve">Panel A sorts </w:t>
      </w:r>
      <w:r w:rsidRPr="00B16089">
        <w:rPr>
          <w:rFonts w:ascii="Times New Roman" w:hAnsi="Times New Roman" w:cs="Times New Roman"/>
          <w:i/>
          <w:sz w:val="20"/>
          <w:szCs w:val="20"/>
        </w:rPr>
        <w:t>RISK</w:t>
      </w:r>
      <w:r w:rsidRPr="00B16089">
        <w:rPr>
          <w:rFonts w:ascii="Times New Roman" w:hAnsi="Times New Roman" w:cs="Times New Roman"/>
          <w:sz w:val="20"/>
          <w:szCs w:val="20"/>
        </w:rPr>
        <w:t xml:space="preserve"> into three portfolios and then reports the mean and median </w:t>
      </w:r>
      <w:r w:rsidRPr="00BC6405">
        <w:rPr>
          <w:rFonts w:ascii="Times New Roman" w:hAnsi="Times New Roman" w:cs="Times New Roman"/>
          <w:i/>
          <w:sz w:val="20"/>
          <w:szCs w:val="20"/>
        </w:rPr>
        <w:t>CAR</w:t>
      </w:r>
      <w:r w:rsidRPr="00B16089">
        <w:rPr>
          <w:rFonts w:ascii="Times New Roman" w:hAnsi="Times New Roman" w:cs="Times New Roman"/>
          <w:sz w:val="20"/>
          <w:szCs w:val="20"/>
        </w:rPr>
        <w:t xml:space="preserve"> for each </w:t>
      </w:r>
      <w:r w:rsidRPr="00B16089">
        <w:rPr>
          <w:rFonts w:ascii="Times New Roman" w:hAnsi="Times New Roman" w:cs="Times New Roman"/>
          <w:i/>
          <w:sz w:val="20"/>
          <w:szCs w:val="20"/>
        </w:rPr>
        <w:t xml:space="preserve">RISK </w:t>
      </w:r>
      <w:r w:rsidRPr="00B16089">
        <w:rPr>
          <w:rFonts w:ascii="Times New Roman" w:hAnsi="Times New Roman" w:cs="Times New Roman"/>
          <w:sz w:val="20"/>
          <w:szCs w:val="20"/>
        </w:rPr>
        <w:t xml:space="preserve">portfolio. Panel B reports the results of regressing </w:t>
      </w:r>
      <w:r w:rsidRPr="00B16089">
        <w:rPr>
          <w:rFonts w:ascii="Times New Roman" w:hAnsi="Times New Roman" w:cs="Times New Roman"/>
          <w:i/>
          <w:sz w:val="20"/>
          <w:szCs w:val="20"/>
        </w:rPr>
        <w:t>CAR</w:t>
      </w:r>
      <w:r w:rsidRPr="00B16089">
        <w:rPr>
          <w:rFonts w:ascii="Times New Roman" w:hAnsi="Times New Roman" w:cs="Times New Roman"/>
          <w:sz w:val="20"/>
          <w:szCs w:val="20"/>
        </w:rPr>
        <w:t xml:space="preserve"> on </w:t>
      </w:r>
      <w:r w:rsidRPr="00B16089">
        <w:rPr>
          <w:rFonts w:ascii="Times New Roman" w:hAnsi="Times New Roman" w:cs="Times New Roman"/>
          <w:i/>
          <w:sz w:val="20"/>
          <w:szCs w:val="20"/>
        </w:rPr>
        <w:t>RISK</w:t>
      </w:r>
      <w:r w:rsidRPr="00B16089">
        <w:rPr>
          <w:rFonts w:ascii="Times New Roman" w:hAnsi="Times New Roman" w:cs="Times New Roman"/>
          <w:sz w:val="20"/>
          <w:szCs w:val="20"/>
        </w:rPr>
        <w:t xml:space="preserve">. *, **, and *** represent statistical significance at the 10%, 5%, and 1% levels, respectively, for a two-tailed test. </w:t>
      </w:r>
    </w:p>
    <w:p w14:paraId="3959D4F7" w14:textId="77777777" w:rsidR="003F7B0F" w:rsidRPr="00A7398D" w:rsidRDefault="003F7B0F" w:rsidP="003F7B0F">
      <w:pPr>
        <w:rPr>
          <w:rFonts w:ascii="Times New Roman" w:hAnsi="Times New Roman" w:cs="Times New Roman"/>
        </w:rPr>
      </w:pPr>
    </w:p>
    <w:p w14:paraId="464BC732" w14:textId="77777777" w:rsidR="003F7B0F" w:rsidRPr="00A7398D" w:rsidRDefault="003F7B0F" w:rsidP="003F7B0F">
      <w:pPr>
        <w:rPr>
          <w:rFonts w:ascii="Times New Roman" w:hAnsi="Times New Roman" w:cs="Times New Roman"/>
        </w:rPr>
      </w:pPr>
    </w:p>
    <w:p w14:paraId="64259D3B" w14:textId="77777777" w:rsidR="003F7B0F" w:rsidRPr="00A7398D" w:rsidRDefault="003F7B0F" w:rsidP="003F7B0F">
      <w:pPr>
        <w:rPr>
          <w:rFonts w:ascii="Times New Roman" w:hAnsi="Times New Roman" w:cs="Times New Roman"/>
        </w:rPr>
      </w:pPr>
    </w:p>
    <w:p w14:paraId="120DD8FF" w14:textId="77777777" w:rsidR="003F7B0F" w:rsidRPr="00A7398D" w:rsidRDefault="003F7B0F" w:rsidP="003F7B0F">
      <w:pPr>
        <w:rPr>
          <w:rFonts w:ascii="Times New Roman" w:hAnsi="Times New Roman" w:cs="Times New Roman"/>
        </w:rPr>
      </w:pPr>
    </w:p>
    <w:p w14:paraId="6978CDF6" w14:textId="77777777" w:rsidR="00BE1C09" w:rsidRPr="00623B81" w:rsidRDefault="00BE1C09" w:rsidP="00A85756">
      <w:pPr>
        <w:ind w:right="180"/>
        <w:jc w:val="both"/>
        <w:rPr>
          <w:rFonts w:ascii="Times New Roman" w:eastAsia="Times New Roman" w:hAnsi="Times New Roman" w:cs="Times New Roman"/>
          <w:color w:val="000000"/>
          <w:sz w:val="20"/>
          <w:szCs w:val="20"/>
        </w:rPr>
      </w:pPr>
    </w:p>
    <w:sectPr w:rsidR="00BE1C09" w:rsidRPr="00623B81" w:rsidSect="00012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29E4" w14:textId="77777777" w:rsidR="0048295D" w:rsidRDefault="0048295D" w:rsidP="001B0F15">
      <w:pPr>
        <w:spacing w:after="0" w:line="240" w:lineRule="auto"/>
      </w:pPr>
      <w:r>
        <w:separator/>
      </w:r>
    </w:p>
  </w:endnote>
  <w:endnote w:type="continuationSeparator" w:id="0">
    <w:p w14:paraId="3C6D2430" w14:textId="77777777" w:rsidR="0048295D" w:rsidRDefault="0048295D" w:rsidP="001B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2F72" w14:textId="77777777" w:rsidR="00EC5AF3" w:rsidRDefault="00EC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928591"/>
      <w:docPartObj>
        <w:docPartGallery w:val="Page Numbers (Bottom of Page)"/>
        <w:docPartUnique/>
      </w:docPartObj>
    </w:sdtPr>
    <w:sdtEndPr>
      <w:rPr>
        <w:noProof/>
      </w:rPr>
    </w:sdtEndPr>
    <w:sdtContent>
      <w:p w14:paraId="16121568" w14:textId="43424991" w:rsidR="00EC5AF3" w:rsidRDefault="00EC5AF3">
        <w:pPr>
          <w:pStyle w:val="Footer"/>
          <w:jc w:val="center"/>
        </w:pPr>
        <w:r w:rsidRPr="00C25CD2">
          <w:rPr>
            <w:rFonts w:ascii="Times New Roman" w:hAnsi="Times New Roman"/>
          </w:rPr>
          <w:fldChar w:fldCharType="begin"/>
        </w:r>
        <w:r w:rsidRPr="00C25CD2">
          <w:rPr>
            <w:rFonts w:ascii="Times New Roman" w:hAnsi="Times New Roman"/>
          </w:rPr>
          <w:instrText xml:space="preserve"> PAGE   \* MERGEFORMAT </w:instrText>
        </w:r>
        <w:r w:rsidRPr="00C25CD2">
          <w:rPr>
            <w:rFonts w:ascii="Times New Roman" w:hAnsi="Times New Roman"/>
          </w:rPr>
          <w:fldChar w:fldCharType="separate"/>
        </w:r>
        <w:r w:rsidR="00A82496">
          <w:rPr>
            <w:rFonts w:ascii="Times New Roman" w:hAnsi="Times New Roman"/>
            <w:noProof/>
          </w:rPr>
          <w:t>6</w:t>
        </w:r>
        <w:r w:rsidRPr="00C25CD2">
          <w:rPr>
            <w:rFonts w:ascii="Times New Roman" w:hAnsi="Times New Roman"/>
            <w:noProof/>
          </w:rPr>
          <w:fldChar w:fldCharType="end"/>
        </w:r>
      </w:p>
    </w:sdtContent>
  </w:sdt>
  <w:p w14:paraId="4ECC0395" w14:textId="77777777" w:rsidR="00EC5AF3" w:rsidRDefault="00EC5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AB47" w14:textId="77777777" w:rsidR="00EC5AF3" w:rsidRDefault="00EC5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91496"/>
      <w:docPartObj>
        <w:docPartGallery w:val="Page Numbers (Bottom of Page)"/>
        <w:docPartUnique/>
      </w:docPartObj>
    </w:sdtPr>
    <w:sdtEndPr>
      <w:rPr>
        <w:noProof/>
      </w:rPr>
    </w:sdtEndPr>
    <w:sdtContent>
      <w:p w14:paraId="7E6B0209" w14:textId="41DC695E" w:rsidR="00EC5AF3" w:rsidRDefault="00EC5AF3">
        <w:pPr>
          <w:pStyle w:val="Footer"/>
          <w:jc w:val="center"/>
        </w:pPr>
        <w:r w:rsidRPr="00C25CD2">
          <w:rPr>
            <w:rFonts w:ascii="Times New Roman" w:hAnsi="Times New Roman"/>
          </w:rPr>
          <w:fldChar w:fldCharType="begin"/>
        </w:r>
        <w:r w:rsidRPr="00C25CD2">
          <w:rPr>
            <w:rFonts w:ascii="Times New Roman" w:hAnsi="Times New Roman"/>
          </w:rPr>
          <w:instrText xml:space="preserve"> PAGE   \* MERGEFORMAT </w:instrText>
        </w:r>
        <w:r w:rsidRPr="00C25CD2">
          <w:rPr>
            <w:rFonts w:ascii="Times New Roman" w:hAnsi="Times New Roman"/>
          </w:rPr>
          <w:fldChar w:fldCharType="separate"/>
        </w:r>
        <w:r w:rsidR="00A82496">
          <w:rPr>
            <w:rFonts w:ascii="Times New Roman" w:hAnsi="Times New Roman"/>
            <w:noProof/>
          </w:rPr>
          <w:t>55</w:t>
        </w:r>
        <w:r w:rsidRPr="00C25CD2">
          <w:rPr>
            <w:rFonts w:ascii="Times New Roman" w:hAnsi="Times New Roman"/>
            <w:noProof/>
          </w:rPr>
          <w:fldChar w:fldCharType="end"/>
        </w:r>
      </w:p>
    </w:sdtContent>
  </w:sdt>
  <w:p w14:paraId="6A3A030F" w14:textId="77777777" w:rsidR="00EC5AF3" w:rsidRDefault="00EC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802F" w14:textId="77777777" w:rsidR="0048295D" w:rsidRDefault="0048295D" w:rsidP="001B0F15">
      <w:pPr>
        <w:spacing w:after="0" w:line="240" w:lineRule="auto"/>
      </w:pPr>
      <w:r>
        <w:separator/>
      </w:r>
    </w:p>
  </w:footnote>
  <w:footnote w:type="continuationSeparator" w:id="0">
    <w:p w14:paraId="17D2985E" w14:textId="77777777" w:rsidR="0048295D" w:rsidRDefault="0048295D" w:rsidP="001B0F15">
      <w:pPr>
        <w:spacing w:after="0" w:line="240" w:lineRule="auto"/>
      </w:pPr>
      <w:r>
        <w:continuationSeparator/>
      </w:r>
    </w:p>
  </w:footnote>
  <w:footnote w:id="1">
    <w:p w14:paraId="02CD653E" w14:textId="1BF14C71" w:rsidR="00EC5AF3" w:rsidRDefault="00EC5AF3" w:rsidP="00D75E5B">
      <w:pPr>
        <w:pStyle w:val="FootnoteText"/>
        <w:ind w:firstLine="720"/>
        <w:jc w:val="both"/>
        <w:rPr>
          <w:rFonts w:ascii="Times New Roman" w:hAnsi="Times New Roman" w:cs="Times New Roman"/>
        </w:rPr>
      </w:pPr>
      <w:r w:rsidRPr="00D75E5B">
        <w:rPr>
          <w:rStyle w:val="FootnoteReference"/>
          <w:rFonts w:ascii="Times New Roman" w:hAnsi="Times New Roman" w:cs="Times New Roman"/>
        </w:rPr>
        <w:footnoteRef/>
      </w:r>
      <w:r>
        <w:rPr>
          <w:rFonts w:ascii="Times New Roman" w:hAnsi="Times New Roman" w:cs="Times New Roman"/>
        </w:rPr>
        <w:t xml:space="preserve"> </w:t>
      </w:r>
      <w:r w:rsidRPr="00D75E5B">
        <w:rPr>
          <w:rFonts w:ascii="Times New Roman" w:hAnsi="Times New Roman" w:cs="Times New Roman"/>
        </w:rPr>
        <w:t>In contrast to raising public funds directly from investors through an initial public offering (IPO), SPACs raise public funds with the intention of acquiring a private company with its IPO proceeds (Dimitrova 2017). Between 2010 and 2020, a total of 458 SPACs went public raising $117 billion. In contrast, over the same time-period, 1,339 traditional IPOs went public raising $364 billion (Gahng, Ritter, and Zhang 2021).</w:t>
      </w:r>
    </w:p>
    <w:p w14:paraId="144D7091" w14:textId="77777777" w:rsidR="00EC5AF3" w:rsidRPr="00D75E5B" w:rsidRDefault="00EC5AF3" w:rsidP="00D75E5B">
      <w:pPr>
        <w:pStyle w:val="FootnoteText"/>
        <w:ind w:firstLine="720"/>
        <w:jc w:val="both"/>
        <w:rPr>
          <w:rFonts w:ascii="Times New Roman" w:hAnsi="Times New Roman" w:cs="Times New Roman"/>
        </w:rPr>
      </w:pPr>
    </w:p>
  </w:footnote>
  <w:footnote w:id="2">
    <w:p w14:paraId="547A30F9" w14:textId="50CC153D" w:rsidR="00EC5AF3" w:rsidRPr="00966591" w:rsidRDefault="00EC5AF3" w:rsidP="00675823">
      <w:pPr>
        <w:pStyle w:val="FootnoteText"/>
        <w:ind w:firstLine="720"/>
        <w:jc w:val="both"/>
        <w:rPr>
          <w:rFonts w:ascii="Times New Roman" w:hAnsi="Times New Roman" w:cs="Times New Roman"/>
        </w:rPr>
      </w:pPr>
      <w:r w:rsidRPr="00966591">
        <w:rPr>
          <w:rStyle w:val="FootnoteReference"/>
          <w:rFonts w:ascii="Times New Roman" w:hAnsi="Times New Roman" w:cs="Times New Roman"/>
        </w:rPr>
        <w:footnoteRef/>
      </w:r>
      <w:r>
        <w:rPr>
          <w:rFonts w:ascii="Times New Roman" w:hAnsi="Times New Roman" w:cs="Times New Roman"/>
        </w:rPr>
        <w:t xml:space="preserve"> </w:t>
      </w:r>
      <w:r w:rsidRPr="00966591">
        <w:rPr>
          <w:rFonts w:ascii="Times New Roman" w:hAnsi="Times New Roman" w:cs="Times New Roman"/>
        </w:rPr>
        <w:t>The SEC (2022, p. 66) asserts that the goal is to “align more closely the treatment of private operating companies entering the public markets through de-SPAC transactions with that of companies conducting traditional initial public offerings.” The proposed new rules and amendments would</w:t>
      </w:r>
      <w:r>
        <w:rPr>
          <w:rFonts w:ascii="Times New Roman" w:hAnsi="Times New Roman" w:cs="Times New Roman"/>
        </w:rPr>
        <w:t xml:space="preserve">: (1) require </w:t>
      </w:r>
      <w:r w:rsidRPr="00966591">
        <w:rPr>
          <w:rFonts w:ascii="Times New Roman" w:hAnsi="Times New Roman" w:cs="Times New Roman"/>
        </w:rPr>
        <w:t>additional disclosures about SPAC sponsors, conflicts of interest, and sources of dilution</w:t>
      </w:r>
      <w:r>
        <w:rPr>
          <w:rFonts w:ascii="Times New Roman" w:hAnsi="Times New Roman" w:cs="Times New Roman"/>
        </w:rPr>
        <w:t xml:space="preserve">, (2) require </w:t>
      </w:r>
      <w:r w:rsidRPr="00966591">
        <w:rPr>
          <w:rFonts w:ascii="Times New Roman" w:hAnsi="Times New Roman" w:cs="Times New Roman"/>
        </w:rPr>
        <w:t xml:space="preserve">additional disclosures regarding business combination transactions between SPACs and private operating companies </w:t>
      </w:r>
      <w:r>
        <w:rPr>
          <w:rFonts w:ascii="Times New Roman" w:hAnsi="Times New Roman" w:cs="Times New Roman"/>
        </w:rPr>
        <w:t xml:space="preserve">(e.g., </w:t>
      </w:r>
      <w:r w:rsidRPr="00966591">
        <w:rPr>
          <w:rFonts w:ascii="Times New Roman" w:hAnsi="Times New Roman" w:cs="Times New Roman"/>
        </w:rPr>
        <w:t>fairness of these transactions</w:t>
      </w:r>
      <w:r>
        <w:rPr>
          <w:rFonts w:ascii="Times New Roman" w:hAnsi="Times New Roman" w:cs="Times New Roman"/>
        </w:rPr>
        <w:t xml:space="preserve">), (3) </w:t>
      </w:r>
      <w:r w:rsidRPr="00966591">
        <w:rPr>
          <w:rFonts w:ascii="Times New Roman" w:hAnsi="Times New Roman" w:cs="Times New Roman"/>
        </w:rPr>
        <w:t>address issues relating to projections made by SPACs and their target companies</w:t>
      </w:r>
      <w:r>
        <w:rPr>
          <w:rFonts w:ascii="Times New Roman" w:hAnsi="Times New Roman" w:cs="Times New Roman"/>
        </w:rPr>
        <w:t>.</w:t>
      </w:r>
    </w:p>
  </w:footnote>
  <w:footnote w:id="3">
    <w:p w14:paraId="683F5996" w14:textId="052C7563" w:rsidR="00EC5AF3" w:rsidRPr="00F65D04" w:rsidRDefault="00EC5AF3" w:rsidP="00F65D04">
      <w:pPr>
        <w:pStyle w:val="FootnoteText"/>
        <w:ind w:firstLine="720"/>
        <w:jc w:val="both"/>
        <w:rPr>
          <w:rFonts w:ascii="Times New Roman" w:hAnsi="Times New Roman" w:cs="Times New Roman"/>
        </w:rPr>
      </w:pPr>
      <w:r w:rsidRPr="00F65D04">
        <w:rPr>
          <w:rStyle w:val="FootnoteReference"/>
          <w:rFonts w:ascii="Times New Roman" w:hAnsi="Times New Roman" w:cs="Times New Roman"/>
        </w:rPr>
        <w:footnoteRef/>
      </w:r>
      <w:r>
        <w:rPr>
          <w:rFonts w:ascii="Times New Roman" w:hAnsi="Times New Roman" w:cs="Times New Roman"/>
        </w:rPr>
        <w:t xml:space="preserve"> </w:t>
      </w:r>
      <w:r w:rsidRPr="00F65D04">
        <w:rPr>
          <w:rFonts w:ascii="Times New Roman" w:hAnsi="Times New Roman" w:cs="Times New Roman"/>
        </w:rPr>
        <w:t xml:space="preserve">SPAC agreements typically require completion of an acquisition within 18 to 24 months of its formation (PwC 2021). In the absence of finding a suitable target, their loss function may incentivize sponsors to identify targets that erode shareholder value. </w:t>
      </w:r>
      <w:r>
        <w:rPr>
          <w:rFonts w:ascii="Times New Roman" w:hAnsi="Times New Roman" w:cs="Times New Roman"/>
        </w:rPr>
        <w:t>Also, as</w:t>
      </w:r>
      <w:r w:rsidRPr="00F65D04">
        <w:rPr>
          <w:rFonts w:ascii="Times New Roman" w:hAnsi="Times New Roman" w:cs="Times New Roman"/>
        </w:rPr>
        <w:t xml:space="preserve"> compensation for their efforts, SPAC-sponsors pay a nominal amount for </w:t>
      </w:r>
      <w:r>
        <w:rPr>
          <w:rFonts w:ascii="Times New Roman" w:hAnsi="Times New Roman" w:cs="Times New Roman"/>
        </w:rPr>
        <w:t xml:space="preserve">a </w:t>
      </w:r>
      <w:r w:rsidRPr="00F65D04">
        <w:rPr>
          <w:rFonts w:ascii="Times New Roman" w:hAnsi="Times New Roman" w:cs="Times New Roman"/>
        </w:rPr>
        <w:t>stake in the SPAC (typically 20%) (Deloitte 2020). Therefore, for a merger to succeed, sponsors only require 30% of the SPAC shareholders to vote in favor of a merger.</w:t>
      </w:r>
    </w:p>
  </w:footnote>
  <w:footnote w:id="4">
    <w:p w14:paraId="5E2495B1" w14:textId="54380F27" w:rsidR="00EC5AF3" w:rsidRDefault="00EC5AF3" w:rsidP="008F1265">
      <w:pPr>
        <w:pStyle w:val="FootnoteText"/>
        <w:ind w:firstLine="720"/>
        <w:jc w:val="both"/>
      </w:pPr>
      <w:r w:rsidRPr="009454C6">
        <w:rPr>
          <w:rStyle w:val="FootnoteReference"/>
          <w:rFonts w:ascii="Times New Roman" w:hAnsi="Times New Roman" w:cs="Times New Roman"/>
        </w:rPr>
        <w:footnoteRef/>
      </w:r>
      <w:r>
        <w:rPr>
          <w:rFonts w:ascii="Times New Roman" w:hAnsi="Times New Roman" w:cs="Times New Roman"/>
        </w:rPr>
        <w:t xml:space="preserve"> </w:t>
      </w:r>
      <w:r w:rsidRPr="009454C6">
        <w:rPr>
          <w:rFonts w:ascii="Times New Roman" w:hAnsi="Times New Roman" w:cs="Times New Roman"/>
        </w:rPr>
        <w:t xml:space="preserve">For instance, when merging with a SPAC, auditors of the target firm must consider the following SEC reporting considerations: (1) accounting for shares and warrants issued by the SPAC, (2) </w:t>
      </w:r>
      <w:bookmarkStart w:id="1" w:name="xref-DTL"/>
      <w:r w:rsidRPr="009454C6">
        <w:rPr>
          <w:rFonts w:ascii="Times New Roman" w:hAnsi="Times New Roman" w:cs="Times New Roman"/>
        </w:rPr>
        <w:fldChar w:fldCharType="begin"/>
      </w:r>
      <w:r w:rsidRPr="009454C6">
        <w:rPr>
          <w:rFonts w:ascii="Times New Roman" w:hAnsi="Times New Roman" w:cs="Times New Roman"/>
        </w:rPr>
        <w:instrText xml:space="preserve"> HYPERLINK "https://dart.deloitte.com/USDART/home/publications/deloitte/financial-reporting-alerts/2020/spac-transactions" \l "SL718698580-542464" </w:instrText>
      </w:r>
      <w:r w:rsidRPr="009454C6">
        <w:rPr>
          <w:rFonts w:ascii="Times New Roman" w:hAnsi="Times New Roman" w:cs="Times New Roman"/>
        </w:rPr>
        <w:fldChar w:fldCharType="separate"/>
      </w:r>
      <w:r w:rsidRPr="009454C6">
        <w:rPr>
          <w:rStyle w:val="Hyperlink"/>
          <w:rFonts w:ascii="Times New Roman" w:hAnsi="Times New Roman" w:cs="Times New Roman"/>
          <w:color w:val="auto"/>
          <w:u w:val="none"/>
        </w:rPr>
        <w:t>classifying share-settleable earn-out arrangements</w:t>
      </w:r>
      <w:r w:rsidRPr="009454C6">
        <w:rPr>
          <w:rFonts w:ascii="Times New Roman" w:hAnsi="Times New Roman" w:cs="Times New Roman"/>
        </w:rPr>
        <w:fldChar w:fldCharType="end"/>
      </w:r>
      <w:bookmarkEnd w:id="1"/>
      <w:r w:rsidRPr="009454C6">
        <w:rPr>
          <w:rFonts w:ascii="Times New Roman" w:hAnsi="Times New Roman" w:cs="Times New Roman"/>
        </w:rPr>
        <w:t xml:space="preserve">, (3) </w:t>
      </w:r>
      <w:hyperlink r:id="rId1" w:anchor="SL725743284-542464" w:history="1">
        <w:r w:rsidRPr="009454C6">
          <w:rPr>
            <w:rStyle w:val="Hyperlink"/>
            <w:rFonts w:ascii="Times New Roman" w:hAnsi="Times New Roman" w:cs="Times New Roman"/>
            <w:color w:val="auto"/>
            <w:u w:val="none"/>
          </w:rPr>
          <w:t>share-based payment consideration</w:t>
        </w:r>
        <w:r w:rsidRPr="00A978F3">
          <w:rPr>
            <w:rStyle w:val="Hyperlink"/>
            <w:rFonts w:ascii="Times New Roman" w:hAnsi="Times New Roman" w:cs="Times New Roman"/>
            <w:color w:val="auto"/>
            <w:u w:val="none"/>
          </w:rPr>
          <w:t>s</w:t>
        </w:r>
      </w:hyperlink>
      <w:r w:rsidRPr="009454C6">
        <w:rPr>
          <w:rFonts w:ascii="Times New Roman" w:hAnsi="Times New Roman" w:cs="Times New Roman"/>
        </w:rPr>
        <w:t>, (4) Super 8-K requirements, and (5) for audits of fiscal years ending on or after December 15, 2020, critical audit matters (CAMs) must be included in auditors’ reports that refer to PCAOB standards, except when the registrant qualifies as an EGC (see Deloitte 2020 for details).</w:t>
      </w:r>
      <w:r>
        <w:t xml:space="preserve">  </w:t>
      </w:r>
    </w:p>
  </w:footnote>
  <w:footnote w:id="5">
    <w:p w14:paraId="09277DBF" w14:textId="5348CE5B" w:rsidR="00EC5AF3" w:rsidRPr="00CA11B5" w:rsidRDefault="00EC5AF3" w:rsidP="00755905">
      <w:pPr>
        <w:pStyle w:val="FootnoteText"/>
        <w:ind w:firstLine="720"/>
        <w:rPr>
          <w:rFonts w:ascii="Times New Roman" w:hAnsi="Times New Roman" w:cs="Times New Roman"/>
        </w:rPr>
      </w:pPr>
      <w:r w:rsidRPr="00BC6405">
        <w:rPr>
          <w:rStyle w:val="FootnoteReference"/>
          <w:rFonts w:ascii="Times New Roman" w:hAnsi="Times New Roman" w:cs="Times New Roman"/>
        </w:rPr>
        <w:footnoteRef/>
      </w:r>
      <w:r w:rsidRPr="00BC6405">
        <w:rPr>
          <w:rFonts w:ascii="Times New Roman" w:hAnsi="Times New Roman" w:cs="Times New Roman"/>
        </w:rPr>
        <w:t xml:space="preserve"> </w:t>
      </w:r>
      <w:hyperlink r:id="rId2" w:history="1">
        <w:r w:rsidRPr="00CA11B5">
          <w:rPr>
            <w:rStyle w:val="Hyperlink"/>
            <w:rFonts w:ascii="Times New Roman" w:hAnsi="Times New Roman" w:cs="Times New Roman"/>
            <w:color w:val="auto"/>
          </w:rPr>
          <w:t>https://www.wsj.com/articles/spacs-are-warning-they-may-go-bust-11653601111</w:t>
        </w:r>
      </w:hyperlink>
      <w:r w:rsidRPr="00CA11B5">
        <w:rPr>
          <w:rFonts w:ascii="Times New Roman" w:hAnsi="Times New Roman" w:cs="Times New Roman"/>
        </w:rPr>
        <w:t>.</w:t>
      </w:r>
    </w:p>
    <w:p w14:paraId="5E899940" w14:textId="40097A5C" w:rsidR="00EC5AF3" w:rsidRDefault="00EC5AF3">
      <w:pPr>
        <w:pStyle w:val="FootnoteText"/>
      </w:pPr>
    </w:p>
  </w:footnote>
  <w:footnote w:id="6">
    <w:p w14:paraId="49470E7C" w14:textId="2A199800" w:rsidR="00EC5AF3" w:rsidRDefault="00EC5AF3" w:rsidP="0000280B">
      <w:pPr>
        <w:spacing w:after="0" w:line="240" w:lineRule="auto"/>
        <w:ind w:firstLine="720"/>
        <w:jc w:val="both"/>
        <w:rPr>
          <w:rFonts w:ascii="Times New Roman" w:hAnsi="Times New Roman" w:cs="Times New Roman"/>
          <w:sz w:val="20"/>
          <w:szCs w:val="20"/>
        </w:rPr>
      </w:pPr>
      <w:r w:rsidRPr="00765ECD">
        <w:rPr>
          <w:rStyle w:val="FootnoteReference"/>
          <w:rFonts w:ascii="Times New Roman" w:hAnsi="Times New Roman" w:cs="Times New Roman"/>
          <w:sz w:val="20"/>
          <w:szCs w:val="20"/>
        </w:rPr>
        <w:footnoteRef/>
      </w:r>
      <w:r w:rsidRPr="00765ECD">
        <w:rPr>
          <w:rFonts w:ascii="Times New Roman" w:hAnsi="Times New Roman" w:cs="Times New Roman"/>
          <w:sz w:val="20"/>
          <w:szCs w:val="20"/>
        </w:rPr>
        <w:t xml:space="preserve"> Our analys</w:t>
      </w:r>
      <w:r>
        <w:rPr>
          <w:rFonts w:ascii="Times New Roman" w:hAnsi="Times New Roman" w:cs="Times New Roman"/>
          <w:sz w:val="20"/>
          <w:szCs w:val="20"/>
        </w:rPr>
        <w:t>i</w:t>
      </w:r>
      <w:r w:rsidRPr="00765ECD">
        <w:rPr>
          <w:rFonts w:ascii="Times New Roman" w:hAnsi="Times New Roman" w:cs="Times New Roman"/>
          <w:sz w:val="20"/>
          <w:szCs w:val="20"/>
        </w:rPr>
        <w:t>s of control issue differences indicate that SPAC-IPOs are more frequently associated with acquisition integration and management review issues than non-SPAC-IPOs.  Our analys</w:t>
      </w:r>
      <w:r>
        <w:rPr>
          <w:rFonts w:ascii="Times New Roman" w:hAnsi="Times New Roman" w:cs="Times New Roman"/>
          <w:sz w:val="20"/>
          <w:szCs w:val="20"/>
        </w:rPr>
        <w:t>i</w:t>
      </w:r>
      <w:r w:rsidRPr="00765ECD">
        <w:rPr>
          <w:rFonts w:ascii="Times New Roman" w:hAnsi="Times New Roman" w:cs="Times New Roman"/>
          <w:sz w:val="20"/>
          <w:szCs w:val="20"/>
        </w:rPr>
        <w:t xml:space="preserve">s of accounting policy issues differences indicate that SPAC-IPOs are more frequently associated with accounting issues related to warrants, revenues, liabilities and accrued expenses, and complex accounting issues (e.g., related party transactions, affiliated subsidiaries, and acquisitions) than non-SPAC-IPOs. </w:t>
      </w:r>
    </w:p>
    <w:p w14:paraId="32E90062" w14:textId="77777777" w:rsidR="00EC5AF3" w:rsidRPr="0000280B" w:rsidRDefault="00EC5AF3" w:rsidP="0000280B">
      <w:pPr>
        <w:spacing w:after="0" w:line="240" w:lineRule="auto"/>
        <w:ind w:firstLine="720"/>
        <w:jc w:val="both"/>
        <w:rPr>
          <w:rFonts w:ascii="Times New Roman" w:hAnsi="Times New Roman" w:cs="Times New Roman"/>
        </w:rPr>
      </w:pPr>
    </w:p>
  </w:footnote>
  <w:footnote w:id="7">
    <w:p w14:paraId="0C8161D8" w14:textId="5776E41A" w:rsidR="00EC5AF3" w:rsidRDefault="00EC5AF3" w:rsidP="0000280B">
      <w:pPr>
        <w:pStyle w:val="FootnoteText"/>
        <w:ind w:firstLine="720"/>
        <w:jc w:val="both"/>
      </w:pPr>
      <w:r w:rsidRPr="0000280B">
        <w:rPr>
          <w:rStyle w:val="FootnoteReference"/>
          <w:rFonts w:ascii="Times New Roman" w:hAnsi="Times New Roman" w:cs="Times New Roman"/>
        </w:rPr>
        <w:footnoteRef/>
      </w:r>
      <w:r w:rsidRPr="0000280B">
        <w:rPr>
          <w:rFonts w:ascii="Times New Roman" w:hAnsi="Times New Roman" w:cs="Times New Roman"/>
        </w:rPr>
        <w:t xml:space="preserve"> Our odds ratios </w:t>
      </w:r>
      <w:r>
        <w:rPr>
          <w:rFonts w:ascii="Times New Roman" w:hAnsi="Times New Roman" w:cs="Times New Roman"/>
        </w:rPr>
        <w:t xml:space="preserve">(for internal control weaknesses and restatements) </w:t>
      </w:r>
      <w:r w:rsidRPr="0000280B">
        <w:rPr>
          <w:rFonts w:ascii="Times New Roman" w:hAnsi="Times New Roman" w:cs="Times New Roman"/>
        </w:rPr>
        <w:t>are derived from logistic regression estimates</w:t>
      </w:r>
      <w:r>
        <w:rPr>
          <w:rFonts w:ascii="Times New Roman" w:hAnsi="Times New Roman" w:cs="Times New Roman"/>
        </w:rPr>
        <w:t>. In contrast</w:t>
      </w:r>
      <w:r w:rsidRPr="0000280B">
        <w:rPr>
          <w:rFonts w:ascii="Times New Roman" w:hAnsi="Times New Roman" w:cs="Times New Roman"/>
        </w:rPr>
        <w:t>, Kim et al. (2022) appear to rely on OLS regressions</w:t>
      </w:r>
      <w:r>
        <w:rPr>
          <w:rFonts w:ascii="Times New Roman" w:hAnsi="Times New Roman" w:cs="Times New Roman"/>
        </w:rPr>
        <w:t xml:space="preserve"> and therefore odds ratios are not reported in their study. W</w:t>
      </w:r>
      <w:r w:rsidRPr="0000280B">
        <w:rPr>
          <w:rFonts w:ascii="Times New Roman" w:hAnsi="Times New Roman" w:cs="Times New Roman"/>
        </w:rPr>
        <w:t xml:space="preserve">e compute </w:t>
      </w:r>
      <w:r>
        <w:rPr>
          <w:rFonts w:ascii="Times New Roman" w:hAnsi="Times New Roman" w:cs="Times New Roman"/>
        </w:rPr>
        <w:t xml:space="preserve">the </w:t>
      </w:r>
      <w:r w:rsidRPr="0000280B">
        <w:rPr>
          <w:rFonts w:ascii="Times New Roman" w:hAnsi="Times New Roman" w:cs="Times New Roman"/>
        </w:rPr>
        <w:t>implied odds ratios fr</w:t>
      </w:r>
      <w:r>
        <w:rPr>
          <w:rFonts w:ascii="Times New Roman" w:hAnsi="Times New Roman" w:cs="Times New Roman"/>
        </w:rPr>
        <w:t>om</w:t>
      </w:r>
      <w:r w:rsidRPr="0000280B">
        <w:rPr>
          <w:rFonts w:ascii="Times New Roman" w:hAnsi="Times New Roman" w:cs="Times New Roman"/>
        </w:rPr>
        <w:t xml:space="preserve"> their study using the relevant univariate numbers reported in their Table 1.</w:t>
      </w:r>
      <w:r w:rsidRPr="003F3C1A">
        <w:rPr>
          <w:rFonts w:ascii="Times New Roman" w:hAnsi="Times New Roman" w:cs="Times New Roman"/>
        </w:rPr>
        <w:t xml:space="preserve"> </w:t>
      </w:r>
    </w:p>
  </w:footnote>
  <w:footnote w:id="8">
    <w:p w14:paraId="6F9B61DE" w14:textId="581425FB" w:rsidR="00EC5AF3" w:rsidRPr="00FD11C8" w:rsidRDefault="00EC5AF3" w:rsidP="00FD11C8">
      <w:pPr>
        <w:pStyle w:val="FootnoteText"/>
        <w:ind w:firstLine="720"/>
        <w:jc w:val="both"/>
        <w:rPr>
          <w:rFonts w:ascii="Times New Roman" w:hAnsi="Times New Roman" w:cs="Times New Roman"/>
        </w:rPr>
      </w:pPr>
      <w:r w:rsidRPr="00FD11C8">
        <w:rPr>
          <w:rStyle w:val="FootnoteReference"/>
          <w:rFonts w:ascii="Times New Roman" w:hAnsi="Times New Roman" w:cs="Times New Roman"/>
        </w:rPr>
        <w:footnoteRef/>
      </w:r>
      <w:r w:rsidRPr="00FD11C8">
        <w:rPr>
          <w:rFonts w:ascii="Times New Roman" w:hAnsi="Times New Roman" w:cs="Times New Roman"/>
        </w:rPr>
        <w:t xml:space="preserve"> </w:t>
      </w:r>
      <w:r w:rsidRPr="00FD11C8">
        <w:rPr>
          <w:rFonts w:ascii="Times New Roman" w:hAnsi="Times New Roman" w:cs="Times New Roman"/>
          <w:i/>
        </w:rPr>
        <w:t>RISK</w:t>
      </w:r>
      <w:r w:rsidRPr="00FD11C8">
        <w:rPr>
          <w:rFonts w:ascii="Times New Roman" w:hAnsi="Times New Roman" w:cs="Times New Roman"/>
        </w:rPr>
        <w:t xml:space="preserve"> is the sum of six </w:t>
      </w:r>
      <w:r>
        <w:rPr>
          <w:rFonts w:ascii="Times New Roman" w:hAnsi="Times New Roman" w:cs="Times New Roman"/>
        </w:rPr>
        <w:t xml:space="preserve">individual </w:t>
      </w:r>
      <w:r w:rsidRPr="00FD11C8">
        <w:rPr>
          <w:rFonts w:ascii="Times New Roman" w:hAnsi="Times New Roman" w:cs="Times New Roman"/>
        </w:rPr>
        <w:t xml:space="preserve">risk metrics scores where </w:t>
      </w:r>
      <w:r>
        <w:rPr>
          <w:rFonts w:ascii="Times New Roman" w:hAnsi="Times New Roman" w:cs="Times New Roman"/>
        </w:rPr>
        <w:t xml:space="preserve">an </w:t>
      </w:r>
      <w:r w:rsidRPr="00FD11C8">
        <w:rPr>
          <w:rFonts w:ascii="Times New Roman" w:hAnsi="Times New Roman" w:cs="Times New Roman"/>
        </w:rPr>
        <w:t xml:space="preserve">individual </w:t>
      </w:r>
      <w:r>
        <w:rPr>
          <w:rFonts w:ascii="Times New Roman" w:hAnsi="Times New Roman" w:cs="Times New Roman"/>
        </w:rPr>
        <w:t xml:space="preserve">risk </w:t>
      </w:r>
      <w:r w:rsidRPr="00FD11C8">
        <w:rPr>
          <w:rFonts w:ascii="Times New Roman" w:hAnsi="Times New Roman" w:cs="Times New Roman"/>
        </w:rPr>
        <w:t xml:space="preserve">metric is assigned a score of one if a SPAC-IPO is associated with an internal control weakness, </w:t>
      </w:r>
      <w:r>
        <w:rPr>
          <w:rFonts w:ascii="Times New Roman" w:hAnsi="Times New Roman" w:cs="Times New Roman"/>
        </w:rPr>
        <w:t xml:space="preserve">a </w:t>
      </w:r>
      <w:r w:rsidRPr="00FD11C8">
        <w:rPr>
          <w:rFonts w:ascii="Times New Roman" w:hAnsi="Times New Roman" w:cs="Times New Roman"/>
        </w:rPr>
        <w:t xml:space="preserve">restatement announcement, </w:t>
      </w:r>
      <w:r>
        <w:rPr>
          <w:rFonts w:ascii="Times New Roman" w:hAnsi="Times New Roman" w:cs="Times New Roman"/>
        </w:rPr>
        <w:t xml:space="preserve">a </w:t>
      </w:r>
      <w:r w:rsidRPr="00FD11C8">
        <w:rPr>
          <w:rFonts w:ascii="Times New Roman" w:hAnsi="Times New Roman" w:cs="Times New Roman"/>
        </w:rPr>
        <w:t xml:space="preserve">non-timely annual filing, </w:t>
      </w:r>
      <w:r>
        <w:rPr>
          <w:rFonts w:ascii="Times New Roman" w:hAnsi="Times New Roman" w:cs="Times New Roman"/>
        </w:rPr>
        <w:t xml:space="preserve">a </w:t>
      </w:r>
      <w:r w:rsidRPr="00FD11C8">
        <w:rPr>
          <w:rFonts w:ascii="Times New Roman" w:hAnsi="Times New Roman" w:cs="Times New Roman"/>
        </w:rPr>
        <w:t xml:space="preserve">non-Big 4 auditor, above median accruals, or </w:t>
      </w:r>
      <w:r>
        <w:rPr>
          <w:rFonts w:ascii="Times New Roman" w:hAnsi="Times New Roman" w:cs="Times New Roman"/>
        </w:rPr>
        <w:t xml:space="preserve">a </w:t>
      </w:r>
      <w:r w:rsidRPr="00FD11C8">
        <w:rPr>
          <w:rFonts w:ascii="Times New Roman" w:hAnsi="Times New Roman" w:cs="Times New Roman"/>
        </w:rPr>
        <w:t>non-NYSE listing (NASDAQ or OTC).</w:t>
      </w:r>
      <w:r>
        <w:rPr>
          <w:rFonts w:ascii="Times New Roman" w:hAnsi="Times New Roman" w:cs="Times New Roman"/>
        </w:rPr>
        <w:t xml:space="preserve"> Delisting is excluded from </w:t>
      </w:r>
      <w:r w:rsidRPr="00FD11C8">
        <w:rPr>
          <w:rFonts w:ascii="Times New Roman" w:hAnsi="Times New Roman" w:cs="Times New Roman"/>
          <w:i/>
        </w:rPr>
        <w:t>RISK</w:t>
      </w:r>
      <w:r>
        <w:rPr>
          <w:rFonts w:ascii="Times New Roman" w:hAnsi="Times New Roman" w:cs="Times New Roman"/>
        </w:rPr>
        <w:t xml:space="preserve"> because this information may not be available for the risk measurement period.</w:t>
      </w:r>
    </w:p>
  </w:footnote>
  <w:footnote w:id="9">
    <w:p w14:paraId="7611097A" w14:textId="71C28C2D" w:rsidR="00EC5AF3" w:rsidRDefault="00EC5AF3" w:rsidP="00302620">
      <w:pPr>
        <w:pStyle w:val="FootnoteText"/>
        <w:ind w:firstLine="720"/>
        <w:jc w:val="both"/>
        <w:rPr>
          <w:rFonts w:ascii="Times New Roman" w:hAnsi="Times New Roman" w:cs="Times New Roman"/>
          <w:color w:val="221E1F"/>
        </w:rPr>
      </w:pPr>
      <w:r w:rsidRPr="00302620">
        <w:rPr>
          <w:rStyle w:val="FootnoteReference"/>
          <w:rFonts w:ascii="Times New Roman" w:hAnsi="Times New Roman" w:cs="Times New Roman"/>
        </w:rPr>
        <w:footnoteRef/>
      </w:r>
      <w:r>
        <w:rPr>
          <w:rFonts w:ascii="Times New Roman" w:hAnsi="Times New Roman" w:cs="Times New Roman"/>
          <w:color w:val="221E1F"/>
        </w:rPr>
        <w:t xml:space="preserve"> </w:t>
      </w:r>
      <w:r w:rsidRPr="00302620">
        <w:rPr>
          <w:rFonts w:ascii="Times New Roman" w:hAnsi="Times New Roman" w:cs="Times New Roman"/>
          <w:color w:val="221E1F"/>
        </w:rPr>
        <w:t>Although the amount of time between the deal announcement and the deal closing can vary greatly on the basis of the readiness of the operating company, it can be as short as four to six months.</w:t>
      </w:r>
    </w:p>
    <w:p w14:paraId="3B352DD2" w14:textId="77777777" w:rsidR="00EC5AF3" w:rsidRPr="00302620" w:rsidRDefault="00EC5AF3" w:rsidP="00302620">
      <w:pPr>
        <w:pStyle w:val="FootnoteText"/>
        <w:ind w:firstLine="720"/>
        <w:jc w:val="both"/>
        <w:rPr>
          <w:rFonts w:ascii="Times New Roman" w:hAnsi="Times New Roman" w:cs="Times New Roman"/>
        </w:rPr>
      </w:pPr>
    </w:p>
  </w:footnote>
  <w:footnote w:id="10">
    <w:p w14:paraId="4360C302" w14:textId="4A1B6C19" w:rsidR="00EC5AF3" w:rsidRDefault="00EC5AF3" w:rsidP="00006169">
      <w:pPr>
        <w:pStyle w:val="NormalWeb"/>
        <w:spacing w:before="0" w:beforeAutospacing="0" w:after="0" w:afterAutospacing="0"/>
        <w:ind w:firstLine="720"/>
        <w:jc w:val="both"/>
        <w:rPr>
          <w:sz w:val="20"/>
        </w:rPr>
      </w:pPr>
      <w:r>
        <w:rPr>
          <w:rStyle w:val="FootnoteReference"/>
        </w:rPr>
        <w:footnoteRef/>
      </w:r>
      <w:r>
        <w:rPr>
          <w:sz w:val="20"/>
          <w:szCs w:val="20"/>
        </w:rPr>
        <w:t xml:space="preserve"> </w:t>
      </w:r>
      <w:r w:rsidRPr="007C2160">
        <w:rPr>
          <w:sz w:val="20"/>
          <w:szCs w:val="20"/>
        </w:rPr>
        <w:t xml:space="preserve">The </w:t>
      </w:r>
      <w:r w:rsidRPr="007C2160">
        <w:rPr>
          <w:i/>
          <w:iCs/>
          <w:sz w:val="20"/>
          <w:szCs w:val="20"/>
        </w:rPr>
        <w:t>Super</w:t>
      </w:r>
      <w:r w:rsidRPr="007C2160">
        <w:rPr>
          <w:sz w:val="20"/>
          <w:szCs w:val="20"/>
        </w:rPr>
        <w:t xml:space="preserve"> 8-K is essentially a Form 8-K that includes information that’s equivalent to the presentation and disclosure requirements of a Form 10 initial registration statement.</w:t>
      </w:r>
      <w:r>
        <w:rPr>
          <w:sz w:val="20"/>
          <w:szCs w:val="20"/>
        </w:rPr>
        <w:t xml:space="preserve"> A</w:t>
      </w:r>
      <w:r w:rsidRPr="007C2160">
        <w:rPr>
          <w:sz w:val="20"/>
          <w:szCs w:val="20"/>
        </w:rPr>
        <w:t xml:space="preserve"> Super 8-K includes the following disclosure items:</w:t>
      </w:r>
      <w:r>
        <w:rPr>
          <w:sz w:val="20"/>
          <w:szCs w:val="20"/>
        </w:rPr>
        <w:t xml:space="preserve"> (1) </w:t>
      </w:r>
      <w:r w:rsidRPr="007C2160">
        <w:rPr>
          <w:sz w:val="20"/>
          <w:szCs w:val="20"/>
        </w:rPr>
        <w:t>Item 2.01, Completion of Acquisition or Disposition of Assets</w:t>
      </w:r>
      <w:r>
        <w:rPr>
          <w:sz w:val="20"/>
          <w:szCs w:val="20"/>
        </w:rPr>
        <w:t xml:space="preserve">, (2) </w:t>
      </w:r>
      <w:r w:rsidRPr="007C2160">
        <w:rPr>
          <w:sz w:val="20"/>
          <w:szCs w:val="20"/>
        </w:rPr>
        <w:t>Item 5.01, Changes in Control of Registrant</w:t>
      </w:r>
      <w:r>
        <w:rPr>
          <w:sz w:val="20"/>
          <w:szCs w:val="20"/>
        </w:rPr>
        <w:t xml:space="preserve">, (3) </w:t>
      </w:r>
      <w:r w:rsidRPr="007C2160">
        <w:rPr>
          <w:sz w:val="20"/>
          <w:szCs w:val="20"/>
        </w:rPr>
        <w:t>Item 5.06, Change in Shell Company Status</w:t>
      </w:r>
      <w:r>
        <w:rPr>
          <w:sz w:val="20"/>
          <w:szCs w:val="20"/>
        </w:rPr>
        <w:t xml:space="preserve">, and (4) </w:t>
      </w:r>
      <w:r w:rsidRPr="007C2160">
        <w:rPr>
          <w:sz w:val="20"/>
          <w:szCs w:val="20"/>
        </w:rPr>
        <w:t>Item 9.01, Financial Statements and Exhibits</w:t>
      </w:r>
      <w:r>
        <w:rPr>
          <w:sz w:val="20"/>
          <w:szCs w:val="20"/>
        </w:rPr>
        <w:t xml:space="preserve">. </w:t>
      </w:r>
      <w:r w:rsidRPr="007C2160">
        <w:rPr>
          <w:sz w:val="20"/>
        </w:rPr>
        <w:t xml:space="preserve">The Super 8-K should </w:t>
      </w:r>
      <w:r>
        <w:rPr>
          <w:sz w:val="20"/>
        </w:rPr>
        <w:t>also include a d</w:t>
      </w:r>
      <w:r w:rsidRPr="007C2160">
        <w:rPr>
          <w:sz w:val="20"/>
        </w:rPr>
        <w:t>iscussion of risk factors in accordance with Item 105 of Regulation S-K</w:t>
      </w:r>
      <w:r>
        <w:rPr>
          <w:sz w:val="20"/>
        </w:rPr>
        <w:t>, f</w:t>
      </w:r>
      <w:r w:rsidRPr="007C2160">
        <w:rPr>
          <w:sz w:val="20"/>
        </w:rPr>
        <w:t>inancial information as required by Items 301, 303, and 305 of Regulation S-K</w:t>
      </w:r>
      <w:r>
        <w:rPr>
          <w:sz w:val="20"/>
        </w:rPr>
        <w:t>, f</w:t>
      </w:r>
      <w:r w:rsidRPr="007C2160">
        <w:rPr>
          <w:sz w:val="20"/>
        </w:rPr>
        <w:t>inancial statements as required by Regulation S-X</w:t>
      </w:r>
      <w:r>
        <w:rPr>
          <w:sz w:val="20"/>
        </w:rPr>
        <w:t>,</w:t>
      </w:r>
      <w:r w:rsidRPr="007C2160">
        <w:rPr>
          <w:sz w:val="20"/>
        </w:rPr>
        <w:t xml:space="preserve"> and the supplementary financial information as required by Item 302 of Regulation S-K</w:t>
      </w:r>
      <w:r>
        <w:rPr>
          <w:sz w:val="20"/>
        </w:rPr>
        <w:t>.</w:t>
      </w:r>
    </w:p>
    <w:p w14:paraId="704F0C5F" w14:textId="77777777" w:rsidR="00EC5AF3" w:rsidRDefault="00EC5AF3" w:rsidP="00006169">
      <w:pPr>
        <w:pStyle w:val="NormalWeb"/>
        <w:spacing w:before="0" w:beforeAutospacing="0" w:after="0" w:afterAutospacing="0"/>
        <w:ind w:firstLine="720"/>
        <w:jc w:val="both"/>
      </w:pPr>
    </w:p>
  </w:footnote>
  <w:footnote w:id="11">
    <w:p w14:paraId="76A43709" w14:textId="1F9D526A" w:rsidR="00EC5AF3" w:rsidRPr="00013FA6" w:rsidRDefault="00EC5AF3" w:rsidP="00013FA6">
      <w:pPr>
        <w:pStyle w:val="FootnoteText"/>
        <w:ind w:firstLine="720"/>
        <w:jc w:val="both"/>
        <w:rPr>
          <w:rFonts w:ascii="Times New Roman" w:hAnsi="Times New Roman" w:cs="Times New Roman"/>
        </w:rPr>
      </w:pPr>
      <w:r w:rsidRPr="00013FA6">
        <w:rPr>
          <w:rStyle w:val="FootnoteReference"/>
          <w:rFonts w:ascii="Times New Roman" w:hAnsi="Times New Roman" w:cs="Times New Roman"/>
        </w:rPr>
        <w:footnoteRef/>
      </w:r>
      <w:r>
        <w:rPr>
          <w:rFonts w:ascii="Times New Roman" w:hAnsi="Times New Roman" w:cs="Times New Roman"/>
          <w:color w:val="221E1F"/>
        </w:rPr>
        <w:t>T</w:t>
      </w:r>
      <w:r w:rsidRPr="00013FA6">
        <w:rPr>
          <w:rFonts w:ascii="Times New Roman" w:hAnsi="Times New Roman" w:cs="Times New Roman"/>
          <w:color w:val="221E1F"/>
        </w:rPr>
        <w:t xml:space="preserve">raditional IPO </w:t>
      </w:r>
      <w:r>
        <w:rPr>
          <w:rFonts w:ascii="Times New Roman" w:hAnsi="Times New Roman" w:cs="Times New Roman"/>
          <w:color w:val="221E1F"/>
        </w:rPr>
        <w:t xml:space="preserve">pricing </w:t>
      </w:r>
      <w:r w:rsidRPr="00013FA6">
        <w:rPr>
          <w:rFonts w:ascii="Times New Roman" w:hAnsi="Times New Roman" w:cs="Times New Roman"/>
          <w:color w:val="221E1F"/>
        </w:rPr>
        <w:t>is affected by market volatility and broader investor sentiment, which can vary significantly leading up to the time of pricing</w:t>
      </w:r>
      <w:r>
        <w:rPr>
          <w:rFonts w:ascii="Times New Roman" w:hAnsi="Times New Roman" w:cs="Times New Roman"/>
          <w:color w:val="221E1F"/>
        </w:rPr>
        <w:t xml:space="preserve">. However, </w:t>
      </w:r>
      <w:r w:rsidRPr="00013FA6">
        <w:rPr>
          <w:rFonts w:ascii="Times New Roman" w:hAnsi="Times New Roman" w:cs="Times New Roman"/>
          <w:color w:val="221E1F"/>
        </w:rPr>
        <w:t>SPAC mergers provide more certainty because of up-front pricing and valuation that is determined through negotiations that typically occur months before the transaction closes.</w:t>
      </w:r>
    </w:p>
  </w:footnote>
  <w:footnote w:id="12">
    <w:p w14:paraId="0EC9F7F0" w14:textId="1BA812FF" w:rsidR="00EC5AF3" w:rsidRPr="00F2637C" w:rsidRDefault="00EC5AF3" w:rsidP="00F2637C">
      <w:pPr>
        <w:pStyle w:val="FootnoteText"/>
        <w:ind w:firstLine="720"/>
        <w:jc w:val="both"/>
        <w:rPr>
          <w:rFonts w:ascii="Times New Roman" w:hAnsi="Times New Roman" w:cs="Times New Roman"/>
        </w:rPr>
      </w:pPr>
      <w:r w:rsidRPr="00F2637C">
        <w:rPr>
          <w:rStyle w:val="FootnoteReference"/>
          <w:rFonts w:ascii="Times New Roman" w:hAnsi="Times New Roman" w:cs="Times New Roman"/>
        </w:rPr>
        <w:footnoteRef/>
      </w:r>
      <w:r w:rsidRPr="00F2637C">
        <w:rPr>
          <w:rFonts w:ascii="Times New Roman" w:hAnsi="Times New Roman" w:cs="Times New Roman"/>
        </w:rPr>
        <w:t xml:space="preserve"> </w:t>
      </w:r>
      <w:r w:rsidRPr="00F2637C">
        <w:rPr>
          <w:rFonts w:ascii="Times New Roman" w:hAnsi="Times New Roman" w:cs="Times New Roman"/>
          <w:color w:val="211D1E"/>
        </w:rPr>
        <w:t>As industry veterans, SPAC-sponsors are often viewed as specialized private equity general partners. They serve as ad hoc underwriters who rely on their reputation and expertise to identify high valued private companies (Lewellen 2009). Practitioners tout sponsors’ superior abilities in identifying investment opportunities efficiently and reaching agreements with target firms swiftly (Rodrigues and Stegemoller 2021; Gahng et al. 2021).</w:t>
      </w:r>
    </w:p>
  </w:footnote>
  <w:footnote w:id="13">
    <w:p w14:paraId="44CFF14F" w14:textId="3E9D0AB8" w:rsidR="00EC5AF3" w:rsidRDefault="00EC5AF3" w:rsidP="006E6915">
      <w:pPr>
        <w:pStyle w:val="FootnoteText"/>
        <w:ind w:firstLine="720"/>
        <w:jc w:val="both"/>
        <w:rPr>
          <w:rFonts w:ascii="Times New Roman" w:hAnsi="Times New Roman" w:cs="Times New Roman"/>
        </w:rPr>
      </w:pPr>
      <w:r w:rsidRPr="006E6915">
        <w:rPr>
          <w:rStyle w:val="FootnoteReference"/>
          <w:rFonts w:ascii="Times New Roman" w:hAnsi="Times New Roman" w:cs="Times New Roman"/>
        </w:rPr>
        <w:footnoteRef/>
      </w:r>
      <w:r w:rsidRPr="006E6915">
        <w:rPr>
          <w:rFonts w:ascii="Times New Roman" w:hAnsi="Times New Roman" w:cs="Times New Roman"/>
        </w:rPr>
        <w:t xml:space="preserve"> </w:t>
      </w:r>
      <w:r>
        <w:rPr>
          <w:rFonts w:ascii="Times New Roman" w:hAnsi="Times New Roman" w:cs="Times New Roman"/>
        </w:rPr>
        <w:t>Unit holders in the SPAC are allowed to keep their warrants even when they redeem their common shares, which can lead to heterogeneity in preferences for volatility amongst SPAC investors. Additionally, SPAC investors can vote in favor of a merger, but redeem their common shares, which can lead to different preferences related to the riskiness of target companies amongst investors.</w:t>
      </w:r>
    </w:p>
    <w:p w14:paraId="29B0FC1A" w14:textId="77777777" w:rsidR="00EC5AF3" w:rsidRPr="006E6915" w:rsidRDefault="00EC5AF3" w:rsidP="00732F71">
      <w:pPr>
        <w:pStyle w:val="FootnoteText"/>
        <w:ind w:firstLine="720"/>
        <w:rPr>
          <w:rFonts w:ascii="Times New Roman" w:hAnsi="Times New Roman" w:cs="Times New Roman"/>
        </w:rPr>
      </w:pPr>
    </w:p>
  </w:footnote>
  <w:footnote w:id="14">
    <w:p w14:paraId="4F0B0D84" w14:textId="5E8A9F31" w:rsidR="00EC5AF3" w:rsidRDefault="00EC5AF3" w:rsidP="009A2BE3">
      <w:pPr>
        <w:pStyle w:val="FootnoteText"/>
        <w:ind w:firstLine="720"/>
        <w:jc w:val="both"/>
      </w:pPr>
      <w:r w:rsidRPr="00A978F3">
        <w:rPr>
          <w:rStyle w:val="FootnoteReference"/>
          <w:rFonts w:ascii="Times New Roman" w:hAnsi="Times New Roman" w:cs="Times New Roman"/>
        </w:rPr>
        <w:footnoteRef/>
      </w:r>
      <w:r w:rsidRPr="00A978F3">
        <w:rPr>
          <w:rFonts w:ascii="Times New Roman" w:hAnsi="Times New Roman" w:cs="Times New Roman"/>
        </w:rPr>
        <w:t xml:space="preserve"> </w:t>
      </w:r>
      <w:r w:rsidRPr="00E133CF">
        <w:rPr>
          <w:rFonts w:ascii="Times New Roman" w:hAnsi="Times New Roman" w:cs="Times New Roman"/>
        </w:rPr>
        <w:t>For instance, NAS</w:t>
      </w:r>
      <w:r>
        <w:rPr>
          <w:rFonts w:ascii="Times New Roman" w:hAnsi="Times New Roman" w:cs="Times New Roman"/>
        </w:rPr>
        <w:t>D</w:t>
      </w:r>
      <w:r w:rsidRPr="00E133CF">
        <w:rPr>
          <w:rFonts w:ascii="Times New Roman" w:hAnsi="Times New Roman" w:cs="Times New Roman"/>
        </w:rPr>
        <w:t xml:space="preserve">AQ requires </w:t>
      </w:r>
      <w:r w:rsidRPr="00E133CF">
        <w:rPr>
          <w:rFonts w:ascii="Times New Roman" w:eastAsia="Times New Roman" w:hAnsi="Times New Roman" w:cs="Times New Roman"/>
        </w:rPr>
        <w:t>a minimum of 1</w:t>
      </w:r>
      <w:r>
        <w:rPr>
          <w:rFonts w:ascii="Times New Roman" w:eastAsia="Times New Roman" w:hAnsi="Times New Roman" w:cs="Times New Roman"/>
        </w:rPr>
        <w:t>.25 million</w:t>
      </w:r>
      <w:r w:rsidRPr="00E133CF">
        <w:rPr>
          <w:rFonts w:ascii="Times New Roman" w:eastAsia="Times New Roman" w:hAnsi="Times New Roman" w:cs="Times New Roman"/>
        </w:rPr>
        <w:t xml:space="preserve"> publicly traded shares</w:t>
      </w:r>
      <w:r>
        <w:rPr>
          <w:rFonts w:ascii="Times New Roman" w:eastAsia="Times New Roman" w:hAnsi="Times New Roman" w:cs="Times New Roman"/>
        </w:rPr>
        <w:t xml:space="preserve">, while </w:t>
      </w:r>
      <w:r w:rsidRPr="00E133CF">
        <w:rPr>
          <w:rFonts w:ascii="Times New Roman" w:eastAsia="Times New Roman" w:hAnsi="Times New Roman" w:cs="Times New Roman"/>
        </w:rPr>
        <w:t xml:space="preserve">NYSE requires initial issuance </w:t>
      </w:r>
      <w:r>
        <w:rPr>
          <w:rFonts w:ascii="Times New Roman" w:eastAsia="Times New Roman" w:hAnsi="Times New Roman" w:cs="Times New Roman"/>
        </w:rPr>
        <w:t xml:space="preserve">of </w:t>
      </w:r>
      <w:r w:rsidRPr="00E133CF">
        <w:rPr>
          <w:rFonts w:ascii="Times New Roman" w:eastAsia="Times New Roman" w:hAnsi="Times New Roman" w:cs="Times New Roman"/>
        </w:rPr>
        <w:t>at least 1.1</w:t>
      </w:r>
      <w:r>
        <w:rPr>
          <w:rFonts w:ascii="Times New Roman" w:eastAsia="Times New Roman" w:hAnsi="Times New Roman" w:cs="Times New Roman"/>
        </w:rPr>
        <w:t>0</w:t>
      </w:r>
      <w:r w:rsidRPr="00E133CF">
        <w:rPr>
          <w:rFonts w:ascii="Times New Roman" w:eastAsia="Times New Roman" w:hAnsi="Times New Roman" w:cs="Times New Roman"/>
        </w:rPr>
        <w:t xml:space="preserve"> million shares</w:t>
      </w:r>
      <w:r>
        <w:rPr>
          <w:rFonts w:ascii="Times New Roman" w:eastAsia="Times New Roman" w:hAnsi="Times New Roman" w:cs="Times New Roman"/>
        </w:rPr>
        <w:t>,</w:t>
      </w:r>
      <w:r w:rsidRPr="00E133CF">
        <w:rPr>
          <w:rFonts w:ascii="Times New Roman" w:eastAsia="Times New Roman" w:hAnsi="Times New Roman" w:cs="Times New Roman"/>
        </w:rPr>
        <w:t xml:space="preserve"> a minimum of 400</w:t>
      </w:r>
      <w:r>
        <w:rPr>
          <w:rFonts w:ascii="Times New Roman" w:eastAsia="Times New Roman" w:hAnsi="Times New Roman" w:cs="Times New Roman"/>
        </w:rPr>
        <w:t xml:space="preserve"> initial </w:t>
      </w:r>
      <w:r w:rsidRPr="00E133CF">
        <w:rPr>
          <w:rFonts w:ascii="Times New Roman" w:eastAsia="Times New Roman" w:hAnsi="Times New Roman" w:cs="Times New Roman"/>
        </w:rPr>
        <w:t>shareholders</w:t>
      </w:r>
      <w:r>
        <w:rPr>
          <w:rFonts w:ascii="Times New Roman" w:eastAsia="Times New Roman" w:hAnsi="Times New Roman" w:cs="Times New Roman"/>
        </w:rPr>
        <w:t>,</w:t>
      </w:r>
      <w:r w:rsidRPr="00E133CF">
        <w:rPr>
          <w:rFonts w:ascii="Times New Roman" w:eastAsia="Times New Roman" w:hAnsi="Times New Roman" w:cs="Times New Roman"/>
        </w:rPr>
        <w:t xml:space="preserve"> and the market value of shares </w:t>
      </w:r>
      <w:r>
        <w:rPr>
          <w:rFonts w:ascii="Times New Roman" w:eastAsia="Times New Roman" w:hAnsi="Times New Roman" w:cs="Times New Roman"/>
        </w:rPr>
        <w:t xml:space="preserve">be </w:t>
      </w:r>
      <w:r w:rsidRPr="00E133CF">
        <w:rPr>
          <w:rFonts w:ascii="Times New Roman" w:eastAsia="Times New Roman" w:hAnsi="Times New Roman" w:cs="Times New Roman"/>
        </w:rPr>
        <w:t xml:space="preserve">at least $40 million. </w:t>
      </w:r>
    </w:p>
  </w:footnote>
  <w:footnote w:id="15">
    <w:p w14:paraId="27F7824B" w14:textId="74ECC147" w:rsidR="00EC5AF3" w:rsidRPr="00614AC1" w:rsidRDefault="00EC5AF3" w:rsidP="00B97BAD">
      <w:pPr>
        <w:shd w:val="clear" w:color="auto" w:fill="FFFFFF"/>
        <w:spacing w:after="150"/>
        <w:ind w:firstLine="720"/>
        <w:jc w:val="both"/>
        <w:textAlignment w:val="baseline"/>
      </w:pPr>
      <w:r w:rsidRPr="00697458">
        <w:rPr>
          <w:rStyle w:val="FootnoteReference"/>
          <w:rFonts w:ascii="Times New Roman" w:hAnsi="Times New Roman" w:cs="Times New Roman"/>
          <w:sz w:val="20"/>
          <w:szCs w:val="20"/>
        </w:rPr>
        <w:footnoteRef/>
      </w:r>
      <w:r>
        <w:rPr>
          <w:rFonts w:ascii="Times New Roman" w:hAnsi="Times New Roman" w:cs="Times New Roman"/>
          <w:color w:val="000000"/>
          <w:sz w:val="20"/>
          <w:szCs w:val="20"/>
          <w:shd w:val="clear" w:color="auto" w:fill="FFFFFF"/>
        </w:rPr>
        <w:t xml:space="preserve"> U</w:t>
      </w:r>
      <w:r w:rsidRPr="00697458">
        <w:rPr>
          <w:rFonts w:ascii="Times New Roman" w:hAnsi="Times New Roman" w:cs="Times New Roman"/>
          <w:color w:val="000000"/>
          <w:sz w:val="20"/>
          <w:szCs w:val="20"/>
          <w:shd w:val="clear" w:color="auto" w:fill="FFFFFF"/>
        </w:rPr>
        <w:t>nder Section 2(a)(19) of the Securities Act</w:t>
      </w:r>
      <w:r>
        <w:rPr>
          <w:rFonts w:ascii="Times New Roman" w:hAnsi="Times New Roman" w:cs="Times New Roman"/>
          <w:color w:val="000000"/>
          <w:sz w:val="20"/>
          <w:szCs w:val="20"/>
          <w:shd w:val="clear" w:color="auto" w:fill="FFFFFF"/>
        </w:rPr>
        <w:t>,</w:t>
      </w:r>
      <w:r w:rsidRPr="0069745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a</w:t>
      </w:r>
      <w:r w:rsidRPr="00697458">
        <w:rPr>
          <w:rFonts w:ascii="Times New Roman" w:hAnsi="Times New Roman" w:cs="Times New Roman"/>
          <w:color w:val="000000"/>
          <w:sz w:val="20"/>
          <w:szCs w:val="20"/>
          <w:shd w:val="clear" w:color="auto" w:fill="FFFFFF"/>
        </w:rPr>
        <w:t xml:space="preserve">n emerging growth company </w:t>
      </w:r>
      <w:r>
        <w:rPr>
          <w:rFonts w:ascii="Times New Roman" w:hAnsi="Times New Roman" w:cs="Times New Roman"/>
          <w:color w:val="000000"/>
          <w:sz w:val="20"/>
          <w:szCs w:val="20"/>
          <w:shd w:val="clear" w:color="auto" w:fill="FFFFFF"/>
        </w:rPr>
        <w:t xml:space="preserve">(EGC) </w:t>
      </w:r>
      <w:r w:rsidRPr="00697458">
        <w:rPr>
          <w:rFonts w:ascii="Times New Roman" w:hAnsi="Times New Roman" w:cs="Times New Roman"/>
          <w:color w:val="000000"/>
          <w:sz w:val="20"/>
          <w:szCs w:val="20"/>
          <w:shd w:val="clear" w:color="auto" w:fill="FFFFFF"/>
        </w:rPr>
        <w:t xml:space="preserve">has total annual gross revenues of less than $1.07 billion during its most recently completed fiscal year. </w:t>
      </w:r>
      <w:r>
        <w:rPr>
          <w:rFonts w:ascii="Times New Roman" w:hAnsi="Times New Roman" w:cs="Times New Roman"/>
          <w:color w:val="000000"/>
          <w:sz w:val="20"/>
          <w:szCs w:val="20"/>
          <w:shd w:val="clear" w:color="auto" w:fill="FFFFFF"/>
        </w:rPr>
        <w:t>The disclosure requirements for emerging growth companies are less stringent than for other public c</w:t>
      </w:r>
      <w:r w:rsidRPr="00697458">
        <w:rPr>
          <w:rFonts w:ascii="Times New Roman" w:eastAsia="Times New Roman" w:hAnsi="Times New Roman" w:cs="Times New Roman"/>
          <w:color w:val="000000"/>
          <w:sz w:val="20"/>
          <w:szCs w:val="20"/>
        </w:rPr>
        <w:t xml:space="preserve">ompanies </w:t>
      </w:r>
      <w:r>
        <w:rPr>
          <w:rFonts w:ascii="Times New Roman" w:eastAsia="Times New Roman" w:hAnsi="Times New Roman" w:cs="Times New Roman"/>
          <w:color w:val="000000"/>
          <w:sz w:val="20"/>
          <w:szCs w:val="20"/>
        </w:rPr>
        <w:t xml:space="preserve">(e.g., less disclosures needed for </w:t>
      </w:r>
      <w:r w:rsidRPr="00697458">
        <w:rPr>
          <w:rFonts w:ascii="Times New Roman" w:eastAsia="Times New Roman" w:hAnsi="Times New Roman" w:cs="Times New Roman"/>
          <w:color w:val="000000"/>
          <w:sz w:val="20"/>
          <w:szCs w:val="20"/>
        </w:rPr>
        <w:t xml:space="preserve">executive compensation, audited financial statements </w:t>
      </w:r>
      <w:r>
        <w:rPr>
          <w:rFonts w:ascii="Times New Roman" w:eastAsia="Times New Roman" w:hAnsi="Times New Roman" w:cs="Times New Roman"/>
          <w:color w:val="000000"/>
          <w:sz w:val="20"/>
          <w:szCs w:val="20"/>
        </w:rPr>
        <w:t xml:space="preserve">for only </w:t>
      </w:r>
      <w:r w:rsidRPr="00697458">
        <w:rPr>
          <w:rFonts w:ascii="Times New Roman" w:eastAsia="Times New Roman" w:hAnsi="Times New Roman" w:cs="Times New Roman"/>
          <w:color w:val="000000"/>
          <w:sz w:val="20"/>
          <w:szCs w:val="20"/>
        </w:rPr>
        <w:t xml:space="preserve">two fiscal years, </w:t>
      </w:r>
      <w:r>
        <w:rPr>
          <w:rFonts w:ascii="Times New Roman" w:eastAsia="Times New Roman" w:hAnsi="Times New Roman" w:cs="Times New Roman"/>
          <w:color w:val="000000"/>
          <w:sz w:val="20"/>
          <w:szCs w:val="20"/>
        </w:rPr>
        <w:t xml:space="preserve">exemption from </w:t>
      </w:r>
      <w:r w:rsidRPr="00697458">
        <w:rPr>
          <w:rFonts w:ascii="Times New Roman" w:eastAsia="Times New Roman" w:hAnsi="Times New Roman" w:cs="Times New Roman"/>
          <w:color w:val="000000"/>
          <w:sz w:val="20"/>
          <w:szCs w:val="20"/>
        </w:rPr>
        <w:t xml:space="preserve">auditor attestation </w:t>
      </w:r>
      <w:r>
        <w:rPr>
          <w:rFonts w:ascii="Times New Roman" w:eastAsia="Times New Roman" w:hAnsi="Times New Roman" w:cs="Times New Roman"/>
          <w:color w:val="000000"/>
          <w:sz w:val="20"/>
          <w:szCs w:val="20"/>
        </w:rPr>
        <w:t xml:space="preserve">requirements </w:t>
      </w:r>
      <w:r w:rsidRPr="00697458">
        <w:rPr>
          <w:rFonts w:ascii="Times New Roman" w:eastAsia="Times New Roman" w:hAnsi="Times New Roman" w:cs="Times New Roman"/>
          <w:color w:val="000000"/>
          <w:sz w:val="20"/>
          <w:szCs w:val="20"/>
        </w:rPr>
        <w:t>of internal control over financial reporting</w:t>
      </w:r>
      <w:r>
        <w:rPr>
          <w:rFonts w:ascii="Times New Roman" w:eastAsia="Times New Roman" w:hAnsi="Times New Roman" w:cs="Times New Roman"/>
          <w:color w:val="000000"/>
          <w:sz w:val="20"/>
          <w:szCs w:val="20"/>
        </w:rPr>
        <w:t>)</w:t>
      </w:r>
      <w:r w:rsidRPr="00697458">
        <w:rPr>
          <w:rFonts w:ascii="Times New Roman" w:eastAsia="Times New Roman" w:hAnsi="Times New Roman" w:cs="Times New Roman"/>
          <w:color w:val="000000"/>
          <w:sz w:val="20"/>
          <w:szCs w:val="20"/>
        </w:rPr>
        <w:t>.</w:t>
      </w:r>
    </w:p>
  </w:footnote>
  <w:footnote w:id="16">
    <w:p w14:paraId="5D4E3237" w14:textId="1E8C2118" w:rsidR="00EC5AF3" w:rsidRPr="00EF24EC" w:rsidRDefault="00EC5AF3" w:rsidP="00B97BAD">
      <w:pPr>
        <w:pStyle w:val="FootnoteText"/>
        <w:ind w:firstLine="720"/>
        <w:jc w:val="both"/>
        <w:rPr>
          <w:rFonts w:ascii="Times New Roman" w:hAnsi="Times New Roman" w:cs="Times New Roman"/>
          <w:color w:val="000000"/>
          <w:sz w:val="22"/>
        </w:rPr>
      </w:pPr>
      <w:r w:rsidRPr="00EF24EC">
        <w:rPr>
          <w:rStyle w:val="FootnoteReference"/>
          <w:rFonts w:ascii="Times New Roman" w:hAnsi="Times New Roman" w:cs="Times New Roman"/>
          <w:sz w:val="22"/>
        </w:rPr>
        <w:footnoteRef/>
      </w:r>
      <w:r>
        <w:rPr>
          <w:rFonts w:ascii="Times New Roman" w:hAnsi="Times New Roman" w:cs="Times New Roman"/>
          <w:color w:val="000000"/>
          <w:sz w:val="22"/>
        </w:rPr>
        <w:t xml:space="preserve"> </w:t>
      </w:r>
      <w:r w:rsidRPr="00EF24EC">
        <w:rPr>
          <w:rFonts w:ascii="Times New Roman" w:hAnsi="Times New Roman" w:cs="Times New Roman"/>
          <w:color w:val="000000"/>
          <w:sz w:val="22"/>
        </w:rPr>
        <w:t xml:space="preserve">To avoid the impact of influential observations, we convert </w:t>
      </w:r>
      <w:r w:rsidRPr="00EF24EC">
        <w:rPr>
          <w:rFonts w:ascii="Times New Roman" w:hAnsi="Times New Roman" w:cs="Times New Roman"/>
          <w:i/>
          <w:color w:val="000000"/>
          <w:sz w:val="22"/>
        </w:rPr>
        <w:t>EARN</w:t>
      </w:r>
      <w:r w:rsidRPr="00EF24EC">
        <w:rPr>
          <w:rFonts w:ascii="Times New Roman" w:hAnsi="Times New Roman" w:cs="Times New Roman"/>
          <w:color w:val="000000"/>
          <w:sz w:val="22"/>
        </w:rPr>
        <w:t xml:space="preserve">, </w:t>
      </w:r>
      <w:r w:rsidRPr="00EF24EC">
        <w:rPr>
          <w:rFonts w:ascii="Times New Roman" w:hAnsi="Times New Roman" w:cs="Times New Roman"/>
          <w:i/>
          <w:color w:val="000000"/>
          <w:sz w:val="22"/>
        </w:rPr>
        <w:t>CFO</w:t>
      </w:r>
      <w:r w:rsidRPr="00EF24EC">
        <w:rPr>
          <w:rFonts w:ascii="Times New Roman" w:hAnsi="Times New Roman" w:cs="Times New Roman"/>
          <w:color w:val="000000"/>
          <w:sz w:val="22"/>
        </w:rPr>
        <w:t xml:space="preserve"> and </w:t>
      </w:r>
      <w:r w:rsidRPr="00EF24EC">
        <w:rPr>
          <w:rFonts w:ascii="Times New Roman" w:hAnsi="Times New Roman" w:cs="Times New Roman"/>
          <w:i/>
          <w:color w:val="000000"/>
          <w:sz w:val="22"/>
        </w:rPr>
        <w:t>ACC</w:t>
      </w:r>
      <w:r w:rsidRPr="00EF24EC">
        <w:rPr>
          <w:rFonts w:ascii="Times New Roman" w:hAnsi="Times New Roman" w:cs="Times New Roman"/>
          <w:color w:val="000000"/>
          <w:sz w:val="22"/>
        </w:rPr>
        <w:t xml:space="preserve"> into decile rankings and then use those rankings in estimating equations (4) and (5) instead of using the raw values.</w:t>
      </w:r>
    </w:p>
    <w:p w14:paraId="1BE93FF3" w14:textId="77777777" w:rsidR="00EC5AF3" w:rsidRDefault="00EC5AF3" w:rsidP="00B97BAD">
      <w:pPr>
        <w:pStyle w:val="FootnoteText"/>
        <w:ind w:firstLine="720"/>
      </w:pPr>
    </w:p>
  </w:footnote>
  <w:footnote w:id="17">
    <w:p w14:paraId="5E470A31" w14:textId="03280615" w:rsidR="00EC5AF3" w:rsidRPr="00EF1598" w:rsidRDefault="00EC5AF3" w:rsidP="00B97BAD">
      <w:pPr>
        <w:pStyle w:val="FootnoteText"/>
        <w:ind w:firstLine="720"/>
        <w:jc w:val="both"/>
        <w:rPr>
          <w:rFonts w:ascii="Times New Roman" w:hAnsi="Times New Roman" w:cs="Times New Roman"/>
        </w:rPr>
      </w:pPr>
      <w:r w:rsidRPr="009454C6">
        <w:rPr>
          <w:rStyle w:val="FootnoteReference"/>
          <w:rFonts w:ascii="Times New Roman" w:hAnsi="Times New Roman" w:cs="Times New Roman"/>
        </w:rPr>
        <w:footnoteRef/>
      </w:r>
      <w:r>
        <w:rPr>
          <w:rFonts w:ascii="Times New Roman" w:hAnsi="Times New Roman" w:cs="Times New Roman"/>
        </w:rPr>
        <w:t xml:space="preserve"> </w:t>
      </w:r>
      <w:r w:rsidRPr="009454C6">
        <w:rPr>
          <w:rFonts w:ascii="Times New Roman" w:hAnsi="Times New Roman" w:cs="Times New Roman"/>
        </w:rPr>
        <w:t xml:space="preserve">Because we focus on SPAC-IPOs and not on SPACs, i.e., the year the private target company merges with a SPAC and starts trading as a public company and not the year the SPAC gets listed on an exchange as a public company, our starting year is 2010 which is the first year a SPAC-IPO starts trading.   </w:t>
      </w:r>
    </w:p>
  </w:footnote>
  <w:footnote w:id="18">
    <w:p w14:paraId="25D1E090" w14:textId="02C34765" w:rsidR="00EC5AF3" w:rsidRPr="004D7E5C" w:rsidRDefault="00EC5AF3" w:rsidP="004D7E5C">
      <w:pPr>
        <w:pStyle w:val="FootnoteText"/>
        <w:ind w:firstLine="720"/>
        <w:jc w:val="both"/>
        <w:rPr>
          <w:rFonts w:ascii="Times New Roman" w:hAnsi="Times New Roman" w:cs="Times New Roman"/>
        </w:rPr>
      </w:pPr>
      <w:r w:rsidRPr="004D7E5C">
        <w:rPr>
          <w:rStyle w:val="FootnoteReference"/>
          <w:rFonts w:ascii="Times New Roman" w:hAnsi="Times New Roman" w:cs="Times New Roman"/>
        </w:rPr>
        <w:footnoteRef/>
      </w:r>
      <w:r>
        <w:rPr>
          <w:rFonts w:ascii="Times New Roman" w:hAnsi="Times New Roman" w:cs="Times New Roman"/>
        </w:rPr>
        <w:t xml:space="preserve"> </w:t>
      </w:r>
      <w:r w:rsidRPr="004D7E5C">
        <w:rPr>
          <w:rFonts w:ascii="Times New Roman" w:hAnsi="Times New Roman" w:cs="Times New Roman"/>
        </w:rPr>
        <w:t xml:space="preserve">Because there is no variation in non-timely annual filings for the non-SPAC-IPO sample, we cannot estimate a logistic regression for non-timely filings. </w:t>
      </w:r>
    </w:p>
  </w:footnote>
  <w:footnote w:id="19">
    <w:p w14:paraId="1526EDF8" w14:textId="088D1493" w:rsidR="00EC5AF3" w:rsidRPr="008A3019" w:rsidRDefault="00EC5AF3" w:rsidP="008A3019">
      <w:pPr>
        <w:pStyle w:val="FootnoteText"/>
        <w:ind w:firstLine="720"/>
        <w:jc w:val="both"/>
        <w:rPr>
          <w:rFonts w:ascii="Times New Roman" w:hAnsi="Times New Roman" w:cs="Times New Roman"/>
        </w:rPr>
      </w:pPr>
      <w:r w:rsidRPr="008A3019">
        <w:rPr>
          <w:rStyle w:val="FootnoteReference"/>
          <w:rFonts w:ascii="Times New Roman" w:hAnsi="Times New Roman" w:cs="Times New Roman"/>
        </w:rPr>
        <w:footnoteRef/>
      </w:r>
      <w:r>
        <w:rPr>
          <w:rFonts w:ascii="Times New Roman" w:hAnsi="Times New Roman" w:cs="Times New Roman"/>
        </w:rPr>
        <w:t xml:space="preserve"> </w:t>
      </w:r>
      <w:r w:rsidRPr="008A3019">
        <w:rPr>
          <w:rFonts w:ascii="Times New Roman" w:hAnsi="Times New Roman" w:cs="Times New Roman"/>
        </w:rPr>
        <w:t>When we exclude delays related to restatements and control issues, we continue to find significant differences in annual filings delays between SPAC-IPO</w:t>
      </w:r>
      <w:r>
        <w:rPr>
          <w:rFonts w:ascii="Times New Roman" w:hAnsi="Times New Roman" w:cs="Times New Roman"/>
        </w:rPr>
        <w:t>s</w:t>
      </w:r>
      <w:r w:rsidRPr="008A3019">
        <w:rPr>
          <w:rFonts w:ascii="Times New Roman" w:hAnsi="Times New Roman" w:cs="Times New Roman"/>
        </w:rPr>
        <w:t xml:space="preserve"> and non-SPAC-IPO</w:t>
      </w:r>
      <w:r>
        <w:rPr>
          <w:rFonts w:ascii="Times New Roman" w:hAnsi="Times New Roman" w:cs="Times New Roman"/>
        </w:rPr>
        <w:t>s</w:t>
      </w:r>
      <w:r w:rsidRPr="008A3019">
        <w:rPr>
          <w:rFonts w:ascii="Times New Roman" w:hAnsi="Times New Roman" w:cs="Times New Roman"/>
        </w:rPr>
        <w:t>.</w:t>
      </w:r>
    </w:p>
  </w:footnote>
  <w:footnote w:id="20">
    <w:p w14:paraId="14AF5F12" w14:textId="3033A1EA" w:rsidR="00EC5AF3" w:rsidRPr="00FF5D68" w:rsidRDefault="00EC5AF3" w:rsidP="001234AD">
      <w:pPr>
        <w:pStyle w:val="FootnoteText"/>
        <w:ind w:firstLine="720"/>
        <w:rPr>
          <w:rFonts w:ascii="Times New Roman" w:hAnsi="Times New Roman" w:cs="Times New Roman"/>
        </w:rPr>
      </w:pPr>
      <w:r w:rsidRPr="00FF5D68">
        <w:rPr>
          <w:rStyle w:val="FootnoteReference"/>
          <w:rFonts w:ascii="Times New Roman" w:hAnsi="Times New Roman" w:cs="Times New Roman"/>
        </w:rPr>
        <w:footnoteRef/>
      </w:r>
      <w:r>
        <w:rPr>
          <w:rFonts w:ascii="Times New Roman" w:hAnsi="Times New Roman" w:cs="Times New Roman"/>
        </w:rPr>
        <w:t xml:space="preserve"> </w:t>
      </w:r>
      <w:r w:rsidRPr="00FF5D68">
        <w:rPr>
          <w:rFonts w:ascii="Times New Roman" w:hAnsi="Times New Roman" w:cs="Times New Roman"/>
        </w:rPr>
        <w:t xml:space="preserve">The mean (median) value of </w:t>
      </w:r>
      <w:r w:rsidRPr="00FF5D68">
        <w:rPr>
          <w:rFonts w:ascii="Times New Roman" w:hAnsi="Times New Roman" w:cs="Times New Roman"/>
          <w:i/>
        </w:rPr>
        <w:t>SPONSOR_BOARD%</w:t>
      </w:r>
      <w:r w:rsidRPr="00FF5D68">
        <w:rPr>
          <w:rFonts w:ascii="Times New Roman" w:hAnsi="Times New Roman" w:cs="Times New Roman"/>
        </w:rPr>
        <w:t xml:space="preserve"> </w:t>
      </w:r>
      <w:r>
        <w:rPr>
          <w:rFonts w:ascii="Times New Roman" w:hAnsi="Times New Roman" w:cs="Times New Roman"/>
        </w:rPr>
        <w:t xml:space="preserve">is </w:t>
      </w:r>
      <w:r w:rsidRPr="00FF5D68">
        <w:rPr>
          <w:rFonts w:ascii="Times New Roman" w:hAnsi="Times New Roman" w:cs="Times New Roman"/>
        </w:rPr>
        <w:t>23.5%</w:t>
      </w:r>
      <w:r>
        <w:rPr>
          <w:rFonts w:ascii="Times New Roman" w:hAnsi="Times New Roman" w:cs="Times New Roman"/>
        </w:rPr>
        <w:t xml:space="preserve"> </w:t>
      </w:r>
      <w:r w:rsidRPr="00FF5D68">
        <w:rPr>
          <w:rFonts w:ascii="Times New Roman" w:hAnsi="Times New Roman" w:cs="Times New Roman"/>
        </w:rPr>
        <w:t>(22.2%).</w:t>
      </w:r>
      <w:r>
        <w:rPr>
          <w:rFonts w:ascii="Times New Roman" w:hAnsi="Times New Roman" w:cs="Times New Roman"/>
        </w:rPr>
        <w:t xml:space="preserve"> The mean (median) value of </w:t>
      </w:r>
      <w:r w:rsidRPr="006E6915">
        <w:rPr>
          <w:rFonts w:ascii="Times New Roman" w:hAnsi="Times New Roman" w:cs="Times New Roman"/>
          <w:i/>
        </w:rPr>
        <w:t>PIPE</w:t>
      </w:r>
      <w:r>
        <w:rPr>
          <w:rFonts w:ascii="Times New Roman" w:hAnsi="Times New Roman" w:cs="Times New Roman"/>
        </w:rPr>
        <w:t xml:space="preserve"> is 0.59 (1.00). The mean (median) value of </w:t>
      </w:r>
      <w:r w:rsidRPr="00FF5D68">
        <w:rPr>
          <w:rFonts w:ascii="Times New Roman" w:hAnsi="Times New Roman" w:cs="Times New Roman"/>
          <w:i/>
        </w:rPr>
        <w:t>FIRSTYEAR</w:t>
      </w:r>
      <w:r w:rsidRPr="00FF5D68">
        <w:rPr>
          <w:rFonts w:ascii="Times New Roman" w:hAnsi="Times New Roman" w:cs="Times New Roman"/>
        </w:rPr>
        <w:t xml:space="preserve"> is </w:t>
      </w:r>
      <w:r>
        <w:rPr>
          <w:rFonts w:ascii="Times New Roman" w:hAnsi="Times New Roman" w:cs="Times New Roman"/>
        </w:rPr>
        <w:t>0.10</w:t>
      </w:r>
      <w:r w:rsidRPr="00FF5D68">
        <w:rPr>
          <w:rFonts w:ascii="Times New Roman" w:hAnsi="Times New Roman" w:cs="Times New Roman"/>
        </w:rPr>
        <w:t xml:space="preserve"> (0).</w:t>
      </w:r>
    </w:p>
  </w:footnote>
  <w:footnote w:id="21">
    <w:p w14:paraId="26DEF0BC" w14:textId="7541712D" w:rsidR="00EC5AF3" w:rsidRDefault="00EC5AF3" w:rsidP="001234AD">
      <w:pPr>
        <w:spacing w:after="0" w:line="240" w:lineRule="auto"/>
        <w:ind w:firstLine="720"/>
        <w:jc w:val="both"/>
      </w:pPr>
      <w:r w:rsidRPr="00D22EC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D22EC4">
        <w:rPr>
          <w:rFonts w:ascii="Times New Roman" w:hAnsi="Times New Roman" w:cs="Times New Roman"/>
          <w:sz w:val="20"/>
          <w:szCs w:val="20"/>
        </w:rPr>
        <w:t xml:space="preserve">When we use earnings persistence as the dependent variable, none of the coefficients on </w:t>
      </w:r>
      <w:r w:rsidRPr="00D22EC4">
        <w:rPr>
          <w:rFonts w:ascii="Times New Roman" w:hAnsi="Times New Roman" w:cs="Times New Roman"/>
          <w:i/>
          <w:sz w:val="20"/>
          <w:szCs w:val="20"/>
        </w:rPr>
        <w:t>SPONSOR_BOARD%, PIPE, or FIRSTYEAR</w:t>
      </w:r>
      <w:r w:rsidRPr="00D22EC4">
        <w:rPr>
          <w:rFonts w:ascii="Times New Roman" w:hAnsi="Times New Roman" w:cs="Times New Roman"/>
          <w:sz w:val="20"/>
          <w:szCs w:val="20"/>
        </w:rPr>
        <w:t xml:space="preserve"> is significant. One potential explanation for the statistically weaker results </w:t>
      </w:r>
      <w:r>
        <w:rPr>
          <w:rFonts w:ascii="Times New Roman" w:hAnsi="Times New Roman" w:cs="Times New Roman"/>
          <w:sz w:val="20"/>
          <w:szCs w:val="20"/>
        </w:rPr>
        <w:t xml:space="preserve">in our cross sectional tests </w:t>
      </w:r>
      <w:r w:rsidRPr="00D22EC4">
        <w:rPr>
          <w:rFonts w:ascii="Times New Roman" w:hAnsi="Times New Roman" w:cs="Times New Roman"/>
          <w:sz w:val="20"/>
          <w:szCs w:val="20"/>
        </w:rPr>
        <w:t xml:space="preserve">is the lack of power. The frequency of some of the outcome variables is relatively small and this small sample size is reduced further when we condition on the SPAC observables.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11A0" w14:textId="77777777" w:rsidR="00EC5AF3" w:rsidRDefault="00EC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19BD" w14:textId="77777777" w:rsidR="00EC5AF3" w:rsidRDefault="00EC5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CCF6" w14:textId="77777777" w:rsidR="00EC5AF3" w:rsidRDefault="00EC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1DD7F7"/>
    <w:multiLevelType w:val="hybridMultilevel"/>
    <w:tmpl w:val="933115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F4F58"/>
    <w:multiLevelType w:val="hybridMultilevel"/>
    <w:tmpl w:val="E1C12C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446AA"/>
    <w:multiLevelType w:val="hybridMultilevel"/>
    <w:tmpl w:val="3A26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0050"/>
    <w:multiLevelType w:val="hybridMultilevel"/>
    <w:tmpl w:val="4942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43EC"/>
    <w:multiLevelType w:val="multilevel"/>
    <w:tmpl w:val="D86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2471"/>
    <w:multiLevelType w:val="multilevel"/>
    <w:tmpl w:val="576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1B84"/>
    <w:multiLevelType w:val="multilevel"/>
    <w:tmpl w:val="C120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23BE6"/>
    <w:multiLevelType w:val="multilevel"/>
    <w:tmpl w:val="2A3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72C01"/>
    <w:multiLevelType w:val="multilevel"/>
    <w:tmpl w:val="AB9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11A02"/>
    <w:multiLevelType w:val="hybridMultilevel"/>
    <w:tmpl w:val="424C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11E02"/>
    <w:multiLevelType w:val="hybridMultilevel"/>
    <w:tmpl w:val="8624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614"/>
    <w:multiLevelType w:val="multilevel"/>
    <w:tmpl w:val="72E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06D0"/>
    <w:multiLevelType w:val="hybridMultilevel"/>
    <w:tmpl w:val="C2DA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D0E56"/>
    <w:multiLevelType w:val="hybridMultilevel"/>
    <w:tmpl w:val="565C8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5324C"/>
    <w:multiLevelType w:val="multilevel"/>
    <w:tmpl w:val="A0E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22C26"/>
    <w:multiLevelType w:val="multilevel"/>
    <w:tmpl w:val="D98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131A0"/>
    <w:multiLevelType w:val="hybridMultilevel"/>
    <w:tmpl w:val="29CC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81DD2"/>
    <w:multiLevelType w:val="multilevel"/>
    <w:tmpl w:val="85F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23455"/>
    <w:multiLevelType w:val="hybridMultilevel"/>
    <w:tmpl w:val="2478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519FA"/>
    <w:multiLevelType w:val="multilevel"/>
    <w:tmpl w:val="8F3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F43BB"/>
    <w:multiLevelType w:val="hybridMultilevel"/>
    <w:tmpl w:val="64B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05394"/>
    <w:multiLevelType w:val="multilevel"/>
    <w:tmpl w:val="1EE4842E"/>
    <w:lvl w:ilvl="0">
      <w:start w:val="1"/>
      <w:numFmt w:val="bullet"/>
      <w:lvlText w:val=""/>
      <w:lvlJc w:val="left"/>
      <w:pPr>
        <w:tabs>
          <w:tab w:val="num" w:pos="3186"/>
        </w:tabs>
        <w:ind w:left="3186" w:hanging="360"/>
      </w:pPr>
      <w:rPr>
        <w:rFonts w:ascii="Symbol" w:hAnsi="Symbol" w:hint="default"/>
        <w:sz w:val="20"/>
      </w:rPr>
    </w:lvl>
    <w:lvl w:ilvl="1" w:tentative="1">
      <w:start w:val="1"/>
      <w:numFmt w:val="bullet"/>
      <w:lvlText w:val="o"/>
      <w:lvlJc w:val="left"/>
      <w:pPr>
        <w:tabs>
          <w:tab w:val="num" w:pos="3906"/>
        </w:tabs>
        <w:ind w:left="3906" w:hanging="360"/>
      </w:pPr>
      <w:rPr>
        <w:rFonts w:ascii="Courier New" w:hAnsi="Courier New" w:hint="default"/>
        <w:sz w:val="20"/>
      </w:rPr>
    </w:lvl>
    <w:lvl w:ilvl="2" w:tentative="1">
      <w:start w:val="1"/>
      <w:numFmt w:val="bullet"/>
      <w:lvlText w:val=""/>
      <w:lvlJc w:val="left"/>
      <w:pPr>
        <w:tabs>
          <w:tab w:val="num" w:pos="4626"/>
        </w:tabs>
        <w:ind w:left="4626" w:hanging="360"/>
      </w:pPr>
      <w:rPr>
        <w:rFonts w:ascii="Wingdings" w:hAnsi="Wingdings" w:hint="default"/>
        <w:sz w:val="20"/>
      </w:rPr>
    </w:lvl>
    <w:lvl w:ilvl="3" w:tentative="1">
      <w:start w:val="1"/>
      <w:numFmt w:val="bullet"/>
      <w:lvlText w:val=""/>
      <w:lvlJc w:val="left"/>
      <w:pPr>
        <w:tabs>
          <w:tab w:val="num" w:pos="5346"/>
        </w:tabs>
        <w:ind w:left="5346" w:hanging="360"/>
      </w:pPr>
      <w:rPr>
        <w:rFonts w:ascii="Wingdings" w:hAnsi="Wingdings" w:hint="default"/>
        <w:sz w:val="20"/>
      </w:rPr>
    </w:lvl>
    <w:lvl w:ilvl="4" w:tentative="1">
      <w:start w:val="1"/>
      <w:numFmt w:val="bullet"/>
      <w:lvlText w:val=""/>
      <w:lvlJc w:val="left"/>
      <w:pPr>
        <w:tabs>
          <w:tab w:val="num" w:pos="6066"/>
        </w:tabs>
        <w:ind w:left="6066" w:hanging="360"/>
      </w:pPr>
      <w:rPr>
        <w:rFonts w:ascii="Wingdings" w:hAnsi="Wingdings" w:hint="default"/>
        <w:sz w:val="20"/>
      </w:rPr>
    </w:lvl>
    <w:lvl w:ilvl="5" w:tentative="1">
      <w:start w:val="1"/>
      <w:numFmt w:val="bullet"/>
      <w:lvlText w:val=""/>
      <w:lvlJc w:val="left"/>
      <w:pPr>
        <w:tabs>
          <w:tab w:val="num" w:pos="6786"/>
        </w:tabs>
        <w:ind w:left="6786" w:hanging="360"/>
      </w:pPr>
      <w:rPr>
        <w:rFonts w:ascii="Wingdings" w:hAnsi="Wingdings" w:hint="default"/>
        <w:sz w:val="20"/>
      </w:rPr>
    </w:lvl>
    <w:lvl w:ilvl="6" w:tentative="1">
      <w:start w:val="1"/>
      <w:numFmt w:val="bullet"/>
      <w:lvlText w:val=""/>
      <w:lvlJc w:val="left"/>
      <w:pPr>
        <w:tabs>
          <w:tab w:val="num" w:pos="7506"/>
        </w:tabs>
        <w:ind w:left="7506" w:hanging="360"/>
      </w:pPr>
      <w:rPr>
        <w:rFonts w:ascii="Wingdings" w:hAnsi="Wingdings" w:hint="default"/>
        <w:sz w:val="20"/>
      </w:rPr>
    </w:lvl>
    <w:lvl w:ilvl="7" w:tentative="1">
      <w:start w:val="1"/>
      <w:numFmt w:val="bullet"/>
      <w:lvlText w:val=""/>
      <w:lvlJc w:val="left"/>
      <w:pPr>
        <w:tabs>
          <w:tab w:val="num" w:pos="8226"/>
        </w:tabs>
        <w:ind w:left="8226" w:hanging="360"/>
      </w:pPr>
      <w:rPr>
        <w:rFonts w:ascii="Wingdings" w:hAnsi="Wingdings" w:hint="default"/>
        <w:sz w:val="20"/>
      </w:rPr>
    </w:lvl>
    <w:lvl w:ilvl="8" w:tentative="1">
      <w:start w:val="1"/>
      <w:numFmt w:val="bullet"/>
      <w:lvlText w:val=""/>
      <w:lvlJc w:val="left"/>
      <w:pPr>
        <w:tabs>
          <w:tab w:val="num" w:pos="8946"/>
        </w:tabs>
        <w:ind w:left="8946" w:hanging="360"/>
      </w:pPr>
      <w:rPr>
        <w:rFonts w:ascii="Wingdings" w:hAnsi="Wingdings" w:hint="default"/>
        <w:sz w:val="20"/>
      </w:rPr>
    </w:lvl>
  </w:abstractNum>
  <w:abstractNum w:abstractNumId="22" w15:restartNumberingAfterBreak="0">
    <w:nsid w:val="7DC946E1"/>
    <w:multiLevelType w:val="hybridMultilevel"/>
    <w:tmpl w:val="D98071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3"/>
  </w:num>
  <w:num w:numId="3">
    <w:abstractNumId w:val="16"/>
  </w:num>
  <w:num w:numId="4">
    <w:abstractNumId w:val="9"/>
  </w:num>
  <w:num w:numId="5">
    <w:abstractNumId w:val="2"/>
  </w:num>
  <w:num w:numId="6">
    <w:abstractNumId w:val="10"/>
  </w:num>
  <w:num w:numId="7">
    <w:abstractNumId w:val="18"/>
  </w:num>
  <w:num w:numId="8">
    <w:abstractNumId w:val="6"/>
  </w:num>
  <w:num w:numId="9">
    <w:abstractNumId w:val="0"/>
  </w:num>
  <w:num w:numId="10">
    <w:abstractNumId w:val="1"/>
  </w:num>
  <w:num w:numId="11">
    <w:abstractNumId w:val="3"/>
  </w:num>
  <w:num w:numId="12">
    <w:abstractNumId w:val="22"/>
  </w:num>
  <w:num w:numId="13">
    <w:abstractNumId w:val="15"/>
  </w:num>
  <w:num w:numId="14">
    <w:abstractNumId w:val="5"/>
  </w:num>
  <w:num w:numId="15">
    <w:abstractNumId w:val="11"/>
  </w:num>
  <w:num w:numId="16">
    <w:abstractNumId w:val="19"/>
  </w:num>
  <w:num w:numId="17">
    <w:abstractNumId w:val="4"/>
  </w:num>
  <w:num w:numId="18">
    <w:abstractNumId w:val="14"/>
  </w:num>
  <w:num w:numId="19">
    <w:abstractNumId w:val="17"/>
  </w:num>
  <w:num w:numId="20">
    <w:abstractNumId w:val="8"/>
  </w:num>
  <w:num w:numId="21">
    <w:abstractNumId w:val="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zNrAwMzQ1NjQ2sTRV0lEKTi0uzszPAykwqwUAut5FoiwAAAA="/>
  </w:docVars>
  <w:rsids>
    <w:rsidRoot w:val="005A6A57"/>
    <w:rsid w:val="0000280B"/>
    <w:rsid w:val="00002D97"/>
    <w:rsid w:val="00003479"/>
    <w:rsid w:val="00003BB2"/>
    <w:rsid w:val="00004768"/>
    <w:rsid w:val="00005F90"/>
    <w:rsid w:val="00005FF9"/>
    <w:rsid w:val="00006169"/>
    <w:rsid w:val="0000681A"/>
    <w:rsid w:val="00007ABF"/>
    <w:rsid w:val="00007E59"/>
    <w:rsid w:val="0001087B"/>
    <w:rsid w:val="000125E1"/>
    <w:rsid w:val="00013FA6"/>
    <w:rsid w:val="00016A18"/>
    <w:rsid w:val="00016BA3"/>
    <w:rsid w:val="00021351"/>
    <w:rsid w:val="000232C2"/>
    <w:rsid w:val="000233C1"/>
    <w:rsid w:val="000248AA"/>
    <w:rsid w:val="00024CFA"/>
    <w:rsid w:val="000309C0"/>
    <w:rsid w:val="00032763"/>
    <w:rsid w:val="000413CA"/>
    <w:rsid w:val="000425D7"/>
    <w:rsid w:val="00042B95"/>
    <w:rsid w:val="00042CB0"/>
    <w:rsid w:val="00043788"/>
    <w:rsid w:val="00043D79"/>
    <w:rsid w:val="00044403"/>
    <w:rsid w:val="000447DE"/>
    <w:rsid w:val="00044FD4"/>
    <w:rsid w:val="00046731"/>
    <w:rsid w:val="000472C9"/>
    <w:rsid w:val="0004787F"/>
    <w:rsid w:val="00050061"/>
    <w:rsid w:val="0005083C"/>
    <w:rsid w:val="000518D7"/>
    <w:rsid w:val="00053192"/>
    <w:rsid w:val="0005369A"/>
    <w:rsid w:val="00053737"/>
    <w:rsid w:val="00054927"/>
    <w:rsid w:val="000570AC"/>
    <w:rsid w:val="000610D7"/>
    <w:rsid w:val="00061B14"/>
    <w:rsid w:val="00062AE2"/>
    <w:rsid w:val="00063F59"/>
    <w:rsid w:val="00063F73"/>
    <w:rsid w:val="00064E62"/>
    <w:rsid w:val="00065B49"/>
    <w:rsid w:val="000669E5"/>
    <w:rsid w:val="00067269"/>
    <w:rsid w:val="00067609"/>
    <w:rsid w:val="00072056"/>
    <w:rsid w:val="000722BE"/>
    <w:rsid w:val="000727E0"/>
    <w:rsid w:val="000732D4"/>
    <w:rsid w:val="000741CC"/>
    <w:rsid w:val="00076BDE"/>
    <w:rsid w:val="00077AA3"/>
    <w:rsid w:val="00081FCB"/>
    <w:rsid w:val="00082656"/>
    <w:rsid w:val="0008288D"/>
    <w:rsid w:val="00083524"/>
    <w:rsid w:val="000839EA"/>
    <w:rsid w:val="00083DEA"/>
    <w:rsid w:val="00087F51"/>
    <w:rsid w:val="0009077B"/>
    <w:rsid w:val="0009228E"/>
    <w:rsid w:val="00092AFB"/>
    <w:rsid w:val="00093280"/>
    <w:rsid w:val="00093B72"/>
    <w:rsid w:val="000950DA"/>
    <w:rsid w:val="000952AF"/>
    <w:rsid w:val="000966EC"/>
    <w:rsid w:val="0009687C"/>
    <w:rsid w:val="000A0F8C"/>
    <w:rsid w:val="000A1AEB"/>
    <w:rsid w:val="000A1CA9"/>
    <w:rsid w:val="000A4671"/>
    <w:rsid w:val="000A5987"/>
    <w:rsid w:val="000A6842"/>
    <w:rsid w:val="000A7178"/>
    <w:rsid w:val="000B1527"/>
    <w:rsid w:val="000B1585"/>
    <w:rsid w:val="000B4590"/>
    <w:rsid w:val="000B5B61"/>
    <w:rsid w:val="000B6CDD"/>
    <w:rsid w:val="000C0DAE"/>
    <w:rsid w:val="000C10C8"/>
    <w:rsid w:val="000C12A1"/>
    <w:rsid w:val="000C2277"/>
    <w:rsid w:val="000C4BE0"/>
    <w:rsid w:val="000C4F35"/>
    <w:rsid w:val="000C52C9"/>
    <w:rsid w:val="000C6252"/>
    <w:rsid w:val="000C668E"/>
    <w:rsid w:val="000D0FC0"/>
    <w:rsid w:val="000D13CE"/>
    <w:rsid w:val="000D149D"/>
    <w:rsid w:val="000D230F"/>
    <w:rsid w:val="000D4430"/>
    <w:rsid w:val="000D5443"/>
    <w:rsid w:val="000D7569"/>
    <w:rsid w:val="000D76B9"/>
    <w:rsid w:val="000E1742"/>
    <w:rsid w:val="000E220B"/>
    <w:rsid w:val="000E226A"/>
    <w:rsid w:val="000E3D26"/>
    <w:rsid w:val="000E5CBD"/>
    <w:rsid w:val="000E63B8"/>
    <w:rsid w:val="000F437A"/>
    <w:rsid w:val="000F4D41"/>
    <w:rsid w:val="000F4E19"/>
    <w:rsid w:val="001002FE"/>
    <w:rsid w:val="001011A5"/>
    <w:rsid w:val="001023D7"/>
    <w:rsid w:val="001034FE"/>
    <w:rsid w:val="00103DB5"/>
    <w:rsid w:val="0010563A"/>
    <w:rsid w:val="00105DBB"/>
    <w:rsid w:val="0010623B"/>
    <w:rsid w:val="001102C7"/>
    <w:rsid w:val="00112E89"/>
    <w:rsid w:val="00113D18"/>
    <w:rsid w:val="001146DD"/>
    <w:rsid w:val="0011560D"/>
    <w:rsid w:val="00115CCD"/>
    <w:rsid w:val="00116235"/>
    <w:rsid w:val="00122D71"/>
    <w:rsid w:val="001234AD"/>
    <w:rsid w:val="00123E60"/>
    <w:rsid w:val="00130DF1"/>
    <w:rsid w:val="001317FA"/>
    <w:rsid w:val="00131F68"/>
    <w:rsid w:val="00135819"/>
    <w:rsid w:val="00135C45"/>
    <w:rsid w:val="00135FF1"/>
    <w:rsid w:val="00137719"/>
    <w:rsid w:val="0014195D"/>
    <w:rsid w:val="00143EEB"/>
    <w:rsid w:val="001456B2"/>
    <w:rsid w:val="00147AAB"/>
    <w:rsid w:val="00150215"/>
    <w:rsid w:val="00150440"/>
    <w:rsid w:val="00151530"/>
    <w:rsid w:val="00151A56"/>
    <w:rsid w:val="001528FB"/>
    <w:rsid w:val="001537AC"/>
    <w:rsid w:val="001546F7"/>
    <w:rsid w:val="00155A4C"/>
    <w:rsid w:val="00155F17"/>
    <w:rsid w:val="00157E06"/>
    <w:rsid w:val="00160BD2"/>
    <w:rsid w:val="001613DA"/>
    <w:rsid w:val="00161D30"/>
    <w:rsid w:val="00162B32"/>
    <w:rsid w:val="00163D1A"/>
    <w:rsid w:val="00164603"/>
    <w:rsid w:val="00164B11"/>
    <w:rsid w:val="001657A4"/>
    <w:rsid w:val="00165988"/>
    <w:rsid w:val="00167A33"/>
    <w:rsid w:val="00167ED6"/>
    <w:rsid w:val="00170FCE"/>
    <w:rsid w:val="00172A15"/>
    <w:rsid w:val="00175AE0"/>
    <w:rsid w:val="00180C71"/>
    <w:rsid w:val="001824ED"/>
    <w:rsid w:val="00182989"/>
    <w:rsid w:val="0018348E"/>
    <w:rsid w:val="00183D8F"/>
    <w:rsid w:val="00185284"/>
    <w:rsid w:val="00191876"/>
    <w:rsid w:val="001931DF"/>
    <w:rsid w:val="00193EBD"/>
    <w:rsid w:val="0019651D"/>
    <w:rsid w:val="00196F7C"/>
    <w:rsid w:val="001977B9"/>
    <w:rsid w:val="001A2AF2"/>
    <w:rsid w:val="001A5D80"/>
    <w:rsid w:val="001B0423"/>
    <w:rsid w:val="001B0F15"/>
    <w:rsid w:val="001B1F9C"/>
    <w:rsid w:val="001B3067"/>
    <w:rsid w:val="001B402F"/>
    <w:rsid w:val="001B4684"/>
    <w:rsid w:val="001B4823"/>
    <w:rsid w:val="001B622E"/>
    <w:rsid w:val="001C1FCC"/>
    <w:rsid w:val="001C470A"/>
    <w:rsid w:val="001C6730"/>
    <w:rsid w:val="001C7BF5"/>
    <w:rsid w:val="001C7CE3"/>
    <w:rsid w:val="001D3076"/>
    <w:rsid w:val="001D5EE4"/>
    <w:rsid w:val="001D74B4"/>
    <w:rsid w:val="001E19B9"/>
    <w:rsid w:val="001E1EE1"/>
    <w:rsid w:val="001E6212"/>
    <w:rsid w:val="001E7BAE"/>
    <w:rsid w:val="001F0D8C"/>
    <w:rsid w:val="001F3BA2"/>
    <w:rsid w:val="001F42C8"/>
    <w:rsid w:val="001F463D"/>
    <w:rsid w:val="001F710D"/>
    <w:rsid w:val="001F76C0"/>
    <w:rsid w:val="0020479E"/>
    <w:rsid w:val="00205CBF"/>
    <w:rsid w:val="002067BA"/>
    <w:rsid w:val="00206BFA"/>
    <w:rsid w:val="0021593A"/>
    <w:rsid w:val="002162BF"/>
    <w:rsid w:val="00217C63"/>
    <w:rsid w:val="00220F56"/>
    <w:rsid w:val="00220FBB"/>
    <w:rsid w:val="002223C7"/>
    <w:rsid w:val="002226FC"/>
    <w:rsid w:val="00222D46"/>
    <w:rsid w:val="00222D4C"/>
    <w:rsid w:val="00224ACD"/>
    <w:rsid w:val="002252E7"/>
    <w:rsid w:val="00225DD5"/>
    <w:rsid w:val="00226A22"/>
    <w:rsid w:val="002278D9"/>
    <w:rsid w:val="0023063F"/>
    <w:rsid w:val="00231295"/>
    <w:rsid w:val="0023224A"/>
    <w:rsid w:val="00232FE9"/>
    <w:rsid w:val="0023427C"/>
    <w:rsid w:val="0024047B"/>
    <w:rsid w:val="00241AC8"/>
    <w:rsid w:val="002430A0"/>
    <w:rsid w:val="00243340"/>
    <w:rsid w:val="00243384"/>
    <w:rsid w:val="00244CE6"/>
    <w:rsid w:val="002471EA"/>
    <w:rsid w:val="00247A11"/>
    <w:rsid w:val="00254615"/>
    <w:rsid w:val="00255412"/>
    <w:rsid w:val="00256C62"/>
    <w:rsid w:val="002616D0"/>
    <w:rsid w:val="00261A60"/>
    <w:rsid w:val="00264B90"/>
    <w:rsid w:val="002667A9"/>
    <w:rsid w:val="002710EC"/>
    <w:rsid w:val="002725D9"/>
    <w:rsid w:val="002735C6"/>
    <w:rsid w:val="00274BE8"/>
    <w:rsid w:val="00275F07"/>
    <w:rsid w:val="00276198"/>
    <w:rsid w:val="002764E3"/>
    <w:rsid w:val="00280807"/>
    <w:rsid w:val="00282A6A"/>
    <w:rsid w:val="002830B7"/>
    <w:rsid w:val="00284480"/>
    <w:rsid w:val="0028652A"/>
    <w:rsid w:val="00287876"/>
    <w:rsid w:val="00292178"/>
    <w:rsid w:val="002928DC"/>
    <w:rsid w:val="002968FE"/>
    <w:rsid w:val="00296D78"/>
    <w:rsid w:val="002A2FDD"/>
    <w:rsid w:val="002A3285"/>
    <w:rsid w:val="002A37F6"/>
    <w:rsid w:val="002A634B"/>
    <w:rsid w:val="002A7CE9"/>
    <w:rsid w:val="002B3F01"/>
    <w:rsid w:val="002B55B1"/>
    <w:rsid w:val="002B646E"/>
    <w:rsid w:val="002B708A"/>
    <w:rsid w:val="002B73F3"/>
    <w:rsid w:val="002C0C23"/>
    <w:rsid w:val="002C0EE9"/>
    <w:rsid w:val="002C6680"/>
    <w:rsid w:val="002D12B0"/>
    <w:rsid w:val="002D2874"/>
    <w:rsid w:val="002D2BDD"/>
    <w:rsid w:val="002D3E76"/>
    <w:rsid w:val="002D643B"/>
    <w:rsid w:val="002D752F"/>
    <w:rsid w:val="002D7695"/>
    <w:rsid w:val="002E3632"/>
    <w:rsid w:val="002E4883"/>
    <w:rsid w:val="002E4961"/>
    <w:rsid w:val="002E49D5"/>
    <w:rsid w:val="002E70AD"/>
    <w:rsid w:val="002F0F72"/>
    <w:rsid w:val="002F1B3A"/>
    <w:rsid w:val="002F3930"/>
    <w:rsid w:val="002F4D50"/>
    <w:rsid w:val="002F6618"/>
    <w:rsid w:val="002F7475"/>
    <w:rsid w:val="00301820"/>
    <w:rsid w:val="00301B22"/>
    <w:rsid w:val="00302620"/>
    <w:rsid w:val="00304202"/>
    <w:rsid w:val="00307A47"/>
    <w:rsid w:val="00311860"/>
    <w:rsid w:val="00311A1E"/>
    <w:rsid w:val="00312A03"/>
    <w:rsid w:val="00312C13"/>
    <w:rsid w:val="00316167"/>
    <w:rsid w:val="00317CA7"/>
    <w:rsid w:val="0032006A"/>
    <w:rsid w:val="003203CA"/>
    <w:rsid w:val="00321482"/>
    <w:rsid w:val="003215BE"/>
    <w:rsid w:val="0032351E"/>
    <w:rsid w:val="00324F10"/>
    <w:rsid w:val="00325E2A"/>
    <w:rsid w:val="0033228C"/>
    <w:rsid w:val="003363AE"/>
    <w:rsid w:val="003407A5"/>
    <w:rsid w:val="00345769"/>
    <w:rsid w:val="00345C2A"/>
    <w:rsid w:val="00346770"/>
    <w:rsid w:val="00346784"/>
    <w:rsid w:val="003467A9"/>
    <w:rsid w:val="0034713C"/>
    <w:rsid w:val="00350369"/>
    <w:rsid w:val="003510C8"/>
    <w:rsid w:val="00353B62"/>
    <w:rsid w:val="003540B5"/>
    <w:rsid w:val="00354E14"/>
    <w:rsid w:val="00356DBD"/>
    <w:rsid w:val="00357B58"/>
    <w:rsid w:val="0036082B"/>
    <w:rsid w:val="00365BA5"/>
    <w:rsid w:val="003666DD"/>
    <w:rsid w:val="003673D4"/>
    <w:rsid w:val="00370E70"/>
    <w:rsid w:val="00371C58"/>
    <w:rsid w:val="0037446B"/>
    <w:rsid w:val="003748F1"/>
    <w:rsid w:val="003753CA"/>
    <w:rsid w:val="00375C00"/>
    <w:rsid w:val="00377167"/>
    <w:rsid w:val="00384191"/>
    <w:rsid w:val="00387CE8"/>
    <w:rsid w:val="003904EB"/>
    <w:rsid w:val="0039065F"/>
    <w:rsid w:val="00390DE8"/>
    <w:rsid w:val="00393120"/>
    <w:rsid w:val="003933DF"/>
    <w:rsid w:val="0039409A"/>
    <w:rsid w:val="003963FA"/>
    <w:rsid w:val="003976AE"/>
    <w:rsid w:val="003A205E"/>
    <w:rsid w:val="003A346A"/>
    <w:rsid w:val="003A35B7"/>
    <w:rsid w:val="003A7B58"/>
    <w:rsid w:val="003B203A"/>
    <w:rsid w:val="003B4581"/>
    <w:rsid w:val="003B4A61"/>
    <w:rsid w:val="003B4DF5"/>
    <w:rsid w:val="003C086D"/>
    <w:rsid w:val="003C1675"/>
    <w:rsid w:val="003C202F"/>
    <w:rsid w:val="003C38D7"/>
    <w:rsid w:val="003C70FA"/>
    <w:rsid w:val="003C7348"/>
    <w:rsid w:val="003D10C2"/>
    <w:rsid w:val="003D1DF9"/>
    <w:rsid w:val="003D3194"/>
    <w:rsid w:val="003D3292"/>
    <w:rsid w:val="003D344A"/>
    <w:rsid w:val="003D34A3"/>
    <w:rsid w:val="003D51FD"/>
    <w:rsid w:val="003D56C6"/>
    <w:rsid w:val="003D5FE7"/>
    <w:rsid w:val="003D61F8"/>
    <w:rsid w:val="003D6DBD"/>
    <w:rsid w:val="003E0084"/>
    <w:rsid w:val="003E397A"/>
    <w:rsid w:val="003E39E6"/>
    <w:rsid w:val="003E3E58"/>
    <w:rsid w:val="003E48A8"/>
    <w:rsid w:val="003E4A9F"/>
    <w:rsid w:val="003E6CB3"/>
    <w:rsid w:val="003F02EF"/>
    <w:rsid w:val="003F194A"/>
    <w:rsid w:val="003F2435"/>
    <w:rsid w:val="003F3A5B"/>
    <w:rsid w:val="003F3C1A"/>
    <w:rsid w:val="003F3ED7"/>
    <w:rsid w:val="003F4030"/>
    <w:rsid w:val="003F64CB"/>
    <w:rsid w:val="003F7B0F"/>
    <w:rsid w:val="0040176E"/>
    <w:rsid w:val="0040380C"/>
    <w:rsid w:val="00407518"/>
    <w:rsid w:val="00407C32"/>
    <w:rsid w:val="00407CA7"/>
    <w:rsid w:val="00411A12"/>
    <w:rsid w:val="0041211D"/>
    <w:rsid w:val="00414848"/>
    <w:rsid w:val="004166B5"/>
    <w:rsid w:val="00416925"/>
    <w:rsid w:val="004171D8"/>
    <w:rsid w:val="004204AC"/>
    <w:rsid w:val="004206CC"/>
    <w:rsid w:val="004207D2"/>
    <w:rsid w:val="0042303B"/>
    <w:rsid w:val="0042319B"/>
    <w:rsid w:val="00423B65"/>
    <w:rsid w:val="00425094"/>
    <w:rsid w:val="004253D5"/>
    <w:rsid w:val="004270E5"/>
    <w:rsid w:val="00430A47"/>
    <w:rsid w:val="004331C6"/>
    <w:rsid w:val="004336C6"/>
    <w:rsid w:val="0043516D"/>
    <w:rsid w:val="00440337"/>
    <w:rsid w:val="00440A49"/>
    <w:rsid w:val="00444A9F"/>
    <w:rsid w:val="00444D3F"/>
    <w:rsid w:val="004457A8"/>
    <w:rsid w:val="00447B94"/>
    <w:rsid w:val="0045275C"/>
    <w:rsid w:val="00452BF5"/>
    <w:rsid w:val="00453076"/>
    <w:rsid w:val="00453322"/>
    <w:rsid w:val="00453CF8"/>
    <w:rsid w:val="004559F5"/>
    <w:rsid w:val="0045635C"/>
    <w:rsid w:val="004564C1"/>
    <w:rsid w:val="00456573"/>
    <w:rsid w:val="00456D5B"/>
    <w:rsid w:val="004577A7"/>
    <w:rsid w:val="00457CA2"/>
    <w:rsid w:val="0046173B"/>
    <w:rsid w:val="004622A6"/>
    <w:rsid w:val="00462E17"/>
    <w:rsid w:val="0046323B"/>
    <w:rsid w:val="004641BE"/>
    <w:rsid w:val="004645A4"/>
    <w:rsid w:val="004667FB"/>
    <w:rsid w:val="00467872"/>
    <w:rsid w:val="004703BE"/>
    <w:rsid w:val="00477785"/>
    <w:rsid w:val="00477D0A"/>
    <w:rsid w:val="00480A33"/>
    <w:rsid w:val="0048295D"/>
    <w:rsid w:val="00484770"/>
    <w:rsid w:val="0049062E"/>
    <w:rsid w:val="0049249D"/>
    <w:rsid w:val="004929D6"/>
    <w:rsid w:val="00493717"/>
    <w:rsid w:val="004A0354"/>
    <w:rsid w:val="004A1D4B"/>
    <w:rsid w:val="004A72F5"/>
    <w:rsid w:val="004A7961"/>
    <w:rsid w:val="004B10CA"/>
    <w:rsid w:val="004B28FA"/>
    <w:rsid w:val="004B2E2D"/>
    <w:rsid w:val="004C0424"/>
    <w:rsid w:val="004C225B"/>
    <w:rsid w:val="004C3B53"/>
    <w:rsid w:val="004C3C66"/>
    <w:rsid w:val="004C4751"/>
    <w:rsid w:val="004C626A"/>
    <w:rsid w:val="004C7343"/>
    <w:rsid w:val="004D302D"/>
    <w:rsid w:val="004D37FF"/>
    <w:rsid w:val="004D6167"/>
    <w:rsid w:val="004D7E5C"/>
    <w:rsid w:val="004E1037"/>
    <w:rsid w:val="004E1628"/>
    <w:rsid w:val="004E38F8"/>
    <w:rsid w:val="004E58F9"/>
    <w:rsid w:val="004E5BED"/>
    <w:rsid w:val="004E620E"/>
    <w:rsid w:val="004E66B7"/>
    <w:rsid w:val="004E7FE7"/>
    <w:rsid w:val="004F046F"/>
    <w:rsid w:val="004F100A"/>
    <w:rsid w:val="004F29ED"/>
    <w:rsid w:val="004F2CD2"/>
    <w:rsid w:val="004F5F4C"/>
    <w:rsid w:val="00500782"/>
    <w:rsid w:val="005009AF"/>
    <w:rsid w:val="00506C7A"/>
    <w:rsid w:val="00515A4D"/>
    <w:rsid w:val="005169FE"/>
    <w:rsid w:val="00523ACE"/>
    <w:rsid w:val="00524158"/>
    <w:rsid w:val="00526E5E"/>
    <w:rsid w:val="005273C2"/>
    <w:rsid w:val="00527535"/>
    <w:rsid w:val="00527D52"/>
    <w:rsid w:val="00531E5A"/>
    <w:rsid w:val="00532D7B"/>
    <w:rsid w:val="00532E3C"/>
    <w:rsid w:val="00534B37"/>
    <w:rsid w:val="00534DBD"/>
    <w:rsid w:val="0053591D"/>
    <w:rsid w:val="00542A99"/>
    <w:rsid w:val="00542BEC"/>
    <w:rsid w:val="00543569"/>
    <w:rsid w:val="00551D5D"/>
    <w:rsid w:val="00553E8C"/>
    <w:rsid w:val="00553FC0"/>
    <w:rsid w:val="0055792F"/>
    <w:rsid w:val="0056026F"/>
    <w:rsid w:val="00560414"/>
    <w:rsid w:val="00560E08"/>
    <w:rsid w:val="005652F6"/>
    <w:rsid w:val="00565E0D"/>
    <w:rsid w:val="00573FC8"/>
    <w:rsid w:val="00575AD2"/>
    <w:rsid w:val="005764F9"/>
    <w:rsid w:val="0057738B"/>
    <w:rsid w:val="00581CF9"/>
    <w:rsid w:val="00583450"/>
    <w:rsid w:val="0058391B"/>
    <w:rsid w:val="005853C9"/>
    <w:rsid w:val="00586671"/>
    <w:rsid w:val="0058750A"/>
    <w:rsid w:val="005900EF"/>
    <w:rsid w:val="0059250F"/>
    <w:rsid w:val="00592926"/>
    <w:rsid w:val="005A002B"/>
    <w:rsid w:val="005A1C5D"/>
    <w:rsid w:val="005A4AD1"/>
    <w:rsid w:val="005A6582"/>
    <w:rsid w:val="005A6A57"/>
    <w:rsid w:val="005A6A5B"/>
    <w:rsid w:val="005A6BC8"/>
    <w:rsid w:val="005B1EF9"/>
    <w:rsid w:val="005B20FB"/>
    <w:rsid w:val="005B23F2"/>
    <w:rsid w:val="005B38CD"/>
    <w:rsid w:val="005B3A93"/>
    <w:rsid w:val="005B59B4"/>
    <w:rsid w:val="005B73AE"/>
    <w:rsid w:val="005C1686"/>
    <w:rsid w:val="005C1F1E"/>
    <w:rsid w:val="005C52FA"/>
    <w:rsid w:val="005C6759"/>
    <w:rsid w:val="005C6B4A"/>
    <w:rsid w:val="005C70D8"/>
    <w:rsid w:val="005C7467"/>
    <w:rsid w:val="005C7864"/>
    <w:rsid w:val="005C7A85"/>
    <w:rsid w:val="005D1C83"/>
    <w:rsid w:val="005D3053"/>
    <w:rsid w:val="005D46FE"/>
    <w:rsid w:val="005D50C0"/>
    <w:rsid w:val="005D7C95"/>
    <w:rsid w:val="005D7D96"/>
    <w:rsid w:val="005D7E9D"/>
    <w:rsid w:val="005E52D6"/>
    <w:rsid w:val="005F05CE"/>
    <w:rsid w:val="005F0C99"/>
    <w:rsid w:val="005F3359"/>
    <w:rsid w:val="005F3EDE"/>
    <w:rsid w:val="005F4416"/>
    <w:rsid w:val="005F4A2A"/>
    <w:rsid w:val="005F6563"/>
    <w:rsid w:val="005F70FA"/>
    <w:rsid w:val="00601B6C"/>
    <w:rsid w:val="00602C74"/>
    <w:rsid w:val="00604032"/>
    <w:rsid w:val="00605F18"/>
    <w:rsid w:val="00606394"/>
    <w:rsid w:val="00610C70"/>
    <w:rsid w:val="006112B6"/>
    <w:rsid w:val="0061142F"/>
    <w:rsid w:val="00614DF4"/>
    <w:rsid w:val="0061547F"/>
    <w:rsid w:val="00620DA4"/>
    <w:rsid w:val="00623B81"/>
    <w:rsid w:val="00623C45"/>
    <w:rsid w:val="00623D71"/>
    <w:rsid w:val="00623F74"/>
    <w:rsid w:val="006250D9"/>
    <w:rsid w:val="006255E5"/>
    <w:rsid w:val="006339CB"/>
    <w:rsid w:val="00643489"/>
    <w:rsid w:val="00644CE3"/>
    <w:rsid w:val="006451B9"/>
    <w:rsid w:val="006467EE"/>
    <w:rsid w:val="00647152"/>
    <w:rsid w:val="00653201"/>
    <w:rsid w:val="00653480"/>
    <w:rsid w:val="00653F0F"/>
    <w:rsid w:val="0065638C"/>
    <w:rsid w:val="00656705"/>
    <w:rsid w:val="006611D5"/>
    <w:rsid w:val="006618B7"/>
    <w:rsid w:val="00665580"/>
    <w:rsid w:val="00666F90"/>
    <w:rsid w:val="0067399D"/>
    <w:rsid w:val="00675823"/>
    <w:rsid w:val="00676D1A"/>
    <w:rsid w:val="00677361"/>
    <w:rsid w:val="006817C2"/>
    <w:rsid w:val="00682943"/>
    <w:rsid w:val="00683986"/>
    <w:rsid w:val="0068463A"/>
    <w:rsid w:val="00685C4B"/>
    <w:rsid w:val="00685F24"/>
    <w:rsid w:val="00686E22"/>
    <w:rsid w:val="0069002F"/>
    <w:rsid w:val="00692D71"/>
    <w:rsid w:val="00693766"/>
    <w:rsid w:val="006965FE"/>
    <w:rsid w:val="00697458"/>
    <w:rsid w:val="006A0B96"/>
    <w:rsid w:val="006A0F46"/>
    <w:rsid w:val="006A1858"/>
    <w:rsid w:val="006A296E"/>
    <w:rsid w:val="006A354F"/>
    <w:rsid w:val="006A6D82"/>
    <w:rsid w:val="006A70C0"/>
    <w:rsid w:val="006B18C7"/>
    <w:rsid w:val="006B1C5F"/>
    <w:rsid w:val="006B1E28"/>
    <w:rsid w:val="006B5014"/>
    <w:rsid w:val="006B6E50"/>
    <w:rsid w:val="006B783F"/>
    <w:rsid w:val="006C0363"/>
    <w:rsid w:val="006C1558"/>
    <w:rsid w:val="006C6913"/>
    <w:rsid w:val="006D18A0"/>
    <w:rsid w:val="006D18B8"/>
    <w:rsid w:val="006D58D2"/>
    <w:rsid w:val="006D59FC"/>
    <w:rsid w:val="006D6418"/>
    <w:rsid w:val="006D784F"/>
    <w:rsid w:val="006D7EFC"/>
    <w:rsid w:val="006E5047"/>
    <w:rsid w:val="006E5995"/>
    <w:rsid w:val="006E6915"/>
    <w:rsid w:val="006E6C33"/>
    <w:rsid w:val="006E71C8"/>
    <w:rsid w:val="006E74C4"/>
    <w:rsid w:val="006F14CB"/>
    <w:rsid w:val="006F2453"/>
    <w:rsid w:val="006F2F0C"/>
    <w:rsid w:val="006F3BA7"/>
    <w:rsid w:val="006F69B8"/>
    <w:rsid w:val="00700BC2"/>
    <w:rsid w:val="00701298"/>
    <w:rsid w:val="0070332C"/>
    <w:rsid w:val="00705247"/>
    <w:rsid w:val="00712CF8"/>
    <w:rsid w:val="00714AD6"/>
    <w:rsid w:val="00716E2B"/>
    <w:rsid w:val="00720E5A"/>
    <w:rsid w:val="00721DC0"/>
    <w:rsid w:val="007275B9"/>
    <w:rsid w:val="00730909"/>
    <w:rsid w:val="00730B7B"/>
    <w:rsid w:val="0073150E"/>
    <w:rsid w:val="00732F71"/>
    <w:rsid w:val="007375B5"/>
    <w:rsid w:val="00741AF4"/>
    <w:rsid w:val="007425BF"/>
    <w:rsid w:val="00746880"/>
    <w:rsid w:val="0075073F"/>
    <w:rsid w:val="007515A4"/>
    <w:rsid w:val="0075274B"/>
    <w:rsid w:val="00753B1A"/>
    <w:rsid w:val="0075531A"/>
    <w:rsid w:val="00755521"/>
    <w:rsid w:val="00755905"/>
    <w:rsid w:val="0075765A"/>
    <w:rsid w:val="007600BF"/>
    <w:rsid w:val="00761870"/>
    <w:rsid w:val="00761A2E"/>
    <w:rsid w:val="007632F0"/>
    <w:rsid w:val="007648C9"/>
    <w:rsid w:val="00764D77"/>
    <w:rsid w:val="00765C2B"/>
    <w:rsid w:val="00765ECD"/>
    <w:rsid w:val="00765F56"/>
    <w:rsid w:val="00766E10"/>
    <w:rsid w:val="00766E9E"/>
    <w:rsid w:val="00767300"/>
    <w:rsid w:val="00767966"/>
    <w:rsid w:val="00767BD0"/>
    <w:rsid w:val="00767FD0"/>
    <w:rsid w:val="00770EDA"/>
    <w:rsid w:val="00771C07"/>
    <w:rsid w:val="0077259D"/>
    <w:rsid w:val="007743E0"/>
    <w:rsid w:val="00776AD6"/>
    <w:rsid w:val="00784166"/>
    <w:rsid w:val="0078446F"/>
    <w:rsid w:val="00785902"/>
    <w:rsid w:val="0079133B"/>
    <w:rsid w:val="00791504"/>
    <w:rsid w:val="007923B4"/>
    <w:rsid w:val="00796066"/>
    <w:rsid w:val="00796943"/>
    <w:rsid w:val="00797A00"/>
    <w:rsid w:val="007A10C9"/>
    <w:rsid w:val="007A1F71"/>
    <w:rsid w:val="007A3268"/>
    <w:rsid w:val="007A3E97"/>
    <w:rsid w:val="007A4199"/>
    <w:rsid w:val="007A493A"/>
    <w:rsid w:val="007A62C6"/>
    <w:rsid w:val="007A6A01"/>
    <w:rsid w:val="007A7B6D"/>
    <w:rsid w:val="007B0ECC"/>
    <w:rsid w:val="007B2772"/>
    <w:rsid w:val="007B4850"/>
    <w:rsid w:val="007B5E2B"/>
    <w:rsid w:val="007B73BD"/>
    <w:rsid w:val="007B745C"/>
    <w:rsid w:val="007C0CC8"/>
    <w:rsid w:val="007C2160"/>
    <w:rsid w:val="007C2BE7"/>
    <w:rsid w:val="007C2CB7"/>
    <w:rsid w:val="007C30A0"/>
    <w:rsid w:val="007C4182"/>
    <w:rsid w:val="007C4E6D"/>
    <w:rsid w:val="007D0844"/>
    <w:rsid w:val="007D2044"/>
    <w:rsid w:val="007D272B"/>
    <w:rsid w:val="007D3678"/>
    <w:rsid w:val="007D5354"/>
    <w:rsid w:val="007E3594"/>
    <w:rsid w:val="007E6677"/>
    <w:rsid w:val="007F0135"/>
    <w:rsid w:val="007F2028"/>
    <w:rsid w:val="007F2DC2"/>
    <w:rsid w:val="007F3E20"/>
    <w:rsid w:val="007F3EC0"/>
    <w:rsid w:val="007F508A"/>
    <w:rsid w:val="007F5304"/>
    <w:rsid w:val="007F5E99"/>
    <w:rsid w:val="007F6083"/>
    <w:rsid w:val="007F724A"/>
    <w:rsid w:val="007F72ED"/>
    <w:rsid w:val="008010DE"/>
    <w:rsid w:val="008026E6"/>
    <w:rsid w:val="00803474"/>
    <w:rsid w:val="00804AF0"/>
    <w:rsid w:val="00805E28"/>
    <w:rsid w:val="008078B6"/>
    <w:rsid w:val="0081141D"/>
    <w:rsid w:val="008122D9"/>
    <w:rsid w:val="00814B24"/>
    <w:rsid w:val="0081512A"/>
    <w:rsid w:val="008155DD"/>
    <w:rsid w:val="008156BB"/>
    <w:rsid w:val="0081636A"/>
    <w:rsid w:val="00816504"/>
    <w:rsid w:val="00816B88"/>
    <w:rsid w:val="00821B2E"/>
    <w:rsid w:val="00822145"/>
    <w:rsid w:val="00822675"/>
    <w:rsid w:val="0082484B"/>
    <w:rsid w:val="00826C10"/>
    <w:rsid w:val="00827109"/>
    <w:rsid w:val="00830E7E"/>
    <w:rsid w:val="008335AF"/>
    <w:rsid w:val="008408BA"/>
    <w:rsid w:val="00840EB0"/>
    <w:rsid w:val="0084316B"/>
    <w:rsid w:val="0084360F"/>
    <w:rsid w:val="008503C3"/>
    <w:rsid w:val="00850F66"/>
    <w:rsid w:val="00852F5F"/>
    <w:rsid w:val="0085303B"/>
    <w:rsid w:val="00853597"/>
    <w:rsid w:val="008535C4"/>
    <w:rsid w:val="00853DD0"/>
    <w:rsid w:val="008543F1"/>
    <w:rsid w:val="00855CC8"/>
    <w:rsid w:val="00856DAD"/>
    <w:rsid w:val="00857A1D"/>
    <w:rsid w:val="00857D08"/>
    <w:rsid w:val="0086211A"/>
    <w:rsid w:val="0086215E"/>
    <w:rsid w:val="0086294C"/>
    <w:rsid w:val="0086320E"/>
    <w:rsid w:val="00864EAE"/>
    <w:rsid w:val="00870AFE"/>
    <w:rsid w:val="00870E65"/>
    <w:rsid w:val="00872D10"/>
    <w:rsid w:val="00873DCD"/>
    <w:rsid w:val="00876C42"/>
    <w:rsid w:val="008775BE"/>
    <w:rsid w:val="008778D7"/>
    <w:rsid w:val="008830E3"/>
    <w:rsid w:val="00885158"/>
    <w:rsid w:val="00885C87"/>
    <w:rsid w:val="00886CA1"/>
    <w:rsid w:val="00887550"/>
    <w:rsid w:val="008908A7"/>
    <w:rsid w:val="00893588"/>
    <w:rsid w:val="00894412"/>
    <w:rsid w:val="00895B42"/>
    <w:rsid w:val="00897632"/>
    <w:rsid w:val="00897CD9"/>
    <w:rsid w:val="008A07C2"/>
    <w:rsid w:val="008A3019"/>
    <w:rsid w:val="008A4D14"/>
    <w:rsid w:val="008A5B72"/>
    <w:rsid w:val="008A71A7"/>
    <w:rsid w:val="008B12A5"/>
    <w:rsid w:val="008B13D8"/>
    <w:rsid w:val="008B24A3"/>
    <w:rsid w:val="008B2A46"/>
    <w:rsid w:val="008B3816"/>
    <w:rsid w:val="008B3EA1"/>
    <w:rsid w:val="008B53CE"/>
    <w:rsid w:val="008B5D4A"/>
    <w:rsid w:val="008B6B3D"/>
    <w:rsid w:val="008C1035"/>
    <w:rsid w:val="008C25DD"/>
    <w:rsid w:val="008C2AD4"/>
    <w:rsid w:val="008C3823"/>
    <w:rsid w:val="008C3B97"/>
    <w:rsid w:val="008C5049"/>
    <w:rsid w:val="008C50CE"/>
    <w:rsid w:val="008C5D23"/>
    <w:rsid w:val="008C649B"/>
    <w:rsid w:val="008C66C4"/>
    <w:rsid w:val="008C7B70"/>
    <w:rsid w:val="008C7F9F"/>
    <w:rsid w:val="008D01DB"/>
    <w:rsid w:val="008D0EDD"/>
    <w:rsid w:val="008D1374"/>
    <w:rsid w:val="008D151A"/>
    <w:rsid w:val="008D1E22"/>
    <w:rsid w:val="008D24C3"/>
    <w:rsid w:val="008D5D77"/>
    <w:rsid w:val="008D65E5"/>
    <w:rsid w:val="008E0667"/>
    <w:rsid w:val="008E15F0"/>
    <w:rsid w:val="008E2379"/>
    <w:rsid w:val="008E3869"/>
    <w:rsid w:val="008E3EA2"/>
    <w:rsid w:val="008E4412"/>
    <w:rsid w:val="008E4DF1"/>
    <w:rsid w:val="008E5701"/>
    <w:rsid w:val="008E7547"/>
    <w:rsid w:val="008F0028"/>
    <w:rsid w:val="008F0799"/>
    <w:rsid w:val="008F0839"/>
    <w:rsid w:val="008F0B9F"/>
    <w:rsid w:val="008F1265"/>
    <w:rsid w:val="008F2058"/>
    <w:rsid w:val="008F3089"/>
    <w:rsid w:val="008F6C62"/>
    <w:rsid w:val="0090110A"/>
    <w:rsid w:val="0090278D"/>
    <w:rsid w:val="00903C9E"/>
    <w:rsid w:val="0090666D"/>
    <w:rsid w:val="00906827"/>
    <w:rsid w:val="009068C4"/>
    <w:rsid w:val="00906B5B"/>
    <w:rsid w:val="00906BC5"/>
    <w:rsid w:val="00910814"/>
    <w:rsid w:val="00911917"/>
    <w:rsid w:val="009120A8"/>
    <w:rsid w:val="00916A02"/>
    <w:rsid w:val="00917AB9"/>
    <w:rsid w:val="00920B56"/>
    <w:rsid w:val="00920B8F"/>
    <w:rsid w:val="0092109B"/>
    <w:rsid w:val="00921918"/>
    <w:rsid w:val="00927C17"/>
    <w:rsid w:val="0093142C"/>
    <w:rsid w:val="00931ACC"/>
    <w:rsid w:val="00934291"/>
    <w:rsid w:val="00934367"/>
    <w:rsid w:val="00934FDC"/>
    <w:rsid w:val="00934FE8"/>
    <w:rsid w:val="009454C6"/>
    <w:rsid w:val="00950B6A"/>
    <w:rsid w:val="00952026"/>
    <w:rsid w:val="009530C8"/>
    <w:rsid w:val="00954843"/>
    <w:rsid w:val="009557C8"/>
    <w:rsid w:val="00955A2A"/>
    <w:rsid w:val="00956AE3"/>
    <w:rsid w:val="00957780"/>
    <w:rsid w:val="009606EE"/>
    <w:rsid w:val="00961639"/>
    <w:rsid w:val="00962559"/>
    <w:rsid w:val="0096541B"/>
    <w:rsid w:val="00966591"/>
    <w:rsid w:val="00976597"/>
    <w:rsid w:val="009800A8"/>
    <w:rsid w:val="0098101D"/>
    <w:rsid w:val="0098211E"/>
    <w:rsid w:val="00982645"/>
    <w:rsid w:val="009828AD"/>
    <w:rsid w:val="009837CD"/>
    <w:rsid w:val="00983A97"/>
    <w:rsid w:val="0098443C"/>
    <w:rsid w:val="00984921"/>
    <w:rsid w:val="00985366"/>
    <w:rsid w:val="0098597D"/>
    <w:rsid w:val="00987775"/>
    <w:rsid w:val="00994128"/>
    <w:rsid w:val="00997281"/>
    <w:rsid w:val="0099757A"/>
    <w:rsid w:val="009A1201"/>
    <w:rsid w:val="009A12F8"/>
    <w:rsid w:val="009A155F"/>
    <w:rsid w:val="009A2532"/>
    <w:rsid w:val="009A2BE3"/>
    <w:rsid w:val="009A33CE"/>
    <w:rsid w:val="009A6774"/>
    <w:rsid w:val="009B333F"/>
    <w:rsid w:val="009B369F"/>
    <w:rsid w:val="009B47A4"/>
    <w:rsid w:val="009B6F16"/>
    <w:rsid w:val="009C12DA"/>
    <w:rsid w:val="009C1A94"/>
    <w:rsid w:val="009C1FE8"/>
    <w:rsid w:val="009C489C"/>
    <w:rsid w:val="009C5110"/>
    <w:rsid w:val="009C601C"/>
    <w:rsid w:val="009D0682"/>
    <w:rsid w:val="009D28F7"/>
    <w:rsid w:val="009D2CB8"/>
    <w:rsid w:val="009D3899"/>
    <w:rsid w:val="009D4D4B"/>
    <w:rsid w:val="009D5158"/>
    <w:rsid w:val="009D7C65"/>
    <w:rsid w:val="009E20B3"/>
    <w:rsid w:val="009E2969"/>
    <w:rsid w:val="009E422E"/>
    <w:rsid w:val="009E469A"/>
    <w:rsid w:val="009E4712"/>
    <w:rsid w:val="009E5280"/>
    <w:rsid w:val="009E551F"/>
    <w:rsid w:val="009E5837"/>
    <w:rsid w:val="009E640F"/>
    <w:rsid w:val="009E6D9B"/>
    <w:rsid w:val="009E73F8"/>
    <w:rsid w:val="009F1094"/>
    <w:rsid w:val="009F332C"/>
    <w:rsid w:val="009F33B4"/>
    <w:rsid w:val="009F469D"/>
    <w:rsid w:val="009F7081"/>
    <w:rsid w:val="00A01D2E"/>
    <w:rsid w:val="00A05F29"/>
    <w:rsid w:val="00A0626B"/>
    <w:rsid w:val="00A06E02"/>
    <w:rsid w:val="00A06FAF"/>
    <w:rsid w:val="00A074D6"/>
    <w:rsid w:val="00A07A80"/>
    <w:rsid w:val="00A07FD9"/>
    <w:rsid w:val="00A1240B"/>
    <w:rsid w:val="00A12DD9"/>
    <w:rsid w:val="00A12FDB"/>
    <w:rsid w:val="00A136D0"/>
    <w:rsid w:val="00A13933"/>
    <w:rsid w:val="00A14DF1"/>
    <w:rsid w:val="00A16AD2"/>
    <w:rsid w:val="00A17120"/>
    <w:rsid w:val="00A20DFC"/>
    <w:rsid w:val="00A23B85"/>
    <w:rsid w:val="00A26A69"/>
    <w:rsid w:val="00A32E9C"/>
    <w:rsid w:val="00A32F6B"/>
    <w:rsid w:val="00A35DB9"/>
    <w:rsid w:val="00A438E8"/>
    <w:rsid w:val="00A44F81"/>
    <w:rsid w:val="00A451D5"/>
    <w:rsid w:val="00A45E8F"/>
    <w:rsid w:val="00A469D9"/>
    <w:rsid w:val="00A503F9"/>
    <w:rsid w:val="00A51D74"/>
    <w:rsid w:val="00A53234"/>
    <w:rsid w:val="00A54B84"/>
    <w:rsid w:val="00A55286"/>
    <w:rsid w:val="00A56367"/>
    <w:rsid w:val="00A56CD4"/>
    <w:rsid w:val="00A578AF"/>
    <w:rsid w:val="00A6003C"/>
    <w:rsid w:val="00A63A16"/>
    <w:rsid w:val="00A64F29"/>
    <w:rsid w:val="00A67B76"/>
    <w:rsid w:val="00A704D7"/>
    <w:rsid w:val="00A70EA2"/>
    <w:rsid w:val="00A70EBE"/>
    <w:rsid w:val="00A71C7D"/>
    <w:rsid w:val="00A76F35"/>
    <w:rsid w:val="00A82496"/>
    <w:rsid w:val="00A8355A"/>
    <w:rsid w:val="00A835E4"/>
    <w:rsid w:val="00A838B0"/>
    <w:rsid w:val="00A83AB6"/>
    <w:rsid w:val="00A85756"/>
    <w:rsid w:val="00A85C64"/>
    <w:rsid w:val="00A9083C"/>
    <w:rsid w:val="00A92EAC"/>
    <w:rsid w:val="00A933D8"/>
    <w:rsid w:val="00A96212"/>
    <w:rsid w:val="00A9677F"/>
    <w:rsid w:val="00A978F3"/>
    <w:rsid w:val="00AA1085"/>
    <w:rsid w:val="00AA1949"/>
    <w:rsid w:val="00AA20D5"/>
    <w:rsid w:val="00AA29EB"/>
    <w:rsid w:val="00AA6604"/>
    <w:rsid w:val="00AB21D8"/>
    <w:rsid w:val="00AB31E6"/>
    <w:rsid w:val="00AB3AAD"/>
    <w:rsid w:val="00AB3B72"/>
    <w:rsid w:val="00AB41E4"/>
    <w:rsid w:val="00AB440B"/>
    <w:rsid w:val="00AB4DE2"/>
    <w:rsid w:val="00AB4DFD"/>
    <w:rsid w:val="00AB6D85"/>
    <w:rsid w:val="00AB7BD0"/>
    <w:rsid w:val="00AB7E61"/>
    <w:rsid w:val="00AC30C4"/>
    <w:rsid w:val="00AC3ADE"/>
    <w:rsid w:val="00AC4F51"/>
    <w:rsid w:val="00AD0BC7"/>
    <w:rsid w:val="00AD25FE"/>
    <w:rsid w:val="00AD4DC3"/>
    <w:rsid w:val="00AD53FD"/>
    <w:rsid w:val="00AD5EEE"/>
    <w:rsid w:val="00AD78D2"/>
    <w:rsid w:val="00AE1867"/>
    <w:rsid w:val="00AE684B"/>
    <w:rsid w:val="00AE6B72"/>
    <w:rsid w:val="00AE703C"/>
    <w:rsid w:val="00AF0DCE"/>
    <w:rsid w:val="00AF104D"/>
    <w:rsid w:val="00AF3627"/>
    <w:rsid w:val="00AF4322"/>
    <w:rsid w:val="00AF43FD"/>
    <w:rsid w:val="00AF4E53"/>
    <w:rsid w:val="00AF6B10"/>
    <w:rsid w:val="00B00D69"/>
    <w:rsid w:val="00B01BE1"/>
    <w:rsid w:val="00B02DAF"/>
    <w:rsid w:val="00B03112"/>
    <w:rsid w:val="00B03E5A"/>
    <w:rsid w:val="00B04A0B"/>
    <w:rsid w:val="00B070D8"/>
    <w:rsid w:val="00B076D7"/>
    <w:rsid w:val="00B10363"/>
    <w:rsid w:val="00B11A3C"/>
    <w:rsid w:val="00B11A5F"/>
    <w:rsid w:val="00B13102"/>
    <w:rsid w:val="00B15892"/>
    <w:rsid w:val="00B16089"/>
    <w:rsid w:val="00B16460"/>
    <w:rsid w:val="00B20580"/>
    <w:rsid w:val="00B23DDB"/>
    <w:rsid w:val="00B24B24"/>
    <w:rsid w:val="00B27C15"/>
    <w:rsid w:val="00B30A23"/>
    <w:rsid w:val="00B3191E"/>
    <w:rsid w:val="00B3487F"/>
    <w:rsid w:val="00B3534B"/>
    <w:rsid w:val="00B35A11"/>
    <w:rsid w:val="00B40D54"/>
    <w:rsid w:val="00B465B3"/>
    <w:rsid w:val="00B50AC8"/>
    <w:rsid w:val="00B52ECE"/>
    <w:rsid w:val="00B55228"/>
    <w:rsid w:val="00B56E2E"/>
    <w:rsid w:val="00B578FB"/>
    <w:rsid w:val="00B57EF7"/>
    <w:rsid w:val="00B61822"/>
    <w:rsid w:val="00B62591"/>
    <w:rsid w:val="00B62BA5"/>
    <w:rsid w:val="00B63D7E"/>
    <w:rsid w:val="00B6465B"/>
    <w:rsid w:val="00B64F05"/>
    <w:rsid w:val="00B6539F"/>
    <w:rsid w:val="00B6586D"/>
    <w:rsid w:val="00B65A06"/>
    <w:rsid w:val="00B65EA2"/>
    <w:rsid w:val="00B66832"/>
    <w:rsid w:val="00B670B8"/>
    <w:rsid w:val="00B7059F"/>
    <w:rsid w:val="00B70FB4"/>
    <w:rsid w:val="00B711D3"/>
    <w:rsid w:val="00B7233E"/>
    <w:rsid w:val="00B72B7D"/>
    <w:rsid w:val="00B73022"/>
    <w:rsid w:val="00B74B70"/>
    <w:rsid w:val="00B756C5"/>
    <w:rsid w:val="00B77061"/>
    <w:rsid w:val="00B771B8"/>
    <w:rsid w:val="00B77BE5"/>
    <w:rsid w:val="00B851DE"/>
    <w:rsid w:val="00B856BB"/>
    <w:rsid w:val="00B86486"/>
    <w:rsid w:val="00B876F9"/>
    <w:rsid w:val="00B877AC"/>
    <w:rsid w:val="00B906B3"/>
    <w:rsid w:val="00B94298"/>
    <w:rsid w:val="00B951C1"/>
    <w:rsid w:val="00B97BAD"/>
    <w:rsid w:val="00BA2E51"/>
    <w:rsid w:val="00BA4A6C"/>
    <w:rsid w:val="00BA4EBE"/>
    <w:rsid w:val="00BA578C"/>
    <w:rsid w:val="00BA651E"/>
    <w:rsid w:val="00BB07CB"/>
    <w:rsid w:val="00BB124C"/>
    <w:rsid w:val="00BB34EC"/>
    <w:rsid w:val="00BB55FF"/>
    <w:rsid w:val="00BB5856"/>
    <w:rsid w:val="00BB6571"/>
    <w:rsid w:val="00BC0114"/>
    <w:rsid w:val="00BC0E6C"/>
    <w:rsid w:val="00BC1AF9"/>
    <w:rsid w:val="00BC2BDC"/>
    <w:rsid w:val="00BC34A8"/>
    <w:rsid w:val="00BC3EFA"/>
    <w:rsid w:val="00BC4377"/>
    <w:rsid w:val="00BC63E5"/>
    <w:rsid w:val="00BC6405"/>
    <w:rsid w:val="00BC7283"/>
    <w:rsid w:val="00BD3F8A"/>
    <w:rsid w:val="00BD5532"/>
    <w:rsid w:val="00BD7985"/>
    <w:rsid w:val="00BE0506"/>
    <w:rsid w:val="00BE1676"/>
    <w:rsid w:val="00BE1C09"/>
    <w:rsid w:val="00BE2DE0"/>
    <w:rsid w:val="00BF0E18"/>
    <w:rsid w:val="00BF4D2E"/>
    <w:rsid w:val="00BF7B28"/>
    <w:rsid w:val="00C001D9"/>
    <w:rsid w:val="00C00AF4"/>
    <w:rsid w:val="00C06361"/>
    <w:rsid w:val="00C109DB"/>
    <w:rsid w:val="00C10AEE"/>
    <w:rsid w:val="00C11002"/>
    <w:rsid w:val="00C14054"/>
    <w:rsid w:val="00C147A4"/>
    <w:rsid w:val="00C147F8"/>
    <w:rsid w:val="00C17768"/>
    <w:rsid w:val="00C17B00"/>
    <w:rsid w:val="00C17C50"/>
    <w:rsid w:val="00C24651"/>
    <w:rsid w:val="00C25CD2"/>
    <w:rsid w:val="00C30FC1"/>
    <w:rsid w:val="00C31EAD"/>
    <w:rsid w:val="00C337B5"/>
    <w:rsid w:val="00C3392E"/>
    <w:rsid w:val="00C36059"/>
    <w:rsid w:val="00C3656F"/>
    <w:rsid w:val="00C41F79"/>
    <w:rsid w:val="00C42ACA"/>
    <w:rsid w:val="00C43024"/>
    <w:rsid w:val="00C46D08"/>
    <w:rsid w:val="00C47CD1"/>
    <w:rsid w:val="00C51495"/>
    <w:rsid w:val="00C520EC"/>
    <w:rsid w:val="00C52202"/>
    <w:rsid w:val="00C545B4"/>
    <w:rsid w:val="00C55492"/>
    <w:rsid w:val="00C56EB0"/>
    <w:rsid w:val="00C61803"/>
    <w:rsid w:val="00C62749"/>
    <w:rsid w:val="00C64C5E"/>
    <w:rsid w:val="00C71F27"/>
    <w:rsid w:val="00C724EF"/>
    <w:rsid w:val="00C728F6"/>
    <w:rsid w:val="00C734D7"/>
    <w:rsid w:val="00C73D30"/>
    <w:rsid w:val="00C7431F"/>
    <w:rsid w:val="00C7649B"/>
    <w:rsid w:val="00C76846"/>
    <w:rsid w:val="00C7753D"/>
    <w:rsid w:val="00C800D8"/>
    <w:rsid w:val="00C8104B"/>
    <w:rsid w:val="00C817C4"/>
    <w:rsid w:val="00C8374B"/>
    <w:rsid w:val="00C83839"/>
    <w:rsid w:val="00C868F6"/>
    <w:rsid w:val="00C87445"/>
    <w:rsid w:val="00C9033D"/>
    <w:rsid w:val="00C90844"/>
    <w:rsid w:val="00C90879"/>
    <w:rsid w:val="00C91C15"/>
    <w:rsid w:val="00C91CDD"/>
    <w:rsid w:val="00C9265A"/>
    <w:rsid w:val="00C93328"/>
    <w:rsid w:val="00C93CAB"/>
    <w:rsid w:val="00C951C5"/>
    <w:rsid w:val="00C9662C"/>
    <w:rsid w:val="00CA02B6"/>
    <w:rsid w:val="00CA056C"/>
    <w:rsid w:val="00CA0786"/>
    <w:rsid w:val="00CA111A"/>
    <w:rsid w:val="00CA11B5"/>
    <w:rsid w:val="00CA4671"/>
    <w:rsid w:val="00CA6E4F"/>
    <w:rsid w:val="00CA78A1"/>
    <w:rsid w:val="00CB255A"/>
    <w:rsid w:val="00CB2C04"/>
    <w:rsid w:val="00CB5C93"/>
    <w:rsid w:val="00CB69D5"/>
    <w:rsid w:val="00CC0ACC"/>
    <w:rsid w:val="00CC0B6D"/>
    <w:rsid w:val="00CC1F80"/>
    <w:rsid w:val="00CC6C66"/>
    <w:rsid w:val="00CC724F"/>
    <w:rsid w:val="00CC7780"/>
    <w:rsid w:val="00CD151A"/>
    <w:rsid w:val="00CD459E"/>
    <w:rsid w:val="00CD5A59"/>
    <w:rsid w:val="00CD60BC"/>
    <w:rsid w:val="00CE05FD"/>
    <w:rsid w:val="00CE1D97"/>
    <w:rsid w:val="00CE1F97"/>
    <w:rsid w:val="00CE29AC"/>
    <w:rsid w:val="00CE52B6"/>
    <w:rsid w:val="00CF1563"/>
    <w:rsid w:val="00CF1CD7"/>
    <w:rsid w:val="00CF3C8A"/>
    <w:rsid w:val="00CF66CD"/>
    <w:rsid w:val="00CF6A88"/>
    <w:rsid w:val="00CF70F6"/>
    <w:rsid w:val="00D0025A"/>
    <w:rsid w:val="00D03FB4"/>
    <w:rsid w:val="00D0442D"/>
    <w:rsid w:val="00D046A6"/>
    <w:rsid w:val="00D05AD6"/>
    <w:rsid w:val="00D061C0"/>
    <w:rsid w:val="00D07A59"/>
    <w:rsid w:val="00D10638"/>
    <w:rsid w:val="00D11FDF"/>
    <w:rsid w:val="00D1231C"/>
    <w:rsid w:val="00D1329F"/>
    <w:rsid w:val="00D14CD2"/>
    <w:rsid w:val="00D155A2"/>
    <w:rsid w:val="00D15B77"/>
    <w:rsid w:val="00D165E0"/>
    <w:rsid w:val="00D2103C"/>
    <w:rsid w:val="00D22A17"/>
    <w:rsid w:val="00D22EC4"/>
    <w:rsid w:val="00D2477B"/>
    <w:rsid w:val="00D2565F"/>
    <w:rsid w:val="00D31675"/>
    <w:rsid w:val="00D32649"/>
    <w:rsid w:val="00D33BFC"/>
    <w:rsid w:val="00D35345"/>
    <w:rsid w:val="00D35780"/>
    <w:rsid w:val="00D35BC3"/>
    <w:rsid w:val="00D35F62"/>
    <w:rsid w:val="00D36A5B"/>
    <w:rsid w:val="00D37829"/>
    <w:rsid w:val="00D40482"/>
    <w:rsid w:val="00D4058E"/>
    <w:rsid w:val="00D40923"/>
    <w:rsid w:val="00D40CEC"/>
    <w:rsid w:val="00D41171"/>
    <w:rsid w:val="00D42011"/>
    <w:rsid w:val="00D420FA"/>
    <w:rsid w:val="00D436C8"/>
    <w:rsid w:val="00D441B9"/>
    <w:rsid w:val="00D44C57"/>
    <w:rsid w:val="00D5258D"/>
    <w:rsid w:val="00D606AA"/>
    <w:rsid w:val="00D6096B"/>
    <w:rsid w:val="00D61752"/>
    <w:rsid w:val="00D652C8"/>
    <w:rsid w:val="00D676DD"/>
    <w:rsid w:val="00D6782D"/>
    <w:rsid w:val="00D70149"/>
    <w:rsid w:val="00D7143D"/>
    <w:rsid w:val="00D71DB1"/>
    <w:rsid w:val="00D75E5B"/>
    <w:rsid w:val="00D772B4"/>
    <w:rsid w:val="00D80162"/>
    <w:rsid w:val="00D80BFA"/>
    <w:rsid w:val="00D81DE9"/>
    <w:rsid w:val="00D83B9C"/>
    <w:rsid w:val="00D913C8"/>
    <w:rsid w:val="00D929ED"/>
    <w:rsid w:val="00D9525B"/>
    <w:rsid w:val="00D9798B"/>
    <w:rsid w:val="00DA0070"/>
    <w:rsid w:val="00DA0312"/>
    <w:rsid w:val="00DA0750"/>
    <w:rsid w:val="00DA2F05"/>
    <w:rsid w:val="00DA5386"/>
    <w:rsid w:val="00DA53C9"/>
    <w:rsid w:val="00DA5FA6"/>
    <w:rsid w:val="00DA67F7"/>
    <w:rsid w:val="00DB0C68"/>
    <w:rsid w:val="00DB1F00"/>
    <w:rsid w:val="00DB3E3A"/>
    <w:rsid w:val="00DB474B"/>
    <w:rsid w:val="00DB5D6E"/>
    <w:rsid w:val="00DB6D63"/>
    <w:rsid w:val="00DC40CA"/>
    <w:rsid w:val="00DC64CF"/>
    <w:rsid w:val="00DD0080"/>
    <w:rsid w:val="00DD145B"/>
    <w:rsid w:val="00DD1E62"/>
    <w:rsid w:val="00DD37F1"/>
    <w:rsid w:val="00DD3D74"/>
    <w:rsid w:val="00DD4028"/>
    <w:rsid w:val="00DD44D6"/>
    <w:rsid w:val="00DD6ED4"/>
    <w:rsid w:val="00DE13B8"/>
    <w:rsid w:val="00DE1463"/>
    <w:rsid w:val="00DE40B4"/>
    <w:rsid w:val="00DE6FE8"/>
    <w:rsid w:val="00DE7312"/>
    <w:rsid w:val="00DE7C15"/>
    <w:rsid w:val="00DF1F6B"/>
    <w:rsid w:val="00DF3372"/>
    <w:rsid w:val="00DF467C"/>
    <w:rsid w:val="00DF6867"/>
    <w:rsid w:val="00DF68E7"/>
    <w:rsid w:val="00DF74B3"/>
    <w:rsid w:val="00DF7706"/>
    <w:rsid w:val="00E0159D"/>
    <w:rsid w:val="00E01835"/>
    <w:rsid w:val="00E01BB6"/>
    <w:rsid w:val="00E078C1"/>
    <w:rsid w:val="00E07FC0"/>
    <w:rsid w:val="00E10256"/>
    <w:rsid w:val="00E133CF"/>
    <w:rsid w:val="00E15B0F"/>
    <w:rsid w:val="00E16584"/>
    <w:rsid w:val="00E20658"/>
    <w:rsid w:val="00E23CFC"/>
    <w:rsid w:val="00E242E6"/>
    <w:rsid w:val="00E252A6"/>
    <w:rsid w:val="00E26826"/>
    <w:rsid w:val="00E26CDA"/>
    <w:rsid w:val="00E320EA"/>
    <w:rsid w:val="00E32B67"/>
    <w:rsid w:val="00E34177"/>
    <w:rsid w:val="00E345EB"/>
    <w:rsid w:val="00E36FF8"/>
    <w:rsid w:val="00E37972"/>
    <w:rsid w:val="00E37E93"/>
    <w:rsid w:val="00E429E4"/>
    <w:rsid w:val="00E43584"/>
    <w:rsid w:val="00E4408A"/>
    <w:rsid w:val="00E44713"/>
    <w:rsid w:val="00E45800"/>
    <w:rsid w:val="00E510F3"/>
    <w:rsid w:val="00E530D7"/>
    <w:rsid w:val="00E531DF"/>
    <w:rsid w:val="00E53923"/>
    <w:rsid w:val="00E56FF3"/>
    <w:rsid w:val="00E570EE"/>
    <w:rsid w:val="00E608E4"/>
    <w:rsid w:val="00E62B01"/>
    <w:rsid w:val="00E64EDE"/>
    <w:rsid w:val="00E65417"/>
    <w:rsid w:val="00E668E5"/>
    <w:rsid w:val="00E6700F"/>
    <w:rsid w:val="00E67E1F"/>
    <w:rsid w:val="00E709A5"/>
    <w:rsid w:val="00E71475"/>
    <w:rsid w:val="00E72FBE"/>
    <w:rsid w:val="00E73843"/>
    <w:rsid w:val="00E73EAE"/>
    <w:rsid w:val="00E7595E"/>
    <w:rsid w:val="00E7761D"/>
    <w:rsid w:val="00E77A08"/>
    <w:rsid w:val="00E77ED7"/>
    <w:rsid w:val="00E826A5"/>
    <w:rsid w:val="00E83665"/>
    <w:rsid w:val="00E857B1"/>
    <w:rsid w:val="00E86C84"/>
    <w:rsid w:val="00E87CCD"/>
    <w:rsid w:val="00E87EC5"/>
    <w:rsid w:val="00E87F04"/>
    <w:rsid w:val="00E951D2"/>
    <w:rsid w:val="00E9528F"/>
    <w:rsid w:val="00E9690A"/>
    <w:rsid w:val="00EA3697"/>
    <w:rsid w:val="00EA4492"/>
    <w:rsid w:val="00EA4BF3"/>
    <w:rsid w:val="00EA6EAA"/>
    <w:rsid w:val="00EB0900"/>
    <w:rsid w:val="00EB27AB"/>
    <w:rsid w:val="00EB3AD0"/>
    <w:rsid w:val="00EC0294"/>
    <w:rsid w:val="00EC4A78"/>
    <w:rsid w:val="00EC59E1"/>
    <w:rsid w:val="00EC5AF3"/>
    <w:rsid w:val="00EC7F20"/>
    <w:rsid w:val="00ED3BC0"/>
    <w:rsid w:val="00ED78A2"/>
    <w:rsid w:val="00EE1909"/>
    <w:rsid w:val="00EE33B2"/>
    <w:rsid w:val="00EE33DB"/>
    <w:rsid w:val="00EE351F"/>
    <w:rsid w:val="00EF1598"/>
    <w:rsid w:val="00EF24EC"/>
    <w:rsid w:val="00EF2F96"/>
    <w:rsid w:val="00EF2FE0"/>
    <w:rsid w:val="00EF4C98"/>
    <w:rsid w:val="00EF5D5D"/>
    <w:rsid w:val="00EF69B3"/>
    <w:rsid w:val="00EF6D58"/>
    <w:rsid w:val="00EF70E2"/>
    <w:rsid w:val="00F031F5"/>
    <w:rsid w:val="00F03637"/>
    <w:rsid w:val="00F043BF"/>
    <w:rsid w:val="00F05739"/>
    <w:rsid w:val="00F10992"/>
    <w:rsid w:val="00F10CFE"/>
    <w:rsid w:val="00F15A4A"/>
    <w:rsid w:val="00F164FE"/>
    <w:rsid w:val="00F16902"/>
    <w:rsid w:val="00F16CE0"/>
    <w:rsid w:val="00F1758E"/>
    <w:rsid w:val="00F20DE6"/>
    <w:rsid w:val="00F21568"/>
    <w:rsid w:val="00F22AD4"/>
    <w:rsid w:val="00F26364"/>
    <w:rsid w:val="00F2637C"/>
    <w:rsid w:val="00F276B2"/>
    <w:rsid w:val="00F34B61"/>
    <w:rsid w:val="00F34BB3"/>
    <w:rsid w:val="00F36AFD"/>
    <w:rsid w:val="00F41DFE"/>
    <w:rsid w:val="00F42871"/>
    <w:rsid w:val="00F432AD"/>
    <w:rsid w:val="00F43800"/>
    <w:rsid w:val="00F44ECC"/>
    <w:rsid w:val="00F5272C"/>
    <w:rsid w:val="00F53EE2"/>
    <w:rsid w:val="00F5446C"/>
    <w:rsid w:val="00F55736"/>
    <w:rsid w:val="00F573F5"/>
    <w:rsid w:val="00F605C9"/>
    <w:rsid w:val="00F6076A"/>
    <w:rsid w:val="00F61A1F"/>
    <w:rsid w:val="00F621E6"/>
    <w:rsid w:val="00F65640"/>
    <w:rsid w:val="00F65D04"/>
    <w:rsid w:val="00F67F5C"/>
    <w:rsid w:val="00F7292A"/>
    <w:rsid w:val="00F76A49"/>
    <w:rsid w:val="00F83670"/>
    <w:rsid w:val="00F84221"/>
    <w:rsid w:val="00F865EF"/>
    <w:rsid w:val="00F8660E"/>
    <w:rsid w:val="00F87DEB"/>
    <w:rsid w:val="00F93089"/>
    <w:rsid w:val="00F948EF"/>
    <w:rsid w:val="00F94FC5"/>
    <w:rsid w:val="00F95E30"/>
    <w:rsid w:val="00F978A5"/>
    <w:rsid w:val="00FA26E3"/>
    <w:rsid w:val="00FA53C2"/>
    <w:rsid w:val="00FA69A7"/>
    <w:rsid w:val="00FA74EC"/>
    <w:rsid w:val="00FB1C70"/>
    <w:rsid w:val="00FB2848"/>
    <w:rsid w:val="00FB3330"/>
    <w:rsid w:val="00FB4CC4"/>
    <w:rsid w:val="00FB5A90"/>
    <w:rsid w:val="00FB7751"/>
    <w:rsid w:val="00FB7E98"/>
    <w:rsid w:val="00FC4555"/>
    <w:rsid w:val="00FC4862"/>
    <w:rsid w:val="00FC6ADC"/>
    <w:rsid w:val="00FC772F"/>
    <w:rsid w:val="00FD11C8"/>
    <w:rsid w:val="00FD37E9"/>
    <w:rsid w:val="00FD6096"/>
    <w:rsid w:val="00FD6602"/>
    <w:rsid w:val="00FE066A"/>
    <w:rsid w:val="00FE0A10"/>
    <w:rsid w:val="00FE0CDC"/>
    <w:rsid w:val="00FE4CD4"/>
    <w:rsid w:val="00FE5AD0"/>
    <w:rsid w:val="00FE66B7"/>
    <w:rsid w:val="00FE75A6"/>
    <w:rsid w:val="00FF314A"/>
    <w:rsid w:val="00FF439A"/>
    <w:rsid w:val="00FF4D14"/>
    <w:rsid w:val="00FF5792"/>
    <w:rsid w:val="00FF5D68"/>
    <w:rsid w:val="00FF62CE"/>
    <w:rsid w:val="00FF6A51"/>
    <w:rsid w:val="00FF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6804"/>
  <w15:chartTrackingRefBased/>
  <w15:docId w15:val="{204940E4-2DD0-4C50-B660-3E096B02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64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15"/>
    <w:pPr>
      <w:ind w:left="720"/>
      <w:contextualSpacing/>
    </w:pPr>
  </w:style>
  <w:style w:type="paragraph" w:styleId="FootnoteText">
    <w:name w:val="footnote text"/>
    <w:basedOn w:val="Normal"/>
    <w:link w:val="FootnoteTextChar"/>
    <w:uiPriority w:val="99"/>
    <w:unhideWhenUsed/>
    <w:rsid w:val="001B0F15"/>
    <w:pPr>
      <w:spacing w:after="0" w:line="240" w:lineRule="auto"/>
    </w:pPr>
    <w:rPr>
      <w:sz w:val="20"/>
      <w:szCs w:val="20"/>
    </w:rPr>
  </w:style>
  <w:style w:type="character" w:customStyle="1" w:styleId="FootnoteTextChar">
    <w:name w:val="Footnote Text Char"/>
    <w:basedOn w:val="DefaultParagraphFont"/>
    <w:link w:val="FootnoteText"/>
    <w:uiPriority w:val="99"/>
    <w:rsid w:val="001B0F15"/>
    <w:rPr>
      <w:sz w:val="20"/>
      <w:szCs w:val="20"/>
    </w:rPr>
  </w:style>
  <w:style w:type="character" w:styleId="FootnoteReference">
    <w:name w:val="footnote reference"/>
    <w:basedOn w:val="DefaultParagraphFont"/>
    <w:uiPriority w:val="99"/>
    <w:unhideWhenUsed/>
    <w:rsid w:val="001B0F15"/>
    <w:rPr>
      <w:vertAlign w:val="superscript"/>
    </w:rPr>
  </w:style>
  <w:style w:type="paragraph" w:styleId="Header">
    <w:name w:val="header"/>
    <w:basedOn w:val="Normal"/>
    <w:link w:val="HeaderChar"/>
    <w:uiPriority w:val="99"/>
    <w:unhideWhenUsed/>
    <w:rsid w:val="0098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AD"/>
  </w:style>
  <w:style w:type="paragraph" w:styleId="Footer">
    <w:name w:val="footer"/>
    <w:basedOn w:val="Normal"/>
    <w:link w:val="FooterChar"/>
    <w:uiPriority w:val="99"/>
    <w:unhideWhenUsed/>
    <w:rsid w:val="0098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AD"/>
  </w:style>
  <w:style w:type="paragraph" w:styleId="BalloonText">
    <w:name w:val="Balloon Text"/>
    <w:basedOn w:val="Normal"/>
    <w:link w:val="BalloonTextChar"/>
    <w:uiPriority w:val="99"/>
    <w:semiHidden/>
    <w:unhideWhenUsed/>
    <w:rsid w:val="006D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4F"/>
    <w:rPr>
      <w:rFonts w:ascii="Segoe UI" w:hAnsi="Segoe UI" w:cs="Segoe UI"/>
      <w:sz w:val="18"/>
      <w:szCs w:val="18"/>
    </w:rPr>
  </w:style>
  <w:style w:type="character" w:styleId="CommentReference">
    <w:name w:val="annotation reference"/>
    <w:basedOn w:val="DefaultParagraphFont"/>
    <w:uiPriority w:val="99"/>
    <w:semiHidden/>
    <w:unhideWhenUsed/>
    <w:rsid w:val="002F4D50"/>
    <w:rPr>
      <w:sz w:val="16"/>
      <w:szCs w:val="16"/>
    </w:rPr>
  </w:style>
  <w:style w:type="paragraph" w:styleId="CommentText">
    <w:name w:val="annotation text"/>
    <w:basedOn w:val="Normal"/>
    <w:link w:val="CommentTextChar"/>
    <w:uiPriority w:val="99"/>
    <w:unhideWhenUsed/>
    <w:rsid w:val="002F4D50"/>
    <w:pPr>
      <w:spacing w:line="240" w:lineRule="auto"/>
    </w:pPr>
    <w:rPr>
      <w:sz w:val="20"/>
      <w:szCs w:val="20"/>
    </w:rPr>
  </w:style>
  <w:style w:type="character" w:customStyle="1" w:styleId="CommentTextChar">
    <w:name w:val="Comment Text Char"/>
    <w:basedOn w:val="DefaultParagraphFont"/>
    <w:link w:val="CommentText"/>
    <w:uiPriority w:val="99"/>
    <w:rsid w:val="002F4D50"/>
    <w:rPr>
      <w:sz w:val="20"/>
      <w:szCs w:val="20"/>
    </w:rPr>
  </w:style>
  <w:style w:type="paragraph" w:styleId="CommentSubject">
    <w:name w:val="annotation subject"/>
    <w:basedOn w:val="CommentText"/>
    <w:next w:val="CommentText"/>
    <w:link w:val="CommentSubjectChar"/>
    <w:uiPriority w:val="99"/>
    <w:semiHidden/>
    <w:unhideWhenUsed/>
    <w:rsid w:val="002F4D50"/>
    <w:rPr>
      <w:b/>
      <w:bCs/>
    </w:rPr>
  </w:style>
  <w:style w:type="character" w:customStyle="1" w:styleId="CommentSubjectChar">
    <w:name w:val="Comment Subject Char"/>
    <w:basedOn w:val="CommentTextChar"/>
    <w:link w:val="CommentSubject"/>
    <w:uiPriority w:val="99"/>
    <w:semiHidden/>
    <w:rsid w:val="002F4D50"/>
    <w:rPr>
      <w:b/>
      <w:bCs/>
      <w:sz w:val="20"/>
      <w:szCs w:val="20"/>
    </w:rPr>
  </w:style>
  <w:style w:type="character" w:styleId="Hyperlink">
    <w:name w:val="Hyperlink"/>
    <w:basedOn w:val="DefaultParagraphFont"/>
    <w:uiPriority w:val="99"/>
    <w:unhideWhenUsed/>
    <w:rsid w:val="008C7F9F"/>
    <w:rPr>
      <w:color w:val="0563C1" w:themeColor="hyperlink"/>
      <w:u w:val="single"/>
    </w:rPr>
  </w:style>
  <w:style w:type="character" w:customStyle="1" w:styleId="Heading1Char">
    <w:name w:val="Heading 1 Char"/>
    <w:basedOn w:val="DefaultParagraphFont"/>
    <w:link w:val="Heading1"/>
    <w:uiPriority w:val="9"/>
    <w:rsid w:val="00170FC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70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D929ED"/>
    <w:pPr>
      <w:autoSpaceDE w:val="0"/>
      <w:autoSpaceDN w:val="0"/>
      <w:adjustRightInd w:val="0"/>
      <w:spacing w:after="0" w:line="201" w:lineRule="atLeast"/>
    </w:pPr>
    <w:rPr>
      <w:rFonts w:ascii="Open Sans Light" w:hAnsi="Open Sans Light"/>
      <w:sz w:val="24"/>
      <w:szCs w:val="24"/>
    </w:rPr>
  </w:style>
  <w:style w:type="paragraph" w:customStyle="1" w:styleId="Pa1">
    <w:name w:val="Pa1"/>
    <w:basedOn w:val="Normal"/>
    <w:next w:val="Normal"/>
    <w:uiPriority w:val="99"/>
    <w:rsid w:val="00E531DF"/>
    <w:pPr>
      <w:autoSpaceDE w:val="0"/>
      <w:autoSpaceDN w:val="0"/>
      <w:adjustRightInd w:val="0"/>
      <w:spacing w:after="0" w:line="241" w:lineRule="atLeast"/>
    </w:pPr>
    <w:rPr>
      <w:rFonts w:ascii="Open Sans" w:hAnsi="Open Sans"/>
      <w:sz w:val="24"/>
      <w:szCs w:val="24"/>
    </w:rPr>
  </w:style>
  <w:style w:type="paragraph" w:customStyle="1" w:styleId="Default">
    <w:name w:val="Default"/>
    <w:rsid w:val="00302620"/>
    <w:pPr>
      <w:autoSpaceDE w:val="0"/>
      <w:autoSpaceDN w:val="0"/>
      <w:adjustRightInd w:val="0"/>
      <w:spacing w:after="0" w:line="240" w:lineRule="auto"/>
    </w:pPr>
    <w:rPr>
      <w:rFonts w:ascii="Open Sans" w:hAnsi="Open Sans" w:cs="Open Sans"/>
      <w:color w:val="000000"/>
      <w:sz w:val="24"/>
      <w:szCs w:val="24"/>
    </w:rPr>
  </w:style>
  <w:style w:type="paragraph" w:customStyle="1" w:styleId="Pa14">
    <w:name w:val="Pa14"/>
    <w:basedOn w:val="Default"/>
    <w:next w:val="Default"/>
    <w:uiPriority w:val="99"/>
    <w:rsid w:val="00302620"/>
    <w:pPr>
      <w:spacing w:line="201" w:lineRule="atLeast"/>
    </w:pPr>
    <w:rPr>
      <w:rFonts w:ascii="Open Sans Light" w:hAnsi="Open Sans Light" w:cstheme="minorBidi"/>
      <w:color w:val="auto"/>
    </w:rPr>
  </w:style>
  <w:style w:type="paragraph" w:customStyle="1" w:styleId="Pa4">
    <w:name w:val="Pa4"/>
    <w:basedOn w:val="Default"/>
    <w:next w:val="Default"/>
    <w:uiPriority w:val="99"/>
    <w:rsid w:val="006D6418"/>
    <w:pPr>
      <w:spacing w:line="201" w:lineRule="atLeast"/>
    </w:pPr>
    <w:rPr>
      <w:rFonts w:ascii="Univers 45 Light" w:hAnsi="Univers 45 Light" w:cstheme="minorBidi"/>
      <w:color w:val="auto"/>
    </w:rPr>
  </w:style>
  <w:style w:type="character" w:styleId="Emphasis">
    <w:name w:val="Emphasis"/>
    <w:basedOn w:val="DefaultParagraphFont"/>
    <w:uiPriority w:val="20"/>
    <w:qFormat/>
    <w:rsid w:val="007C2160"/>
    <w:rPr>
      <w:i/>
      <w:iCs/>
    </w:rPr>
  </w:style>
  <w:style w:type="character" w:customStyle="1" w:styleId="mi">
    <w:name w:val="mi"/>
    <w:basedOn w:val="DefaultParagraphFont"/>
    <w:rsid w:val="006F14CB"/>
  </w:style>
  <w:style w:type="character" w:customStyle="1" w:styleId="mn">
    <w:name w:val="mn"/>
    <w:basedOn w:val="DefaultParagraphFont"/>
    <w:rsid w:val="006F14CB"/>
  </w:style>
  <w:style w:type="paragraph" w:styleId="NoSpacing">
    <w:name w:val="No Spacing"/>
    <w:uiPriority w:val="1"/>
    <w:qFormat/>
    <w:rsid w:val="00423B65"/>
    <w:pPr>
      <w:spacing w:after="0" w:line="240" w:lineRule="auto"/>
    </w:pPr>
  </w:style>
  <w:style w:type="character" w:customStyle="1" w:styleId="lrzxr">
    <w:name w:val="lrzxr"/>
    <w:basedOn w:val="DefaultParagraphFont"/>
    <w:rsid w:val="00423B65"/>
  </w:style>
  <w:style w:type="table" w:styleId="TableGrid">
    <w:name w:val="Table Grid"/>
    <w:basedOn w:val="TableNormal"/>
    <w:uiPriority w:val="39"/>
    <w:rsid w:val="0068398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64F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D18A0"/>
    <w:pPr>
      <w:spacing w:after="0" w:line="240" w:lineRule="auto"/>
    </w:pPr>
  </w:style>
  <w:style w:type="table" w:customStyle="1" w:styleId="TableGrid1">
    <w:name w:val="Table Grid1"/>
    <w:basedOn w:val="TableNormal"/>
    <w:next w:val="TableGrid"/>
    <w:uiPriority w:val="39"/>
    <w:rsid w:val="000D76B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B95"/>
    <w:rPr>
      <w:color w:val="954F72" w:themeColor="followedHyperlink"/>
      <w:u w:val="single"/>
    </w:rPr>
  </w:style>
  <w:style w:type="paragraph" w:styleId="BodyText">
    <w:name w:val="Body Text"/>
    <w:basedOn w:val="Normal"/>
    <w:link w:val="BodyTextChar"/>
    <w:uiPriority w:val="1"/>
    <w:qFormat/>
    <w:rsid w:val="005C1686"/>
    <w:pPr>
      <w:autoSpaceDE w:val="0"/>
      <w:autoSpaceDN w:val="0"/>
      <w:adjustRightInd w:val="0"/>
      <w:spacing w:after="0" w:line="240" w:lineRule="auto"/>
      <w:ind w:left="39"/>
    </w:pPr>
    <w:rPr>
      <w:rFonts w:ascii="Book Antiqua" w:hAnsi="Book Antiqua" w:cs="Book Antiqua"/>
      <w:b/>
      <w:bCs/>
      <w:sz w:val="41"/>
      <w:szCs w:val="41"/>
    </w:rPr>
  </w:style>
  <w:style w:type="character" w:customStyle="1" w:styleId="BodyTextChar">
    <w:name w:val="Body Text Char"/>
    <w:basedOn w:val="DefaultParagraphFont"/>
    <w:link w:val="BodyText"/>
    <w:uiPriority w:val="1"/>
    <w:rsid w:val="005C1686"/>
    <w:rPr>
      <w:rFonts w:ascii="Book Antiqua" w:hAnsi="Book Antiqua" w:cs="Book Antiqua"/>
      <w:b/>
      <w:bCs/>
      <w:sz w:val="41"/>
      <w:szCs w:val="41"/>
    </w:rPr>
  </w:style>
  <w:style w:type="character" w:customStyle="1" w:styleId="il">
    <w:name w:val="il"/>
    <w:basedOn w:val="DefaultParagraphFont"/>
    <w:rsid w:val="005D1C83"/>
  </w:style>
  <w:style w:type="paragraph" w:customStyle="1" w:styleId="content">
    <w:name w:val="content"/>
    <w:basedOn w:val="Normal"/>
    <w:rsid w:val="00E96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021">
      <w:bodyDiv w:val="1"/>
      <w:marLeft w:val="0"/>
      <w:marRight w:val="0"/>
      <w:marTop w:val="0"/>
      <w:marBottom w:val="0"/>
      <w:divBdr>
        <w:top w:val="none" w:sz="0" w:space="0" w:color="auto"/>
        <w:left w:val="none" w:sz="0" w:space="0" w:color="auto"/>
        <w:bottom w:val="none" w:sz="0" w:space="0" w:color="auto"/>
        <w:right w:val="none" w:sz="0" w:space="0" w:color="auto"/>
      </w:divBdr>
    </w:div>
    <w:div w:id="137038760">
      <w:bodyDiv w:val="1"/>
      <w:marLeft w:val="0"/>
      <w:marRight w:val="0"/>
      <w:marTop w:val="0"/>
      <w:marBottom w:val="0"/>
      <w:divBdr>
        <w:top w:val="none" w:sz="0" w:space="0" w:color="auto"/>
        <w:left w:val="none" w:sz="0" w:space="0" w:color="auto"/>
        <w:bottom w:val="none" w:sz="0" w:space="0" w:color="auto"/>
        <w:right w:val="none" w:sz="0" w:space="0" w:color="auto"/>
      </w:divBdr>
    </w:div>
    <w:div w:id="210652199">
      <w:bodyDiv w:val="1"/>
      <w:marLeft w:val="0"/>
      <w:marRight w:val="0"/>
      <w:marTop w:val="0"/>
      <w:marBottom w:val="0"/>
      <w:divBdr>
        <w:top w:val="none" w:sz="0" w:space="0" w:color="auto"/>
        <w:left w:val="none" w:sz="0" w:space="0" w:color="auto"/>
        <w:bottom w:val="none" w:sz="0" w:space="0" w:color="auto"/>
        <w:right w:val="none" w:sz="0" w:space="0" w:color="auto"/>
      </w:divBdr>
    </w:div>
    <w:div w:id="213931644">
      <w:bodyDiv w:val="1"/>
      <w:marLeft w:val="0"/>
      <w:marRight w:val="0"/>
      <w:marTop w:val="0"/>
      <w:marBottom w:val="0"/>
      <w:divBdr>
        <w:top w:val="none" w:sz="0" w:space="0" w:color="auto"/>
        <w:left w:val="none" w:sz="0" w:space="0" w:color="auto"/>
        <w:bottom w:val="none" w:sz="0" w:space="0" w:color="auto"/>
        <w:right w:val="none" w:sz="0" w:space="0" w:color="auto"/>
      </w:divBdr>
    </w:div>
    <w:div w:id="233662029">
      <w:bodyDiv w:val="1"/>
      <w:marLeft w:val="0"/>
      <w:marRight w:val="0"/>
      <w:marTop w:val="0"/>
      <w:marBottom w:val="0"/>
      <w:divBdr>
        <w:top w:val="none" w:sz="0" w:space="0" w:color="auto"/>
        <w:left w:val="none" w:sz="0" w:space="0" w:color="auto"/>
        <w:bottom w:val="none" w:sz="0" w:space="0" w:color="auto"/>
        <w:right w:val="none" w:sz="0" w:space="0" w:color="auto"/>
      </w:divBdr>
    </w:div>
    <w:div w:id="306474746">
      <w:bodyDiv w:val="1"/>
      <w:marLeft w:val="0"/>
      <w:marRight w:val="0"/>
      <w:marTop w:val="0"/>
      <w:marBottom w:val="0"/>
      <w:divBdr>
        <w:top w:val="none" w:sz="0" w:space="0" w:color="auto"/>
        <w:left w:val="none" w:sz="0" w:space="0" w:color="auto"/>
        <w:bottom w:val="none" w:sz="0" w:space="0" w:color="auto"/>
        <w:right w:val="none" w:sz="0" w:space="0" w:color="auto"/>
      </w:divBdr>
    </w:div>
    <w:div w:id="376858021">
      <w:bodyDiv w:val="1"/>
      <w:marLeft w:val="0"/>
      <w:marRight w:val="0"/>
      <w:marTop w:val="0"/>
      <w:marBottom w:val="0"/>
      <w:divBdr>
        <w:top w:val="none" w:sz="0" w:space="0" w:color="auto"/>
        <w:left w:val="none" w:sz="0" w:space="0" w:color="auto"/>
        <w:bottom w:val="none" w:sz="0" w:space="0" w:color="auto"/>
        <w:right w:val="none" w:sz="0" w:space="0" w:color="auto"/>
      </w:divBdr>
      <w:divsChild>
        <w:div w:id="628362328">
          <w:marLeft w:val="0"/>
          <w:marRight w:val="0"/>
          <w:marTop w:val="0"/>
          <w:marBottom w:val="0"/>
          <w:divBdr>
            <w:top w:val="none" w:sz="0" w:space="0" w:color="auto"/>
            <w:left w:val="none" w:sz="0" w:space="0" w:color="auto"/>
            <w:bottom w:val="none" w:sz="0" w:space="0" w:color="auto"/>
            <w:right w:val="none" w:sz="0" w:space="0" w:color="auto"/>
          </w:divBdr>
        </w:div>
      </w:divsChild>
    </w:div>
    <w:div w:id="456605999">
      <w:bodyDiv w:val="1"/>
      <w:marLeft w:val="0"/>
      <w:marRight w:val="0"/>
      <w:marTop w:val="0"/>
      <w:marBottom w:val="0"/>
      <w:divBdr>
        <w:top w:val="none" w:sz="0" w:space="0" w:color="auto"/>
        <w:left w:val="none" w:sz="0" w:space="0" w:color="auto"/>
        <w:bottom w:val="none" w:sz="0" w:space="0" w:color="auto"/>
        <w:right w:val="none" w:sz="0" w:space="0" w:color="auto"/>
      </w:divBdr>
    </w:div>
    <w:div w:id="462119621">
      <w:bodyDiv w:val="1"/>
      <w:marLeft w:val="0"/>
      <w:marRight w:val="0"/>
      <w:marTop w:val="0"/>
      <w:marBottom w:val="0"/>
      <w:divBdr>
        <w:top w:val="none" w:sz="0" w:space="0" w:color="auto"/>
        <w:left w:val="none" w:sz="0" w:space="0" w:color="auto"/>
        <w:bottom w:val="none" w:sz="0" w:space="0" w:color="auto"/>
        <w:right w:val="none" w:sz="0" w:space="0" w:color="auto"/>
      </w:divBdr>
    </w:div>
    <w:div w:id="510922551">
      <w:bodyDiv w:val="1"/>
      <w:marLeft w:val="0"/>
      <w:marRight w:val="0"/>
      <w:marTop w:val="0"/>
      <w:marBottom w:val="0"/>
      <w:divBdr>
        <w:top w:val="none" w:sz="0" w:space="0" w:color="auto"/>
        <w:left w:val="none" w:sz="0" w:space="0" w:color="auto"/>
        <w:bottom w:val="none" w:sz="0" w:space="0" w:color="auto"/>
        <w:right w:val="none" w:sz="0" w:space="0" w:color="auto"/>
      </w:divBdr>
    </w:div>
    <w:div w:id="639262860">
      <w:bodyDiv w:val="1"/>
      <w:marLeft w:val="0"/>
      <w:marRight w:val="0"/>
      <w:marTop w:val="0"/>
      <w:marBottom w:val="0"/>
      <w:divBdr>
        <w:top w:val="none" w:sz="0" w:space="0" w:color="auto"/>
        <w:left w:val="none" w:sz="0" w:space="0" w:color="auto"/>
        <w:bottom w:val="none" w:sz="0" w:space="0" w:color="auto"/>
        <w:right w:val="none" w:sz="0" w:space="0" w:color="auto"/>
      </w:divBdr>
    </w:div>
    <w:div w:id="820584927">
      <w:bodyDiv w:val="1"/>
      <w:marLeft w:val="0"/>
      <w:marRight w:val="0"/>
      <w:marTop w:val="0"/>
      <w:marBottom w:val="0"/>
      <w:divBdr>
        <w:top w:val="none" w:sz="0" w:space="0" w:color="auto"/>
        <w:left w:val="none" w:sz="0" w:space="0" w:color="auto"/>
        <w:bottom w:val="none" w:sz="0" w:space="0" w:color="auto"/>
        <w:right w:val="none" w:sz="0" w:space="0" w:color="auto"/>
      </w:divBdr>
    </w:div>
    <w:div w:id="825977308">
      <w:bodyDiv w:val="1"/>
      <w:marLeft w:val="0"/>
      <w:marRight w:val="0"/>
      <w:marTop w:val="0"/>
      <w:marBottom w:val="0"/>
      <w:divBdr>
        <w:top w:val="none" w:sz="0" w:space="0" w:color="auto"/>
        <w:left w:val="none" w:sz="0" w:space="0" w:color="auto"/>
        <w:bottom w:val="none" w:sz="0" w:space="0" w:color="auto"/>
        <w:right w:val="none" w:sz="0" w:space="0" w:color="auto"/>
      </w:divBdr>
    </w:div>
    <w:div w:id="984042102">
      <w:bodyDiv w:val="1"/>
      <w:marLeft w:val="0"/>
      <w:marRight w:val="0"/>
      <w:marTop w:val="0"/>
      <w:marBottom w:val="0"/>
      <w:divBdr>
        <w:top w:val="none" w:sz="0" w:space="0" w:color="auto"/>
        <w:left w:val="none" w:sz="0" w:space="0" w:color="auto"/>
        <w:bottom w:val="none" w:sz="0" w:space="0" w:color="auto"/>
        <w:right w:val="none" w:sz="0" w:space="0" w:color="auto"/>
      </w:divBdr>
    </w:div>
    <w:div w:id="1144152850">
      <w:bodyDiv w:val="1"/>
      <w:marLeft w:val="0"/>
      <w:marRight w:val="0"/>
      <w:marTop w:val="0"/>
      <w:marBottom w:val="0"/>
      <w:divBdr>
        <w:top w:val="none" w:sz="0" w:space="0" w:color="auto"/>
        <w:left w:val="none" w:sz="0" w:space="0" w:color="auto"/>
        <w:bottom w:val="none" w:sz="0" w:space="0" w:color="auto"/>
        <w:right w:val="none" w:sz="0" w:space="0" w:color="auto"/>
      </w:divBdr>
    </w:div>
    <w:div w:id="1300453003">
      <w:bodyDiv w:val="1"/>
      <w:marLeft w:val="0"/>
      <w:marRight w:val="0"/>
      <w:marTop w:val="0"/>
      <w:marBottom w:val="0"/>
      <w:divBdr>
        <w:top w:val="none" w:sz="0" w:space="0" w:color="auto"/>
        <w:left w:val="none" w:sz="0" w:space="0" w:color="auto"/>
        <w:bottom w:val="none" w:sz="0" w:space="0" w:color="auto"/>
        <w:right w:val="none" w:sz="0" w:space="0" w:color="auto"/>
      </w:divBdr>
    </w:div>
    <w:div w:id="1581863381">
      <w:bodyDiv w:val="1"/>
      <w:marLeft w:val="0"/>
      <w:marRight w:val="0"/>
      <w:marTop w:val="0"/>
      <w:marBottom w:val="0"/>
      <w:divBdr>
        <w:top w:val="none" w:sz="0" w:space="0" w:color="auto"/>
        <w:left w:val="none" w:sz="0" w:space="0" w:color="auto"/>
        <w:bottom w:val="none" w:sz="0" w:space="0" w:color="auto"/>
        <w:right w:val="none" w:sz="0" w:space="0" w:color="auto"/>
      </w:divBdr>
    </w:div>
    <w:div w:id="1727073210">
      <w:bodyDiv w:val="1"/>
      <w:marLeft w:val="0"/>
      <w:marRight w:val="0"/>
      <w:marTop w:val="0"/>
      <w:marBottom w:val="0"/>
      <w:divBdr>
        <w:top w:val="none" w:sz="0" w:space="0" w:color="auto"/>
        <w:left w:val="none" w:sz="0" w:space="0" w:color="auto"/>
        <w:bottom w:val="none" w:sz="0" w:space="0" w:color="auto"/>
        <w:right w:val="none" w:sz="0" w:space="0" w:color="auto"/>
      </w:divBdr>
    </w:div>
    <w:div w:id="1740397557">
      <w:bodyDiv w:val="1"/>
      <w:marLeft w:val="0"/>
      <w:marRight w:val="0"/>
      <w:marTop w:val="0"/>
      <w:marBottom w:val="0"/>
      <w:divBdr>
        <w:top w:val="none" w:sz="0" w:space="0" w:color="auto"/>
        <w:left w:val="none" w:sz="0" w:space="0" w:color="auto"/>
        <w:bottom w:val="none" w:sz="0" w:space="0" w:color="auto"/>
        <w:right w:val="none" w:sz="0" w:space="0" w:color="auto"/>
      </w:divBdr>
    </w:div>
    <w:div w:id="1884057814">
      <w:bodyDiv w:val="1"/>
      <w:marLeft w:val="0"/>
      <w:marRight w:val="0"/>
      <w:marTop w:val="0"/>
      <w:marBottom w:val="0"/>
      <w:divBdr>
        <w:top w:val="none" w:sz="0" w:space="0" w:color="auto"/>
        <w:left w:val="none" w:sz="0" w:space="0" w:color="auto"/>
        <w:bottom w:val="none" w:sz="0" w:space="0" w:color="auto"/>
        <w:right w:val="none" w:sz="0" w:space="0" w:color="auto"/>
      </w:divBdr>
    </w:div>
    <w:div w:id="1892225122">
      <w:bodyDiv w:val="1"/>
      <w:marLeft w:val="0"/>
      <w:marRight w:val="0"/>
      <w:marTop w:val="0"/>
      <w:marBottom w:val="0"/>
      <w:divBdr>
        <w:top w:val="none" w:sz="0" w:space="0" w:color="auto"/>
        <w:left w:val="none" w:sz="0" w:space="0" w:color="auto"/>
        <w:bottom w:val="none" w:sz="0" w:space="0" w:color="auto"/>
        <w:right w:val="none" w:sz="0" w:space="0" w:color="auto"/>
      </w:divBdr>
    </w:div>
    <w:div w:id="1911770538">
      <w:bodyDiv w:val="1"/>
      <w:marLeft w:val="0"/>
      <w:marRight w:val="0"/>
      <w:marTop w:val="0"/>
      <w:marBottom w:val="0"/>
      <w:divBdr>
        <w:top w:val="none" w:sz="0" w:space="0" w:color="auto"/>
        <w:left w:val="none" w:sz="0" w:space="0" w:color="auto"/>
        <w:bottom w:val="none" w:sz="0" w:space="0" w:color="auto"/>
        <w:right w:val="none" w:sz="0" w:space="0" w:color="auto"/>
      </w:divBdr>
    </w:div>
    <w:div w:id="1938908264">
      <w:bodyDiv w:val="1"/>
      <w:marLeft w:val="0"/>
      <w:marRight w:val="0"/>
      <w:marTop w:val="0"/>
      <w:marBottom w:val="0"/>
      <w:divBdr>
        <w:top w:val="none" w:sz="0" w:space="0" w:color="auto"/>
        <w:left w:val="none" w:sz="0" w:space="0" w:color="auto"/>
        <w:bottom w:val="none" w:sz="0" w:space="0" w:color="auto"/>
        <w:right w:val="none" w:sz="0" w:space="0" w:color="auto"/>
      </w:divBdr>
    </w:div>
    <w:div w:id="19598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hosh@uncc.edu" TargetMode="External"/><Relationship Id="rId13" Type="http://schemas.openxmlformats.org/officeDocument/2006/relationships/hyperlink" Target="https://www.wsj.com/articles/when-spacs-attack-a-new-force-is-invading-wall-street-11611378007?mod=article_inline" TargetMode="External"/><Relationship Id="rId18" Type="http://schemas.openxmlformats.org/officeDocument/2006/relationships/hyperlink" Target="https://site.warrington.ufl.edu/ritter/files/IPOs-SPAC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art.deloitte.com/USDART/home/publications/deloitte/financial-reporting-alerts/2020/spac-transactions" TargetMode="External"/><Relationship Id="rId17" Type="http://schemas.openxmlformats.org/officeDocument/2006/relationships/hyperlink" Target="https://www.sec.gov/spotlight/investor-advisory-committee-2012/20210909-spac-recommendatio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rt.deloitte.com/USDART/home/publications/deloitte/financial-reporting-alerts/2020/spac-transactions" TargetMode="External"/><Relationship Id="rId20" Type="http://schemas.openxmlformats.org/officeDocument/2006/relationships/hyperlink" Target="https://www.sec.gov/rules/proposed/2022/33-1104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rt.deloitte.com/USDART/home/publications/deloitte/financial-reporting-alerts/2020/spac-transac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urfinancialsecurity.org/wp-content/uploads/2021/02/AFR-Letter-on-SPACs-to-HFSC-FINAL.pdf" TargetMode="External"/><Relationship Id="rId23" Type="http://schemas.openxmlformats.org/officeDocument/2006/relationships/footer" Target="footer1.xml"/><Relationship Id="rId28" Type="http://schemas.openxmlformats.org/officeDocument/2006/relationships/hyperlink" Target="file:///C:\Users\bburne17\Dropbox%20(UNC%20Charlotte)\SPAC\Tables\SPAC%20Tables%2024OCT2021.xlsx" TargetMode="External"/><Relationship Id="rId10" Type="http://schemas.openxmlformats.org/officeDocument/2006/relationships/hyperlink" Target="https://dart.deloitte.com/USDART/home/publications/deloitte/financial-reporting-alerts/2020/spac-transactions" TargetMode="External"/><Relationship Id="rId19" Type="http://schemas.openxmlformats.org/officeDocument/2006/relationships/hyperlink" Target="https://www.congress.gov/117/meeting/house/112698/witnesses/HHRG-117-BA16-Wstate-RodriguesU-20210524.pdf" TargetMode="External"/><Relationship Id="rId4" Type="http://schemas.openxmlformats.org/officeDocument/2006/relationships/settings" Target="settings.xml"/><Relationship Id="rId9" Type="http://schemas.openxmlformats.org/officeDocument/2006/relationships/hyperlink" Target="https://dart.deloitte.com/USDART/home/publications/deloitte/financial-reporting-alerts/2020/spac-transactions" TargetMode="External"/><Relationship Id="rId14" Type="http://schemas.openxmlformats.org/officeDocument/2006/relationships/hyperlink" Target="https://www.wsj.com/articles/spacs-are-the-stock-markets-hottest-trend-heres-how-they-work-11617010202?mod=article_inlin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sj.com/articles/spacs-are-warning-they-may-go-bust-11653601111" TargetMode="External"/><Relationship Id="rId1" Type="http://schemas.openxmlformats.org/officeDocument/2006/relationships/hyperlink" Target="https://dart.deloitte.com/USDART/home/publications/deloitte/financial-reporting-alerts/2020/spac-trans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ECE1-E590-48B7-8BEF-9730A4E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15547</Words>
  <Characters>88618</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Al</dc:creator>
  <cp:keywords/>
  <dc:description/>
  <cp:lastModifiedBy>Ghosh, Al</cp:lastModifiedBy>
  <cp:revision>2</cp:revision>
  <cp:lastPrinted>2022-06-16T02:00:00Z</cp:lastPrinted>
  <dcterms:created xsi:type="dcterms:W3CDTF">2022-06-16T15:53:00Z</dcterms:created>
  <dcterms:modified xsi:type="dcterms:W3CDTF">2022-06-16T15:53:00Z</dcterms:modified>
</cp:coreProperties>
</file>